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8"/>
          <w:szCs w:val="48"/>
        </w:rPr>
      </w:pPr>
      <w:bookmarkStart w:colFirst="0" w:colLast="0" w:name="_bgduckhza0d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8"/>
          <w:szCs w:val="48"/>
        </w:rPr>
      </w:pPr>
      <w:bookmarkStart w:colFirst="0" w:colLast="0" w:name="_xlb3vhsd4s6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8"/>
          <w:szCs w:val="48"/>
        </w:rPr>
      </w:pPr>
      <w:bookmarkStart w:colFirst="0" w:colLast="0" w:name="_ng88obig2hk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8"/>
          <w:szCs w:val="48"/>
        </w:rPr>
      </w:pPr>
      <w:bookmarkStart w:colFirst="0" w:colLast="0" w:name="_pm8s895vdki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before="48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Plan de Gestión de Recursos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Sistema Analítico de Consumo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22/08/2025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Responsables:</w:t>
      </w:r>
      <w:r w:rsidDel="00000000" w:rsidR="00000000" w:rsidRPr="00000000">
        <w:rPr>
          <w:rtl w:val="0"/>
        </w:rPr>
        <w:t xml:space="preserve"> Carlos Catalán — Sebastián Solar Aburto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bw6hddoit9z" w:id="4"/>
      <w:bookmarkEnd w:id="4"/>
      <w:r w:rsidDel="00000000" w:rsidR="00000000" w:rsidRPr="00000000">
        <w:rPr>
          <w:rtl w:val="0"/>
        </w:rPr>
        <w:t xml:space="preserve">Índice</w:t>
      </w:r>
    </w:p>
    <w:sdt>
      <w:sdtPr>
        <w:id w:val="2199660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w6hddoit9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k70vtj29lh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Objetivo del Plan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vxucylgzcu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Recursos Humanos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hnjjbcxt81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Recursos Tecnológicos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c31xumnz9c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Gestión de Recursos Tecnológicos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ma61x7awkf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Estrategias de Optimización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tzx82374cf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Cierre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280" w:lineRule="auto"/>
        <w:rPr/>
      </w:pPr>
      <w:bookmarkStart w:colFirst="0" w:colLast="0" w:name="_xk70vtj29lhv" w:id="5"/>
      <w:bookmarkEnd w:id="5"/>
      <w:r w:rsidDel="00000000" w:rsidR="00000000" w:rsidRPr="00000000">
        <w:rPr>
          <w:rtl w:val="0"/>
        </w:rPr>
        <w:t xml:space="preserve">Objetivo del Plan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Definir, asignar y gestionar los recursos humanos y tecnológicos necesarios para el desarrollo, implementación y entrega del </w:t>
      </w:r>
      <w:r w:rsidDel="00000000" w:rsidR="00000000" w:rsidRPr="00000000">
        <w:rPr>
          <w:i w:val="1"/>
          <w:iCs w:val="1"/>
          <w:rtl w:val="0"/>
        </w:rPr>
        <w:t xml:space="preserve">Sistema Analítico de Consumo</w:t>
      </w:r>
      <w:r w:rsidDel="00000000" w:rsidR="00000000" w:rsidRPr="00000000">
        <w:rPr>
          <w:rtl w:val="0"/>
        </w:rPr>
        <w:t xml:space="preserve">, asegurando que los roles del equipo y los recursos de software e infraestructura se utilicen de forma óptima.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280" w:lineRule="auto"/>
        <w:rPr/>
      </w:pPr>
      <w:bookmarkStart w:colFirst="0" w:colLast="0" w:name="_3vxucylgzcup" w:id="6"/>
      <w:bookmarkEnd w:id="6"/>
      <w:r w:rsidDel="00000000" w:rsidR="00000000" w:rsidRPr="00000000">
        <w:rPr>
          <w:rtl w:val="0"/>
        </w:rPr>
        <w:t xml:space="preserve"> Recursos Humanos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contará con un equipo pequeño, multidisciplinario y responsable de construir el producto completo.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Ind w:w="-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2220"/>
        <w:gridCol w:w="5055"/>
        <w:tblGridChange w:id="0">
          <w:tblGrid>
            <w:gridCol w:w="2415"/>
            <w:gridCol w:w="2220"/>
            <w:gridCol w:w="5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Catalán Donoso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Especialista en Frontend y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interfaz del comparador, integración con API, dashboards analíticos, diseño de modelos de datos, depuración de scrapers.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Sebastián Solar Aburto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Arquitecto y Desarrollador 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de arquitectura, APIs REST, scripts de scraping, migración a MongoDB Atlas, control de errores y seguridad del sistema.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Ambos desarrolladores comparten responsabilidad en pruebas, documentación técnica y preparación de presentación final.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280" w:lineRule="auto"/>
        <w:rPr/>
      </w:pPr>
      <w:bookmarkStart w:colFirst="0" w:colLast="0" w:name="_kbre0chnwsj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280" w:lineRule="auto"/>
        <w:rPr/>
      </w:pPr>
      <w:bookmarkStart w:colFirst="0" w:colLast="0" w:name="_2y9rb8f85oz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280" w:lineRule="auto"/>
        <w:rPr/>
      </w:pPr>
      <w:bookmarkStart w:colFirst="0" w:colLast="0" w:name="_65vdpkbhmzv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280" w:lineRule="auto"/>
        <w:rPr/>
      </w:pPr>
      <w:bookmarkStart w:colFirst="0" w:colLast="0" w:name="_phnjjbcxt812" w:id="10"/>
      <w:bookmarkEnd w:id="10"/>
      <w:r w:rsidDel="00000000" w:rsidR="00000000" w:rsidRPr="00000000">
        <w:rPr>
          <w:rtl w:val="0"/>
        </w:rPr>
        <w:t xml:space="preserve">Recursos Tecnológicos</w:t>
      </w:r>
    </w:p>
    <w:tbl>
      <w:tblPr>
        <w:tblStyle w:val="Table2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.9936305732485"/>
        <w:gridCol w:w="3210.382165605096"/>
        <w:gridCol w:w="1829.312101910828"/>
        <w:gridCol w:w="1829.312101910828"/>
        <w:tblGridChange w:id="0">
          <w:tblGrid>
            <w:gridCol w:w="2640.9936305732485"/>
            <w:gridCol w:w="3210.382165605096"/>
            <w:gridCol w:w="1829.312101910828"/>
            <w:gridCol w:w="1829.31210191082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 Tecnológico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Actual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JavaScript / HTML / CSS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Frontend comparador y UI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Gratuito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Node.js + Express.js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 y API REST (consultas, autenticación, endpoints analíticos)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Tecnología + Framework (herramienta)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Gratuito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MongoDB Atlas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de datos NoSQL en la nube + almacenamiento histórico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Tecnología + Servicio Cloud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Gratuito (plan compartido)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Playwright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Scraping automatizado con navegadores headless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Herramienta (biblioteca)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Gratuito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Chart.js / Recharts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Dashboards analíticos comparativos (mes vs mes, ranking, índice competitivo)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Herramientas (librerías)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Gratuito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versiones y trabajo colaborativo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Herramienta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Gratuito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 Studio Code / Postman / Compass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Desarrollo, depuración y pruebas de API y BD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Herramientas de desarrollo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Gratuito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31xumnz9cc" w:id="11"/>
      <w:bookmarkEnd w:id="11"/>
      <w:r w:rsidDel="00000000" w:rsidR="00000000" w:rsidRPr="00000000">
        <w:rPr>
          <w:rtl w:val="0"/>
        </w:rPr>
        <w:t xml:space="preserve">Gestión de Recursos Tecnológicos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seleccionan recursos gratuitos y escalables, minimizando costos iniciales para permitir validar el negocio con PyMEs sin inversión monetaria alta.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 datos recolectados mediante scraping se almacenarán siempre con historial, garantizando comparaciones temporales (mes vs mes, trimestre vs trimestre).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infraestructura para scraping requerirá soporte para navegadores headless; si el cliente escala, se migra a un plan pago sin modificar el sistema.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Todo recurso tecnológico deberá tener documentación compartida y seguir estándares de calidad: logs, manejo de errores, pruebas y control de datos.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a61x7awkfk" w:id="12"/>
      <w:bookmarkEnd w:id="12"/>
      <w:r w:rsidDel="00000000" w:rsidR="00000000" w:rsidRPr="00000000">
        <w:rPr>
          <w:rtl w:val="0"/>
        </w:rPr>
        <w:t xml:space="preserve">Estrategias de Optimización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Uso de tecnologías Open Source para eliminar costos operativos iniciales.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Automatización completa de scraping, limpieza, logs y almacenamiento de histórico, minimizando esfuerzo manual.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Dashboards construidos solo con datos reales, permitiendo detectar tendencias auténticas de consumo.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Pruebas de rendimiento y calidad del scraping antes del despliegue, evitando fallos cuando los supermercados actualizan su HTML.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Escalabilidad progresiva: primero gratuito → luego pago solo si el cliente comerciante paga por el servicio analítico.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280" w:lineRule="auto"/>
        <w:rPr/>
      </w:pPr>
      <w:bookmarkStart w:colFirst="0" w:colLast="0" w:name="_qtzx82374cfx" w:id="13"/>
      <w:bookmarkEnd w:id="13"/>
      <w:r w:rsidDel="00000000" w:rsidR="00000000" w:rsidRPr="00000000">
        <w:rPr>
          <w:rtl w:val="0"/>
        </w:rPr>
        <w:t xml:space="preserve">Cierre del Documento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de recursos definida garantiza que el Sistema Analítico de Consumo pueda desarrollarse con alto rendimiento y bajo costo, permitiendo ofrecer un servicio gratuito a los consumidores (quienes aportan datos de interacción) y un modelo de pago para negocios locales interesados en análisis de precios y tendencias reales del mercado.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de tecnologías cloud escalables, herramientas open source y automatización de procesos asegura viabilidad técnica, sostenibilidad económica y proyección comercial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widowControl w:val="0"/>
      <w:rPr>
        <w:b w:val="1"/>
        <w:bCs w:val="1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3"/>
      <w:tblW w:w="10545.0" w:type="dxa"/>
      <w:jc w:val="left"/>
      <w:tblInd w:w="-54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715"/>
      <w:gridCol w:w="4725"/>
      <w:gridCol w:w="3105"/>
      <w:tblGridChange w:id="0">
        <w:tblGrid>
          <w:gridCol w:w="2715"/>
          <w:gridCol w:w="4725"/>
          <w:gridCol w:w="3105"/>
        </w:tblGrid>
      </w:tblGridChange>
    </w:tblGrid>
    <w:tr>
      <w:trPr>
        <w:cantSplit w:val="0"/>
        <w:trHeight w:val="48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68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A">
          <w:pPr>
            <w:tabs>
              <w:tab w:val="center" w:leader="none" w:pos="4320"/>
              <w:tab w:val="right" w:leader="none" w:pos="8640"/>
            </w:tabs>
            <w:spacing w:after="240" w:before="240" w:line="240" w:lineRule="auto"/>
            <w:jc w:val="center"/>
            <w:rPr>
              <w:b w:val="1"/>
              <w:bCs w:val="1"/>
              <w:color w:val="17365d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sistema analítico de consumo 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B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tabs>
        <w:tab w:val="center" w:leader="none" w:pos="4320"/>
        <w:tab w:val="right" w:leader="none" w:pos="8640"/>
      </w:tabs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