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06">
      <w:pPr>
        <w:spacing w:after="240" w:before="240" w:lineRule="auto"/>
        <w:jc w:val="center"/>
        <w:rPr>
          <w:sz w:val="38"/>
          <w:szCs w:val="38"/>
        </w:rPr>
      </w:pPr>
      <w:r w:rsidDel="00000000" w:rsidR="00000000" w:rsidRPr="00000000">
        <w:rPr>
          <w:b w:val="1"/>
          <w:bCs w:val="1"/>
          <w:sz w:val="38"/>
          <w:szCs w:val="38"/>
          <w:rtl w:val="0"/>
        </w:rPr>
        <w:t xml:space="preserve">Proyecto:</w:t>
      </w:r>
      <w:r w:rsidDel="00000000" w:rsidR="00000000" w:rsidRPr="00000000">
        <w:rPr>
          <w:sz w:val="38"/>
          <w:szCs w:val="38"/>
          <w:rtl w:val="0"/>
        </w:rPr>
        <w:t xml:space="preserve"> </w:t>
      </w:r>
      <w:r w:rsidDel="00000000" w:rsidR="00000000" w:rsidRPr="00000000">
        <w:rPr>
          <w:i w:val="1"/>
          <w:iCs w:val="1"/>
          <w:sz w:val="38"/>
          <w:szCs w:val="38"/>
          <w:rtl w:val="0"/>
        </w:rPr>
        <w:t xml:space="preserve">Sistema Analítico de Consumo</w:t>
        <w:br w:type="textWrapping"/>
      </w:r>
      <w:r w:rsidDel="00000000" w:rsidR="00000000" w:rsidRPr="00000000">
        <w:rPr>
          <w:sz w:val="38"/>
          <w:szCs w:val="38"/>
          <w:rtl w:val="0"/>
        </w:rPr>
        <w:t xml:space="preserve"> </w:t>
      </w:r>
      <w:r w:rsidDel="00000000" w:rsidR="00000000" w:rsidRPr="00000000">
        <w:rPr>
          <w:b w:val="1"/>
          <w:bCs w:val="1"/>
          <w:sz w:val="38"/>
          <w:szCs w:val="38"/>
          <w:rtl w:val="0"/>
        </w:rPr>
        <w:t xml:space="preserve">Fecha:</w:t>
      </w:r>
      <w:r w:rsidDel="00000000" w:rsidR="00000000" w:rsidRPr="00000000">
        <w:rPr>
          <w:sz w:val="38"/>
          <w:szCs w:val="38"/>
          <w:rtl w:val="0"/>
        </w:rPr>
        <w:t xml:space="preserve"> 19/08/2025</w:t>
        <w:br w:type="textWrapping"/>
        <w:t xml:space="preserve"> </w:t>
      </w:r>
      <w:r w:rsidDel="00000000" w:rsidR="00000000" w:rsidRPr="00000000">
        <w:rPr>
          <w:b w:val="1"/>
          <w:bCs w:val="1"/>
          <w:sz w:val="38"/>
          <w:szCs w:val="38"/>
          <w:rtl w:val="0"/>
        </w:rPr>
        <w:t xml:space="preserve">Metodología:</w:t>
      </w:r>
      <w:r w:rsidDel="00000000" w:rsidR="00000000" w:rsidRPr="00000000">
        <w:rPr>
          <w:sz w:val="38"/>
          <w:szCs w:val="38"/>
          <w:rtl w:val="0"/>
        </w:rPr>
        <w:t xml:space="preserve"> Híbrida (Planificación + Sprints Ágiles Modulares)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krq7rpfebkf2" w:id="0"/>
      <w:bookmarkEnd w:id="0"/>
      <w:r w:rsidDel="00000000" w:rsidR="00000000" w:rsidRPr="00000000">
        <w:rPr>
          <w:rtl w:val="0"/>
        </w:rPr>
        <w:t xml:space="preserve">Índice </w:t>
      </w:r>
    </w:p>
    <w:p w:rsidR="00000000" w:rsidDel="00000000" w:rsidP="00000000" w:rsidRDefault="00000000" w:rsidRPr="00000000" w14:paraId="00000020">
      <w:pPr>
        <w:rPr/>
      </w:pPr>
      <w:r w:rsidDel="00000000" w:rsidR="00000000" w:rsidRPr="00000000">
        <w:rPr>
          <w:rtl w:val="0"/>
        </w:rPr>
      </w:r>
    </w:p>
    <w:sdt>
      <w:sdtPr>
        <w:id w:val="1717784972"/>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rq7rpfebkf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zbwoybi2fwe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del Alcance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5h07nvszlebw">
            <w:r w:rsidDel="00000000" w:rsidR="00000000" w:rsidRPr="00000000">
              <w:rPr>
                <w:b w:val="1"/>
                <w:bCs w:val="1"/>
                <w:color w:val="000000"/>
                <w:u w:val="none"/>
                <w:rtl w:val="0"/>
              </w:rPr>
              <w:t xml:space="preserve">Definición del Alcance del Producto</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color w:val="000000"/>
              <w:u w:val="none"/>
            </w:rPr>
          </w:pPr>
          <w:hyperlink w:anchor="_m8ivqjjfrynd">
            <w:r w:rsidDel="00000000" w:rsidR="00000000" w:rsidRPr="00000000">
              <w:rPr>
                <w:color w:val="000000"/>
                <w:u w:val="none"/>
                <w:rtl w:val="0"/>
              </w:rPr>
              <w:t xml:space="preserve">a) Comparador Gratuito (Usuarios Consumidores)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color w:val="000000"/>
              <w:u w:val="none"/>
            </w:rPr>
          </w:pPr>
          <w:hyperlink w:anchor="_frwhyjkgant7">
            <w:r w:rsidDel="00000000" w:rsidR="00000000" w:rsidRPr="00000000">
              <w:rPr>
                <w:color w:val="000000"/>
                <w:u w:val="none"/>
                <w:rtl w:val="0"/>
              </w:rPr>
              <w:t xml:space="preserve">b) Dashboards Comerciales (Negocios Locales)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color w:val="000000"/>
              <w:u w:val="none"/>
            </w:rPr>
          </w:pPr>
          <w:hyperlink w:anchor="_koz6rq428fcp">
            <w:r w:rsidDel="00000000" w:rsidR="00000000" w:rsidRPr="00000000">
              <w:rPr>
                <w:color w:val="000000"/>
                <w:u w:val="none"/>
                <w:rtl w:val="0"/>
              </w:rPr>
              <w:t xml:space="preserve">c) Backend y API</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color w:val="000000"/>
              <w:u w:val="none"/>
            </w:rPr>
          </w:pPr>
          <w:hyperlink w:anchor="_h9sdlaj3btvv">
            <w:r w:rsidDel="00000000" w:rsidR="00000000" w:rsidRPr="00000000">
              <w:rPr>
                <w:color w:val="000000"/>
                <w:u w:val="none"/>
                <w:rtl w:val="0"/>
              </w:rPr>
              <w:t xml:space="preserve">d) Base de Datos (MongoDB Atlas)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color w:val="000000"/>
              <w:u w:val="none"/>
            </w:rPr>
          </w:pPr>
          <w:hyperlink w:anchor="_fvwbaih5k1tn">
            <w:r w:rsidDel="00000000" w:rsidR="00000000" w:rsidRPr="00000000">
              <w:rPr>
                <w:color w:val="000000"/>
                <w:u w:val="none"/>
                <w:rtl w:val="0"/>
              </w:rPr>
              <w:t xml:space="preserve">e) Scraping Automatizado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vgk3xyv6w1h0">
            <w:r w:rsidDel="00000000" w:rsidR="00000000" w:rsidRPr="00000000">
              <w:rPr>
                <w:b w:val="1"/>
                <w:bCs w:val="1"/>
                <w:color w:val="000000"/>
                <w:u w:val="none"/>
                <w:rtl w:val="0"/>
              </w:rPr>
              <w:t xml:space="preserve">Fuera del Alcance (No incluido)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7miilbc32ck4">
            <w:r w:rsidDel="00000000" w:rsidR="00000000" w:rsidRPr="00000000">
              <w:rPr>
                <w:b w:val="1"/>
                <w:bCs w:val="1"/>
                <w:color w:val="000000"/>
                <w:u w:val="none"/>
                <w:rtl w:val="0"/>
              </w:rPr>
              <w:t xml:space="preserve">Estructura de Desglose del Trabajo (EDT)</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_k6ckk3k9heck">
            <w:r w:rsidDel="00000000" w:rsidR="00000000" w:rsidRPr="00000000">
              <w:rPr>
                <w:b w:val="1"/>
                <w:bCs w:val="1"/>
                <w:color w:val="000000"/>
                <w:u w:val="none"/>
                <w:rtl w:val="0"/>
              </w:rPr>
              <w:t xml:space="preserve">Diccionario EDT</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5jil9ay71cbe">
            <w:r w:rsidDel="00000000" w:rsidR="00000000" w:rsidRPr="00000000">
              <w:rPr>
                <w:b w:val="1"/>
                <w:bCs w:val="1"/>
                <w:color w:val="000000"/>
                <w:u w:val="none"/>
                <w:rtl w:val="0"/>
              </w:rPr>
              <w:t xml:space="preserve">Cierre del Documento</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keepNext w:val="0"/>
        <w:keepLines w:val="0"/>
        <w:spacing w:before="280" w:lineRule="auto"/>
        <w:rPr/>
      </w:pPr>
      <w:bookmarkStart w:colFirst="0" w:colLast="0" w:name="_zbwoybi2fwe6" w:id="1"/>
      <w:bookmarkEnd w:id="1"/>
      <w:r w:rsidDel="00000000" w:rsidR="00000000" w:rsidRPr="00000000">
        <w:rPr>
          <w:rtl w:val="0"/>
        </w:rPr>
        <w:t xml:space="preserve">Propósito del Alcance</w:t>
      </w:r>
    </w:p>
    <w:p w:rsidR="00000000" w:rsidDel="00000000" w:rsidP="00000000" w:rsidRDefault="00000000" w:rsidRPr="00000000" w14:paraId="00000032">
      <w:pPr>
        <w:spacing w:after="240" w:before="240" w:lineRule="auto"/>
        <w:rPr/>
      </w:pPr>
      <w:r w:rsidDel="00000000" w:rsidR="00000000" w:rsidRPr="00000000">
        <w:rPr>
          <w:rtl w:val="0"/>
        </w:rPr>
        <w:t xml:space="preserve">Establecer todo lo que el proyecto debe entregar y explicitar los límites del sistema Sistema Analítico de Consumo, asegurando claridad en los entregables, funcionalidades y restricciones. El alcance define el comparador gratuito de precios y los dashboards comerciales destinados a negocios locales.</w:t>
      </w:r>
    </w:p>
    <w:p w:rsidR="00000000" w:rsidDel="00000000" w:rsidP="00000000" w:rsidRDefault="00000000" w:rsidRPr="00000000" w14:paraId="00000033">
      <w:pPr>
        <w:pStyle w:val="Heading1"/>
        <w:keepNext w:val="0"/>
        <w:keepLines w:val="0"/>
        <w:spacing w:before="280" w:lineRule="auto"/>
        <w:rPr/>
      </w:pPr>
      <w:bookmarkStart w:colFirst="0" w:colLast="0" w:name="_5h07nvszlebw" w:id="2"/>
      <w:bookmarkEnd w:id="2"/>
      <w:r w:rsidDel="00000000" w:rsidR="00000000" w:rsidRPr="00000000">
        <w:rPr>
          <w:rtl w:val="0"/>
        </w:rPr>
        <w:t xml:space="preserve">Definición del Alcance del Producto</w:t>
      </w:r>
    </w:p>
    <w:p w:rsidR="00000000" w:rsidDel="00000000" w:rsidP="00000000" w:rsidRDefault="00000000" w:rsidRPr="00000000" w14:paraId="00000034">
      <w:pPr>
        <w:spacing w:after="240" w:before="240" w:lineRule="auto"/>
        <w:rPr/>
      </w:pPr>
      <w:r w:rsidDel="00000000" w:rsidR="00000000" w:rsidRPr="00000000">
        <w:rPr>
          <w:rtl w:val="0"/>
        </w:rPr>
        <w:t xml:space="preserve">El </w:t>
      </w:r>
      <w:r w:rsidDel="00000000" w:rsidR="00000000" w:rsidRPr="00000000">
        <w:rPr>
          <w:i w:val="1"/>
          <w:iCs w:val="1"/>
          <w:rtl w:val="0"/>
        </w:rPr>
        <w:t xml:space="preserve">Sistema </w:t>
      </w:r>
      <w:r w:rsidDel="00000000" w:rsidR="00000000" w:rsidRPr="00000000">
        <w:rPr>
          <w:rtl w:val="0"/>
        </w:rPr>
        <w:t xml:space="preserve">Analítico de Consumo</w:t>
      </w:r>
      <w:r w:rsidDel="00000000" w:rsidR="00000000" w:rsidRPr="00000000">
        <w:rPr>
          <w:rtl w:val="0"/>
        </w:rPr>
        <w:t xml:space="preserve"> consiste en una plataforma web que centraliza precios de supermercados nacionales mediante scraping automatizado, los normaliza, almacena su histórico y genera inteligencia comercial para pequeños negocios mediante dashboards comparativos. Además, incluye un comparador gratuito para usuarios consumidores que permitirá obtener métricas de consumo para alimentar los indicadores comerciales.</w:t>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Componentes incluidos en el producto:</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m8ivqjjfrynd" w:id="3"/>
      <w:bookmarkEnd w:id="3"/>
      <w:r w:rsidDel="00000000" w:rsidR="00000000" w:rsidRPr="00000000">
        <w:rPr>
          <w:b w:val="1"/>
          <w:bCs w:val="1"/>
          <w:color w:val="000000"/>
          <w:sz w:val="22"/>
          <w:szCs w:val="22"/>
          <w:rtl w:val="0"/>
        </w:rPr>
        <w:t xml:space="preserve"> a) Comparador Gratuito (Usuarios Consumidores)</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Búsqueda y comparación de productos entre supermercados.</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Filtros por ubicación, categoría, marca, peso/volumen.</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Bloqueo automático de supermercados sin presencia geográfica (con opción de desbloqueo manual).</w:t>
        <w:br w:type="textWrapping"/>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Visualización de productos con mejor precio unitario.</w:t>
        <w:br w:type="textWrapping"/>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frwhyjkgant7" w:id="4"/>
      <w:bookmarkEnd w:id="4"/>
      <w:r w:rsidDel="00000000" w:rsidR="00000000" w:rsidRPr="00000000">
        <w:rPr>
          <w:b w:val="1"/>
          <w:bCs w:val="1"/>
          <w:color w:val="000000"/>
          <w:sz w:val="22"/>
          <w:szCs w:val="22"/>
          <w:rtl w:val="0"/>
        </w:rPr>
        <w:t xml:space="preserve"> b) Dashboards Comerciales (Negocios Locales)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Ranking de productos con mayor demanda (clics y búsquedas).</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Variación histórica de precios por producto y supermercado.</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Análisis de competitividad entre supermercados.</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Identificación de “productos estrella” y “fuga de interés”.</w:t>
        <w:br w:type="textWrapping"/>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Indicadores temporales obligatorios (mes vs mes, trimestre vs trimestre).</w:t>
        <w:br w:type="textWrapping"/>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koz6rq428fcp" w:id="5"/>
      <w:bookmarkEnd w:id="5"/>
      <w:r w:rsidDel="00000000" w:rsidR="00000000" w:rsidRPr="00000000">
        <w:rPr>
          <w:b w:val="1"/>
          <w:bCs w:val="1"/>
          <w:color w:val="000000"/>
          <w:sz w:val="22"/>
          <w:szCs w:val="22"/>
          <w:rtl w:val="0"/>
        </w:rPr>
        <w:t xml:space="preserve"> c) Backend y API</w:t>
      </w:r>
    </w:p>
    <w:p w:rsidR="00000000" w:rsidDel="00000000" w:rsidP="00000000" w:rsidRDefault="00000000" w:rsidRPr="00000000" w14:paraId="00000042">
      <w:pPr>
        <w:numPr>
          <w:ilvl w:val="0"/>
          <w:numId w:val="2"/>
        </w:numPr>
        <w:spacing w:after="240" w:before="240" w:lineRule="auto"/>
        <w:ind w:left="720" w:hanging="360"/>
      </w:pPr>
      <w:r w:rsidDel="00000000" w:rsidR="00000000" w:rsidRPr="00000000">
        <w:rPr>
          <w:rtl w:val="0"/>
        </w:rPr>
        <w:t xml:space="preserve">Servicios para extracción, procesamiento, consultas al histórico, autenticación y métricas.</w:t>
        <w:br w:type="textWrapping"/>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h9sdlaj3btvv" w:id="6"/>
      <w:bookmarkEnd w:id="6"/>
      <w:r w:rsidDel="00000000" w:rsidR="00000000" w:rsidRPr="00000000">
        <w:rPr>
          <w:b w:val="1"/>
          <w:bCs w:val="1"/>
          <w:color w:val="000000"/>
          <w:sz w:val="22"/>
          <w:szCs w:val="22"/>
          <w:rtl w:val="0"/>
        </w:rPr>
        <w:t xml:space="preserve"> d) Base de Datos (MongoDB Atlas)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tl w:val="0"/>
        </w:rPr>
        <w:t xml:space="preserve">Modelo NoSQL con registro histórico por timestamp.</w:t>
        <w:br w:type="textWrapping"/>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Colecciones para productos, historial de precios, usuarios y eventos.</w:t>
        <w:br w:type="textWrapping"/>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fvwbaih5k1tn" w:id="7"/>
      <w:bookmarkEnd w:id="7"/>
      <w:r w:rsidDel="00000000" w:rsidR="00000000" w:rsidRPr="00000000">
        <w:rPr>
          <w:b w:val="1"/>
          <w:bCs w:val="1"/>
          <w:color w:val="000000"/>
          <w:sz w:val="22"/>
          <w:szCs w:val="22"/>
          <w:rtl w:val="0"/>
        </w:rPr>
        <w:t xml:space="preserve"> e) Scraping Automatizado</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tl w:val="0"/>
        </w:rPr>
        <w:t xml:space="preserve">Extracción diaria desde Jumbo, Unimarc, Tottus y ACuenta.</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Estandarización de precios unitarios.</w:t>
        <w:br w:type="textWrapping"/>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Validación automática de datos (mín. 95% éxito diario).</w:t>
      </w:r>
    </w:p>
    <w:p w:rsidR="00000000" w:rsidDel="00000000" w:rsidP="00000000" w:rsidRDefault="00000000" w:rsidRPr="00000000" w14:paraId="0000004A">
      <w:pPr>
        <w:pStyle w:val="Heading1"/>
        <w:keepNext w:val="0"/>
        <w:keepLines w:val="0"/>
        <w:spacing w:before="280" w:lineRule="auto"/>
        <w:rPr/>
      </w:pPr>
      <w:bookmarkStart w:colFirst="0" w:colLast="0" w:name="_vgk3xyv6w1h0" w:id="8"/>
      <w:bookmarkEnd w:id="8"/>
      <w:r w:rsidDel="00000000" w:rsidR="00000000" w:rsidRPr="00000000">
        <w:rPr>
          <w:rtl w:val="0"/>
        </w:rPr>
        <w:t xml:space="preserve">Fuera del Alcance (No incluido)</w:t>
      </w:r>
    </w:p>
    <w:p w:rsidR="00000000" w:rsidDel="00000000" w:rsidP="00000000" w:rsidRDefault="00000000" w:rsidRPr="00000000" w14:paraId="0000004B">
      <w:pPr>
        <w:spacing w:after="240" w:before="240" w:lineRule="auto"/>
        <w:rPr/>
      </w:pPr>
      <w:r w:rsidDel="00000000" w:rsidR="00000000" w:rsidRPr="00000000">
        <w:rPr>
          <w:rtl w:val="0"/>
        </w:rPr>
        <w:t xml:space="preserve">No forma parte del alcance del proyecto:</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rtl w:val="0"/>
        </w:rPr>
        <w:t xml:space="preserve">Integración con sistemas externos pagados (ERP, POS, bodegas).</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Venta automatizada de reportes en línea (solo análisis en dashboards).</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Capacitación presencial para negocios (solo manual digital).</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Plan comercial de expansión masiva (solo piloto).</w:t>
        <w:br w:type="textWrapping"/>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App móvil nativa (solo versión web responsive).</w:t>
      </w:r>
    </w:p>
    <w:p w:rsidR="00000000" w:rsidDel="00000000" w:rsidP="00000000" w:rsidRDefault="00000000" w:rsidRPr="00000000" w14:paraId="00000051">
      <w:pPr>
        <w:pStyle w:val="Heading1"/>
        <w:spacing w:before="280" w:lineRule="auto"/>
        <w:rPr/>
      </w:pPr>
      <w:bookmarkStart w:colFirst="0" w:colLast="0" w:name="_7miilbc32ck4" w:id="9"/>
      <w:bookmarkEnd w:id="9"/>
      <w:r w:rsidDel="00000000" w:rsidR="00000000" w:rsidRPr="00000000">
        <w:rPr>
          <w:rtl w:val="0"/>
        </w:rPr>
        <w:t xml:space="preserve"> Estructura de Desglose del Trabajo (EDT)</w:t>
      </w:r>
    </w:p>
    <w:p w:rsidR="00000000" w:rsidDel="00000000" w:rsidP="00000000" w:rsidRDefault="00000000" w:rsidRPr="00000000" w14:paraId="00000052">
      <w:pPr>
        <w:keepNext w:val="0"/>
        <w:keepLines w:val="0"/>
        <w:spacing w:after="240" w:before="240" w:lineRule="auto"/>
        <w:rPr/>
      </w:pPr>
      <w:r w:rsidDel="00000000" w:rsidR="00000000" w:rsidRPr="00000000">
        <w:rPr>
          <w:rtl w:val="0"/>
        </w:rPr>
        <w:t xml:space="preserve">El desarrollo del Sistema Analítico de Consumo se organiza bajo una estructura modular compuesta por seis grandes áreas de trabajo, cada una con entregables concretos y funcionales. A continuación se describen los componentes que conforman el EDT del proyecto:</w:t>
      </w:r>
    </w:p>
    <w:p w:rsidR="00000000" w:rsidDel="00000000" w:rsidP="00000000" w:rsidRDefault="00000000" w:rsidRPr="00000000" w14:paraId="00000053">
      <w:pPr>
        <w:keepNext w:val="0"/>
        <w:keepLines w:val="0"/>
        <w:spacing w:after="240" w:before="240" w:lineRule="auto"/>
        <w:rPr/>
      </w:pPr>
      <w:r w:rsidDel="00000000" w:rsidR="00000000" w:rsidRPr="00000000">
        <w:rPr>
          <w:rtl w:val="0"/>
        </w:rPr>
        <w:t xml:space="preserve">1. Scraping Automatizado</w:t>
        <w:br w:type="textWrapping"/>
        <w:t xml:space="preserve"> Esta etapa contempla la extracción automática de datos desde los principales supermercados del país. Incluye la configuración de navegadores headless para la captura no intrusiva de información, la obtención de productos y precios, la normalización de precios unitarios y la implementación de mecanismos automáticos de validación con registro de errores mediante logs.</w:t>
      </w:r>
    </w:p>
    <w:p w:rsidR="00000000" w:rsidDel="00000000" w:rsidP="00000000" w:rsidRDefault="00000000" w:rsidRPr="00000000" w14:paraId="00000054">
      <w:pPr>
        <w:keepNext w:val="0"/>
        <w:keepLines w:val="0"/>
        <w:spacing w:after="240" w:before="240" w:lineRule="auto"/>
        <w:rPr/>
      </w:pPr>
      <w:r w:rsidDel="00000000" w:rsidR="00000000" w:rsidRPr="00000000">
        <w:rPr>
          <w:rtl w:val="0"/>
        </w:rPr>
        <w:t xml:space="preserve">2. API REST y Servicios</w:t>
        <w:br w:type="textWrapping"/>
        <w:t xml:space="preserve"> Corresponde a la construcción del backend del sistema mediante servicios que permitirán el consumo de datos. Esta área incluye endpoints para autenticación de usuarios, acceso a comparaciones de productos, recuperación de historial de precios y consultas analíticas basadas en interacción de usuarios (clics y tendencias).</w:t>
      </w:r>
    </w:p>
    <w:p w:rsidR="00000000" w:rsidDel="00000000" w:rsidP="00000000" w:rsidRDefault="00000000" w:rsidRPr="00000000" w14:paraId="00000055">
      <w:pPr>
        <w:keepNext w:val="0"/>
        <w:keepLines w:val="0"/>
        <w:spacing w:after="240" w:before="240" w:lineRule="auto"/>
        <w:rPr/>
      </w:pPr>
      <w:r w:rsidDel="00000000" w:rsidR="00000000" w:rsidRPr="00000000">
        <w:rPr>
          <w:rtl w:val="0"/>
        </w:rPr>
        <w:t xml:space="preserve">3. Base de </w:t>
      </w:r>
      <w:r w:rsidDel="00000000" w:rsidR="00000000" w:rsidRPr="00000000">
        <w:rPr>
          <w:rtl w:val="0"/>
        </w:rPr>
        <w:t xml:space="preserve">Datos</w:t>
      </w:r>
      <w:r w:rsidDel="00000000" w:rsidR="00000000" w:rsidRPr="00000000">
        <w:rPr>
          <w:rtl w:val="0"/>
        </w:rPr>
        <w:t xml:space="preserve"> NoSQL</w:t>
        <w:br w:type="textWrapping"/>
        <w:t xml:space="preserve"> Incluye el diseño e implementación del modelo de colecciones en MongoDB Atlas, con registro histórico mediante timestamp para permitir análisis temporales. Esta etapa abarca, además, la validación de integridad de los datos, así como la creación de índices que optimicen las consultas analíticas y la velocidad de respuesta del dashboard y comparador.</w:t>
      </w:r>
    </w:p>
    <w:p w:rsidR="00000000" w:rsidDel="00000000" w:rsidP="00000000" w:rsidRDefault="00000000" w:rsidRPr="00000000" w14:paraId="00000056">
      <w:pPr>
        <w:keepNext w:val="0"/>
        <w:keepLines w:val="0"/>
        <w:spacing w:after="240" w:before="240" w:lineRule="auto"/>
        <w:rPr/>
      </w:pPr>
      <w:r w:rsidDel="00000000" w:rsidR="00000000" w:rsidRPr="00000000">
        <w:rPr>
          <w:rtl w:val="0"/>
        </w:rPr>
        <w:t xml:space="preserve">4. Dashboards Comerciales</w:t>
        <w:br w:type="textWrapping"/>
        <w:t xml:space="preserve"> Corresponde a la construcción del panel analítico exclusivo para negocios locales. Incluye el desarrollo de métricas temporales comparativas (por ejemplo, mes </w:t>
      </w:r>
      <w:r w:rsidDel="00000000" w:rsidR="00000000" w:rsidRPr="00000000">
        <w:rPr>
          <w:rtl w:val="0"/>
        </w:rPr>
        <w:t xml:space="preserve">vs mes</w:t>
      </w:r>
      <w:r w:rsidDel="00000000" w:rsidR="00000000" w:rsidRPr="00000000">
        <w:rPr>
          <w:rtl w:val="0"/>
        </w:rPr>
        <w:t xml:space="preserve">), el ranking de productos más buscados y clickeados, el cálculo del índice de competitividad entre supermercados, y la representación visual e interpretación de los indicadores mediante gráficos dinámicos.</w:t>
      </w:r>
    </w:p>
    <w:p w:rsidR="00000000" w:rsidDel="00000000" w:rsidP="00000000" w:rsidRDefault="00000000" w:rsidRPr="00000000" w14:paraId="00000057">
      <w:pPr>
        <w:keepNext w:val="0"/>
        <w:keepLines w:val="0"/>
        <w:spacing w:after="240" w:before="240" w:lineRule="auto"/>
        <w:rPr/>
      </w:pPr>
      <w:r w:rsidDel="00000000" w:rsidR="00000000" w:rsidRPr="00000000">
        <w:rPr>
          <w:rtl w:val="0"/>
        </w:rPr>
        <w:t xml:space="preserve">5. Frontend del Comparador Web</w:t>
        <w:br w:type="textWrapping"/>
        <w:t xml:space="preserve"> Se desarrollará la interfaz destinada a usuarios consumidores. Esta etapa considera la implementación de búsqueda universal, filtros avanzados, la funcionalidad de bloqueo de supermercados sin presencia geográfica (con opción de desbloqueo manual), y la visualización comparativa de precios unitarios entre supermercados.</w:t>
      </w:r>
    </w:p>
    <w:p w:rsidR="00000000" w:rsidDel="00000000" w:rsidP="00000000" w:rsidRDefault="00000000" w:rsidRPr="00000000" w14:paraId="00000058">
      <w:pPr>
        <w:keepNext w:val="0"/>
        <w:keepLines w:val="0"/>
        <w:spacing w:after="240" w:before="240" w:lineRule="auto"/>
        <w:rPr/>
      </w:pPr>
      <w:r w:rsidDel="00000000" w:rsidR="00000000" w:rsidRPr="00000000">
        <w:rPr>
          <w:rtl w:val="0"/>
        </w:rPr>
        <w:t xml:space="preserve">6. Documentación y Pruebas</w:t>
        <w:br w:type="textWrapping"/>
        <w:t xml:space="preserve"> Incluye el desarrollo de manuales para usuarios consumidores y clientes comerciales, junto con la ejecución de pruebas funcionales y pruebas de scraping para asegurar la estabilidad del sistema. Asimismo, se elaborarán las evidencias necesarias y el informe final del proyecto, que documentará resultados, errores corregidos y el cumplimiento de los objetivos analíticos.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kzpepu5kdu" w:id="10"/>
      <w:bookmarkEnd w:id="10"/>
      <w:r w:rsidDel="00000000" w:rsidR="00000000" w:rsidRPr="00000000">
        <w:rPr>
          <w:rtl w:val="0"/>
        </w:rPr>
      </w:r>
    </w:p>
    <w:p w:rsidR="00000000" w:rsidDel="00000000" w:rsidP="00000000" w:rsidRDefault="00000000" w:rsidRPr="00000000" w14:paraId="0000005A">
      <w:pPr>
        <w:pStyle w:val="Heading1"/>
        <w:keepNext w:val="0"/>
        <w:keepLines w:val="0"/>
        <w:spacing w:before="280" w:lineRule="auto"/>
        <w:rPr/>
      </w:pPr>
      <w:bookmarkStart w:colFirst="0" w:colLast="0" w:name="_k6ckk3k9heck" w:id="11"/>
      <w:bookmarkEnd w:id="11"/>
      <w:r w:rsidDel="00000000" w:rsidR="00000000" w:rsidRPr="00000000">
        <w:rPr>
          <w:rtl w:val="0"/>
        </w:rPr>
        <w:t xml:space="preserve">Diccionario EDT</w:t>
      </w:r>
    </w:p>
    <w:tbl>
      <w:tblPr>
        <w:tblStyle w:val="Table1"/>
        <w:tblW w:w="931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190"/>
        <w:gridCol w:w="5910"/>
        <w:tblGridChange w:id="0">
          <w:tblGrid>
            <w:gridCol w:w="1215"/>
            <w:gridCol w:w="2190"/>
            <w:gridCol w:w="59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Scraping Automatizado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Extracción diaria de información desde supermercados, validación y normalización automática.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API REST y 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Backend encargado de servir datos, manejar autenticación y proveer información a dashboards y comparadores.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Base de Datos NoSQL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Estructura en MongoDB Atlas con colecciones históricas optimizadas para consultas analíticas.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Dashboards Comerciales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Panel analítico exclusivo para negocios con métricas históricas y competitivas.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Frontend Comparador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Interfaz gratuita para consumidores que permite comparar precios y generar información de interés comercial.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Documentación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Manuales, evidencias, pruebas, informes y documentación técnica del proyecto.</w:t>
            </w:r>
          </w:p>
        </w:tc>
      </w:tr>
    </w:tbl>
    <w:p w:rsidR="00000000" w:rsidDel="00000000" w:rsidP="00000000" w:rsidRDefault="00000000" w:rsidRPr="00000000" w14:paraId="00000070">
      <w:pPr>
        <w:pStyle w:val="Heading1"/>
        <w:keepNext w:val="0"/>
        <w:keepLines w:val="0"/>
        <w:spacing w:before="280" w:lineRule="auto"/>
        <w:rPr/>
      </w:pPr>
      <w:bookmarkStart w:colFirst="0" w:colLast="0" w:name="_5jil9ay71cbe" w:id="12"/>
      <w:bookmarkEnd w:id="12"/>
      <w:r w:rsidDel="00000000" w:rsidR="00000000" w:rsidRPr="00000000">
        <w:rPr>
          <w:rtl w:val="0"/>
        </w:rPr>
        <w:t xml:space="preserve">Cierre del Documento</w:t>
      </w:r>
    </w:p>
    <w:p w:rsidR="00000000" w:rsidDel="00000000" w:rsidP="00000000" w:rsidRDefault="00000000" w:rsidRPr="00000000" w14:paraId="00000071">
      <w:pPr>
        <w:spacing w:after="240" w:before="240" w:lineRule="auto"/>
        <w:rPr/>
      </w:pPr>
      <w:r w:rsidDel="00000000" w:rsidR="00000000" w:rsidRPr="00000000">
        <w:rPr>
          <w:rtl w:val="0"/>
        </w:rPr>
        <w:t xml:space="preserve">El presente Plan de Gestión del Alcance establece de manera clara y estructurada los límites, componentes y entregables del Sistema Analítico de Consumo, garantizando que el desarrollo del proyecto responda a necesidades reales del mercado local y a los objetivos académicos del APT. Al definir un comparador gratuito para usuarios y un módulo analítico comercial para negocios locales, el alcance orienta el esfuerzo hacia la generación de valor a partir de datos reales de consumo, mediante métricas temporales verificables y visualizaciones útiles para la toma de decisiones.</w:t>
      </w:r>
    </w:p>
    <w:p w:rsidR="00000000" w:rsidDel="00000000" w:rsidP="00000000" w:rsidRDefault="00000000" w:rsidRPr="00000000" w14:paraId="00000072">
      <w:pPr>
        <w:spacing w:after="240" w:before="240" w:lineRule="auto"/>
        <w:rPr/>
      </w:pPr>
      <w:r w:rsidDel="00000000" w:rsidR="00000000" w:rsidRPr="00000000">
        <w:rPr>
          <w:rtl w:val="0"/>
        </w:rPr>
        <w:t xml:space="preserve">Asimismo, la descomposición del proyecto en seis módulos principales mediante la EDT permite enfocar el trabajo en bloques funcionales, facilitando el control de avance, el aseguramiento de calidad y la asignación de responsabilidades. Esta segmentación asegura que componentes críticos —como el scraping, el registro histórico, la normalización de datos y los dashboards competitivos— sean desarrollados bajo criterios técnicos claramente definidos.</w:t>
      </w:r>
    </w:p>
    <w:p w:rsidR="00000000" w:rsidDel="00000000" w:rsidP="00000000" w:rsidRDefault="00000000" w:rsidRPr="00000000" w14:paraId="00000073">
      <w:pPr>
        <w:spacing w:after="240" w:before="240" w:lineRule="auto"/>
        <w:rPr/>
      </w:pPr>
      <w:r w:rsidDel="00000000" w:rsidR="00000000" w:rsidRPr="00000000">
        <w:rPr>
          <w:rtl w:val="0"/>
        </w:rPr>
        <w:t xml:space="preserve">Con este plan, el equipo comprometido con el proyecto asume la responsabilidad de respetar los límites del alcance, evitar incorporaciones no justificadas y garantizar la finalización de los entregables definidos. De esta manera, el documento se constituye como guía formal de ejecución, control y validación del producto final, asegurando la coherencia entre lo planificado y lo entregado, y dando paso a la siguiente etapa: la gestión del cronograma y calidad.</w:t>
      </w:r>
    </w:p>
    <w:p w:rsidR="00000000" w:rsidDel="00000000" w:rsidP="00000000" w:rsidRDefault="00000000" w:rsidRPr="00000000" w14:paraId="00000074">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widowControl w:val="0"/>
      <w:rPr>
        <w:b w:val="1"/>
        <w:bCs w:val="1"/>
        <w:sz w:val="18"/>
        <w:szCs w:val="18"/>
      </w:rPr>
    </w:pPr>
    <w:r w:rsidDel="00000000" w:rsidR="00000000" w:rsidRPr="00000000">
      <w:rPr>
        <w:rtl w:val="0"/>
      </w:rPr>
    </w:r>
  </w:p>
  <w:tbl>
    <w:tblPr>
      <w:tblStyle w:val="Table2"/>
      <w:tblW w:w="1054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4725"/>
      <w:gridCol w:w="3105"/>
      <w:tblGridChange w:id="0">
        <w:tblGrid>
          <w:gridCol w:w="2715"/>
          <w:gridCol w:w="4725"/>
          <w:gridCol w:w="3105"/>
        </w:tblGrid>
      </w:tblGridChange>
    </w:tblGrid>
    <w:tr>
      <w:trPr>
        <w:cantSplit w:val="0"/>
        <w:trHeight w:val="705" w:hRule="atLeast"/>
        <w:tblHeader w:val="0"/>
      </w:trPr>
      <w:tc>
        <w:tcPr>
          <w:shd w:fill="auto" w:val="clear"/>
        </w:tcPr>
        <w:p w:rsidR="00000000" w:rsidDel="00000000" w:rsidP="00000000" w:rsidRDefault="00000000" w:rsidRPr="00000000" w14:paraId="00000076">
          <w:pPr>
            <w:tabs>
              <w:tab w:val="center" w:leader="none" w:pos="4320"/>
              <w:tab w:val="right" w:leader="none" w:pos="8640"/>
            </w:tabs>
            <w:spacing w:line="240" w:lineRule="auto"/>
            <w:rPr>
              <w:b w:val="1"/>
              <w:bCs w:val="1"/>
              <w:sz w:val="18"/>
              <w:szCs w:val="18"/>
            </w:rPr>
          </w:pPr>
          <w:r w:rsidDel="00000000" w:rsidR="00000000" w:rsidRPr="00000000">
            <w:rPr>
              <w:rtl w:val="0"/>
            </w:rPr>
          </w:r>
        </w:p>
        <w:p w:rsidR="00000000" w:rsidDel="00000000" w:rsidP="00000000" w:rsidRDefault="00000000" w:rsidRPr="00000000" w14:paraId="00000077">
          <w:pPr>
            <w:tabs>
              <w:tab w:val="center" w:leader="none" w:pos="4320"/>
              <w:tab w:val="right" w:leader="none" w:pos="8640"/>
            </w:tabs>
            <w:spacing w:line="240" w:lineRule="auto"/>
            <w:rPr>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078">
          <w:pPr>
            <w:tabs>
              <w:tab w:val="center" w:leader="none" w:pos="4320"/>
              <w:tab w:val="right" w:leader="none" w:pos="8640"/>
            </w:tabs>
            <w:spacing w:after="240" w:before="240" w:line="240" w:lineRule="auto"/>
            <w:jc w:val="center"/>
            <w:rPr>
              <w:b w:val="1"/>
              <w:bCs w:val="1"/>
              <w:color w:val="17365d"/>
              <w:sz w:val="28"/>
              <w:szCs w:val="28"/>
            </w:rPr>
          </w:pPr>
          <w:r w:rsidDel="00000000" w:rsidR="00000000" w:rsidRPr="00000000">
            <w:rPr>
              <w:b w:val="1"/>
              <w:bCs w:val="1"/>
              <w:color w:val="17365d"/>
              <w:sz w:val="28"/>
              <w:szCs w:val="28"/>
              <w:rtl w:val="0"/>
            </w:rPr>
            <w:t xml:space="preserve">sistema analítico de consumo </w:t>
          </w:r>
        </w:p>
      </w:tc>
      <w:tc>
        <w:tcPr>
          <w:shd w:fill="auto" w:val="clear"/>
        </w:tcPr>
        <w:p w:rsidR="00000000" w:rsidDel="00000000" w:rsidP="00000000" w:rsidRDefault="00000000" w:rsidRPr="00000000" w14:paraId="00000079">
          <w:pPr>
            <w:tabs>
              <w:tab w:val="center" w:leader="none" w:pos="4320"/>
              <w:tab w:val="right" w:leader="none" w:pos="8640"/>
            </w:tabs>
            <w:spacing w:line="240" w:lineRule="auto"/>
            <w:rPr>
              <w:b w:val="1"/>
              <w:bCs w:val="1"/>
              <w:sz w:val="16"/>
              <w:szCs w:val="16"/>
            </w:rPr>
          </w:pPr>
          <w:r w:rsidDel="00000000" w:rsidR="00000000" w:rsidRPr="00000000">
            <w:rPr>
              <w:rtl w:val="0"/>
            </w:rPr>
          </w:r>
        </w:p>
        <w:p w:rsidR="00000000" w:rsidDel="00000000" w:rsidP="00000000" w:rsidRDefault="00000000" w:rsidRPr="00000000" w14:paraId="0000007A">
          <w:pPr>
            <w:tabs>
              <w:tab w:val="center" w:leader="none" w:pos="4320"/>
              <w:tab w:val="right" w:leader="none" w:pos="8640"/>
            </w:tabs>
            <w:spacing w:line="240" w:lineRule="auto"/>
            <w:rPr>
              <w:b w:val="1"/>
              <w:bCs w:val="1"/>
              <w:sz w:val="18"/>
              <w:szCs w:val="18"/>
            </w:rPr>
          </w:pPr>
          <w:r w:rsidDel="00000000" w:rsidR="00000000" w:rsidRPr="00000000">
            <w:rPr>
              <w:rtl w:val="0"/>
            </w:rPr>
          </w:r>
        </w:p>
      </w:tc>
    </w:tr>
  </w:tbl>
  <w:p w:rsidR="00000000" w:rsidDel="00000000" w:rsidP="00000000" w:rsidRDefault="00000000" w:rsidRPr="00000000" w14:paraId="0000007B">
    <w:pPr>
      <w:tabs>
        <w:tab w:val="center" w:leader="none" w:pos="4320"/>
        <w:tab w:val="right" w:leader="none" w:pos="864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