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86794" w14:textId="77777777" w:rsidR="00820035" w:rsidRDefault="00820035" w:rsidP="00820035">
      <w:pPr>
        <w:pStyle w:val="NormalWeb"/>
      </w:pPr>
      <w:r>
        <w:t xml:space="preserve">Bisa. Berikut versi yang lebih kaya fakta dan tetap dibuat seperti </w:t>
      </w:r>
      <w:r>
        <w:rPr>
          <w:rStyle w:val="Strong"/>
        </w:rPr>
        <w:t>narasi panel museum</w:t>
      </w:r>
      <w:r>
        <w:t xml:space="preserve">. Bagian </w:t>
      </w:r>
      <w:r>
        <w:rPr>
          <w:rStyle w:val="Strong"/>
        </w:rPr>
        <w:t>Bayt al-Ḥikmah</w:t>
      </w:r>
      <w:r>
        <w:t xml:space="preserve"> saya perluas dengan tokoh serta perkembangan ilmunya, dan </w:t>
      </w:r>
      <w:r>
        <w:rPr>
          <w:rStyle w:val="Strong"/>
        </w:rPr>
        <w:t>Rumeli Hisarı</w:t>
      </w:r>
      <w:r>
        <w:t xml:space="preserve"> saya tambahkan gambaran kehidupan garnisun Ottoman di dalam benteng.</w:t>
      </w:r>
    </w:p>
    <w:p w14:paraId="00BA9454" w14:textId="696ECE40" w:rsidR="00820035" w:rsidRDefault="00820035" w:rsidP="00820035">
      <w:pPr>
        <w:pStyle w:val="NormalWeb"/>
        <w:numPr>
          <w:ilvl w:val="0"/>
          <w:numId w:val="1"/>
        </w:numPr>
      </w:pPr>
      <w:r>
        <w:rPr>
          <w:rStyle w:val="Strong"/>
        </w:rPr>
        <w:t xml:space="preserve">DIORAMA RUMAH NABI - </w:t>
      </w:r>
      <w:r>
        <w:rPr>
          <w:rStyle w:val="Strong"/>
        </w:rPr>
        <w:t>Rumah Nabi Muhammad ﷺ di Madinah — Kehidupan Sederhana di Samping Masjid Nabawi</w:t>
      </w:r>
    </w:p>
    <w:p w14:paraId="10D8FBDD" w14:textId="77777777" w:rsidR="00820035" w:rsidRDefault="00820035" w:rsidP="00820035">
      <w:pPr>
        <w:pStyle w:val="NormalWeb"/>
        <w:ind w:left="720"/>
      </w:pPr>
      <w:r>
        <w:t xml:space="preserve">Ketika Nabi Muhammad ﷺ hijrah ke Madinah pada tahun 622 M, salah satu hal pertama yang dilakukan adalah membangun </w:t>
      </w:r>
      <w:r>
        <w:rPr>
          <w:rStyle w:val="Strong"/>
        </w:rPr>
        <w:t>Masjid Nabawi</w:t>
      </w:r>
      <w:r>
        <w:t>. Di sisi masjid kemudian dibangun beberapa kamar sederhana (</w:t>
      </w:r>
      <w:r>
        <w:rPr>
          <w:rStyle w:val="Emphasis"/>
        </w:rPr>
        <w:t>hujurāt</w:t>
      </w:r>
      <w:r>
        <w:t>) sebagai tempat tinggal Nabi bersama keluarganya. Bangunan ini jauh dari gambaran sebuah istana: dindingnya dibuat dari bahan sederhana yang tersedia di Madinah, seperti bata tanah, sedangkan bagian atap memanfaatkan batang dan pelepah kurma. Kedekatan antara rumah dan masjid memperlihatkan keunikan kehidupan Nabi: tempat tinggal, pusat ibadah, pendidikan, musyawarah, dan kehidupan masyarakat berada dalam satu lingkungan.</w:t>
      </w:r>
    </w:p>
    <w:p w14:paraId="6F42FA3E" w14:textId="77777777" w:rsidR="00820035" w:rsidRDefault="00820035" w:rsidP="00820035">
      <w:pPr>
        <w:pStyle w:val="NormalWeb"/>
        <w:ind w:left="720"/>
      </w:pPr>
      <w:r>
        <w:t xml:space="preserve">Salah satu ruangan yang paling terkenal adalah </w:t>
      </w:r>
      <w:r>
        <w:rPr>
          <w:rStyle w:val="Strong"/>
        </w:rPr>
        <w:t>Hujrah Aisyah</w:t>
      </w:r>
      <w:r>
        <w:t>, rumah Nabi bersama Aisyah binti Abu Bakar. Di ruangan inilah Nabi Muhammad ﷺ wafat pada tahun 632 M dan kemudian dimakamkan. Abu Bakar ash-Shiddiq dan Umar bin Khattab kemudian dimakamkan di ruangan yang sama. Ketika Masjid Nabawi diperluas pada masa berikutnya, bekas rumah tersebut akhirnya masuk ke dalam kompleks masjid. Karena itu, kawasan yang sekarang berada di sekitar Hujrah Nabawiyah bukan hanya tempat pemakaman Nabi, tetapi juga merupakan bagian dari lingkungan tempat beliau dahulu menjalani kehidupan sehari-hari.</w:t>
      </w:r>
    </w:p>
    <w:p w14:paraId="77870143" w14:textId="17FCF5DD" w:rsidR="00820035" w:rsidRDefault="00820035" w:rsidP="00820035">
      <w:pPr>
        <w:pStyle w:val="NormalWeb"/>
        <w:numPr>
          <w:ilvl w:val="0"/>
          <w:numId w:val="1"/>
        </w:numPr>
      </w:pPr>
      <w:r>
        <w:rPr>
          <w:rStyle w:val="Strong"/>
        </w:rPr>
        <w:t xml:space="preserve">DIORAMA UNTA - </w:t>
      </w:r>
      <w:r>
        <w:rPr>
          <w:rStyle w:val="Strong"/>
        </w:rPr>
        <w:t>Oasis dan Kehidupan Padang Gurun pada Masa Umayyah — Ketika Air Menentukan Kehidupan</w:t>
      </w:r>
    </w:p>
    <w:p w14:paraId="11485CC1" w14:textId="77777777" w:rsidR="00820035" w:rsidRDefault="00820035" w:rsidP="00820035">
      <w:pPr>
        <w:pStyle w:val="NormalWeb"/>
        <w:ind w:left="720"/>
      </w:pPr>
      <w:r>
        <w:t xml:space="preserve">Pada masa Kekhalifahan Umayyah, khususnya di wilayah Syam, sebagian besar perjalanan berlangsung melewati daerah stepa dan gurun. Dalam lingkungan seperti ini, </w:t>
      </w:r>
      <w:r>
        <w:rPr>
          <w:rStyle w:val="Strong"/>
        </w:rPr>
        <w:t>oasis, mata air, sumur, waduk, dan jalur air</w:t>
      </w:r>
      <w:r>
        <w:t xml:space="preserve"> memiliki nilai yang luar biasa. Sebuah sumber air dapat menentukan lokasi permukiman, jalur perjalanan kafilah, tempat menggembala ternak, hingga keberhasilan sebuah kawasan pertanian. Para musafir dan pedagang dapat berhenti untuk mengisi kantong-kantong air, memberi minum unta dan kuda, beristirahat, serta menukar barang sebelum kembali melintasi gurun.</w:t>
      </w:r>
    </w:p>
    <w:p w14:paraId="201B23DE" w14:textId="3620AD82" w:rsidR="00820035" w:rsidRDefault="00820035" w:rsidP="00820035">
      <w:pPr>
        <w:pStyle w:val="NormalWeb"/>
        <w:ind w:left="720"/>
      </w:pPr>
      <w:r>
        <w:t xml:space="preserve">Bangsa Umayyah juga membangun berbagai kompleks yang sekarang sering disebut </w:t>
      </w:r>
      <w:r>
        <w:rPr>
          <w:rStyle w:val="Strong"/>
        </w:rPr>
        <w:t>“desert castles” atau istana gurun</w:t>
      </w:r>
      <w:r>
        <w:t xml:space="preserve">, seperti </w:t>
      </w:r>
      <w:r>
        <w:rPr>
          <w:rStyle w:val="Strong"/>
        </w:rPr>
        <w:t>Qusayr ‘Amra, Qasr al-Hayr al-Sharqi, dan Qasr al-Hayr al-Gharbi</w:t>
      </w:r>
      <w:r>
        <w:t xml:space="preserve">. Di sekitar bangunan semacam ini ditemukan sistem sumur, penampungan air, kanal, pemandian, kebun, dan lahan pertanian. Dengan teknologi pengelolaan air tersebut, wilayah yang tampak tandus dapat berfungsi sebagai tempat persinggahan, pusat produksi pertanian, peternakan, sekaligus tempat elite Umayyah berinteraksi dengan masyarakat suku dan wilayah pedalaman. Qusayr ‘Amra sendiri memperlihatkan bagaimana air juga digunakan untuk kompleks pemandian yang cukup maju di tengah lingkungan gurun. </w:t>
      </w:r>
    </w:p>
    <w:p w14:paraId="4C3BC7A0" w14:textId="3A5FBC19" w:rsidR="00820035" w:rsidRDefault="00820035" w:rsidP="00820035">
      <w:pPr>
        <w:pStyle w:val="NormalWeb"/>
        <w:numPr>
          <w:ilvl w:val="0"/>
          <w:numId w:val="1"/>
        </w:numPr>
      </w:pPr>
      <w:r>
        <w:rPr>
          <w:rStyle w:val="Strong"/>
        </w:rPr>
        <w:t xml:space="preserve">DIORAMA TELESCOPE - </w:t>
      </w:r>
      <w:r>
        <w:rPr>
          <w:rStyle w:val="Strong"/>
        </w:rPr>
        <w:t>Bayt al-Ḥikmah (بَيْتُ الْحِكْمَة), Jantung Ilmu Pengetahuan Baghdad</w:t>
      </w:r>
    </w:p>
    <w:p w14:paraId="2C662602" w14:textId="6F2380D2" w:rsidR="00820035" w:rsidRDefault="00820035" w:rsidP="00820035">
      <w:pPr>
        <w:pStyle w:val="NormalWeb"/>
        <w:ind w:left="720"/>
      </w:pPr>
      <w:r>
        <w:lastRenderedPageBreak/>
        <w:t xml:space="preserve">Pada masa Abbasiyah, Baghdad berkembang menjadi salah satu pusat intelektual terbesar dunia. Salah satu institusi yang paling terkenal adalah </w:t>
      </w:r>
      <w:r>
        <w:rPr>
          <w:rStyle w:val="Strong"/>
        </w:rPr>
        <w:t>Bayt al-Ḥikmah — بيت الحكمة</w:t>
      </w:r>
      <w:r>
        <w:t xml:space="preserve">, yang berarti </w:t>
      </w:r>
      <w:r>
        <w:rPr>
          <w:rStyle w:val="Strong"/>
        </w:rPr>
        <w:t>“Rumah Kebijaksanaan” atau House of Wisdom</w:t>
      </w:r>
      <w:r>
        <w:t xml:space="preserve">. Akar lembaga ini berkaitan dengan perpustakaan dan koleksi buku istana Abbasiyah, kemudian mencapai masa penting pada pemerintahan Khalifah </w:t>
      </w:r>
      <w:r>
        <w:rPr>
          <w:rStyle w:val="Strong"/>
        </w:rPr>
        <w:t>al-Ma'mun (813–833 M)</w:t>
      </w:r>
      <w:r>
        <w:t xml:space="preserve">. Di lingkungan intelektual Baghdad, manuskrip dari tradisi Yunani, Persia, India, dan Suriah dikumpulkan, disalin, dipelajari, serta diterjemahkan ke dalam bahasa Arab. Karya-karya Euclid mengenai geometri, Ptolemy mengenai astronomi dan geografi, serta berbagai tulisan kedokteran dan filsafat Yunani menjadi bagian dari arus pengetahuan besar tersebut. Bayt al-Ḥikmah sebaiknya tidak dibayangkan seperti universitas modern yang seluruh penemuannya terjadi dalam satu gedung; ia merupakan bagian penting dari jaringan perpustakaan, penerjemah, ilmuwan, istana, dan observatorium yang menjadikan Baghdad pusat ilmu pengetahuan Abbasiyah. </w:t>
      </w:r>
    </w:p>
    <w:p w14:paraId="65CCEF3E" w14:textId="7801EC10" w:rsidR="00820035" w:rsidRDefault="00820035" w:rsidP="00820035">
      <w:pPr>
        <w:pStyle w:val="NormalWeb"/>
        <w:ind w:left="720"/>
      </w:pPr>
      <w:r>
        <w:t xml:space="preserve">Salah satu tokoh terbesarnya adalah </w:t>
      </w:r>
      <w:r>
        <w:rPr>
          <w:rStyle w:val="Strong"/>
        </w:rPr>
        <w:t>Muḥammad ibn Mūsā al-Khwārizmī</w:t>
      </w:r>
      <w:r>
        <w:t xml:space="preserve">, matematikawan, astronom, dan ahli geografi yang bekerja di lingkungan Bayt al-Ḥikmah. Melalui karyanya </w:t>
      </w:r>
      <w:r>
        <w:rPr>
          <w:rStyle w:val="Emphasis"/>
        </w:rPr>
        <w:t>Kitāb al-Mukhtaṣar fī Ḥisāb al-Jabr wal-Muqābalah</w:t>
      </w:r>
      <w:r>
        <w:t xml:space="preserve">, ia menyusun metode penyelesaian persamaan secara sistematis; dari kata </w:t>
      </w:r>
      <w:r>
        <w:rPr>
          <w:rStyle w:val="Strong"/>
        </w:rPr>
        <w:t>al-jabr</w:t>
      </w:r>
      <w:r>
        <w:t xml:space="preserve"> kemudian lahir istilah </w:t>
      </w:r>
      <w:r>
        <w:rPr>
          <w:rStyle w:val="Strong"/>
        </w:rPr>
        <w:t>algebra</w:t>
      </w:r>
      <w:r>
        <w:t xml:space="preserve">, sedangkan bentuk Latin dari nama al-Khwarizmi, </w:t>
      </w:r>
      <w:r>
        <w:rPr>
          <w:rStyle w:val="Emphasis"/>
        </w:rPr>
        <w:t>Algoritmi</w:t>
      </w:r>
      <w:r>
        <w:t xml:space="preserve">, menjadi asal kata </w:t>
      </w:r>
      <w:r>
        <w:rPr>
          <w:rStyle w:val="Strong"/>
        </w:rPr>
        <w:t>algorithm</w:t>
      </w:r>
      <w:r>
        <w:t xml:space="preserve">. Ia juga menulis mengenai sistem hitung India, astronomi, kalender, astrolab, dan geografi. Dalam lingkungan ilmiah yang sama, **Banū Mūsā—tiga bersaudara Muhammad, Ahmad, dan al-Hasan ibn Musa—**mengembangkan matematika, geometri, astronomi, serta teknik mekanik. Karya mereka tentang mesin-mesin cerdas membahas berbagai perangkat yang memanfaatkan air, udara, katup, tabung, dan mekanisme otomatis—cikal bakal penting dalam sejarah teknologi mekanik. </w:t>
      </w:r>
    </w:p>
    <w:p w14:paraId="02031989" w14:textId="369F1D5F" w:rsidR="00820035" w:rsidRDefault="00820035" w:rsidP="00820035">
      <w:pPr>
        <w:pStyle w:val="NormalWeb"/>
        <w:ind w:left="720"/>
      </w:pPr>
      <w:r>
        <w:t xml:space="preserve">Masa al-Ma'mun juga menjadi periode penting bagi </w:t>
      </w:r>
      <w:r>
        <w:rPr>
          <w:rStyle w:val="Strong"/>
        </w:rPr>
        <w:t>astronomi dan ilmu bumi</w:t>
      </w:r>
      <w:r>
        <w:t xml:space="preserve">. Sang khalifah mendukung pembangunan observatorium dan pengamatan posisi Matahari, Bulan, planet, serta bintang untuk menghasilkan tabel astronomi yang lebih akurat. Para ilmuwan juga melakukan upaya terkenal untuk memperkirakan </w:t>
      </w:r>
      <w:r>
        <w:rPr>
          <w:rStyle w:val="Strong"/>
        </w:rPr>
        <w:t>ukuran bumi dengan mengukur panjang satu derajat pada permukaan bumi</w:t>
      </w:r>
      <w:r>
        <w:t xml:space="preserve">, menunjukkan bahwa astronomi saat itu tidak hanya bersifat teoritis tetapi juga menggunakan observasi dan pengukuran. Dalam geografi, al-Khwarizmi menyusun </w:t>
      </w:r>
      <w:r>
        <w:rPr>
          <w:rStyle w:val="Emphasis"/>
        </w:rPr>
        <w:t>Kitāb Ṣūrat al-Arḍ</w:t>
      </w:r>
      <w:r>
        <w:t xml:space="preserve"> atau “Buku Gambaran Bumi”, yang menggunakan dan memperbaiki sebagian data geografis warisan Ptolemy. Dalam bidang kedokteran, gerakan penerjemahan Baghdad—termasuk tokoh seperti </w:t>
      </w:r>
      <w:r>
        <w:rPr>
          <w:rStyle w:val="Strong"/>
        </w:rPr>
        <w:t>Hunayn ibn Ishaq</w:t>
      </w:r>
      <w:r>
        <w:t xml:space="preserve">—membantu menghadirkan karya-karya Hippocrates dan Galen dalam bahasa Arab. Jadi, pencapaian terbesar masa Bayt al-Ḥikmah bukan satu “penemuan” saja, melainkan sebuah budaya baru: </w:t>
      </w:r>
      <w:r>
        <w:rPr>
          <w:rStyle w:val="Strong"/>
        </w:rPr>
        <w:t>menerjemahkan pengetahuan lama, mengujinya, mengoreksinya, lalu mengembangkannya menjadi pengetahuan baru</w:t>
      </w:r>
      <w:r>
        <w:t xml:space="preserve">. </w:t>
      </w:r>
    </w:p>
    <w:p w14:paraId="4BF7417C" w14:textId="4E99B291" w:rsidR="00820035" w:rsidRDefault="00820035" w:rsidP="00820035">
      <w:pPr>
        <w:pStyle w:val="NormalWeb"/>
        <w:numPr>
          <w:ilvl w:val="0"/>
          <w:numId w:val="1"/>
        </w:numPr>
      </w:pPr>
      <w:r>
        <w:rPr>
          <w:rStyle w:val="Strong"/>
        </w:rPr>
        <w:t xml:space="preserve">DIORAMA TOPKAPI - </w:t>
      </w:r>
      <w:r>
        <w:rPr>
          <w:rStyle w:val="Strong"/>
        </w:rPr>
        <w:t>Istana Topkapı — Jantung Kekuasaan Kesultanan Ottoman</w:t>
      </w:r>
    </w:p>
    <w:p w14:paraId="67980C09" w14:textId="77777777" w:rsidR="00820035" w:rsidRDefault="00820035" w:rsidP="00820035">
      <w:pPr>
        <w:pStyle w:val="NormalWeb"/>
        <w:ind w:left="720"/>
      </w:pPr>
      <w:r>
        <w:t xml:space="preserve">Setelah menaklukkan Konstantinopel pada tahun 1453, Sultan </w:t>
      </w:r>
      <w:r>
        <w:rPr>
          <w:rStyle w:val="Strong"/>
        </w:rPr>
        <w:t>Mehmed II atau Mehmed Sang Penakluk</w:t>
      </w:r>
      <w:r>
        <w:t xml:space="preserve"> mulai membangun pusat pemerintahan baru yang kelak dikenal sebagai </w:t>
      </w:r>
      <w:r>
        <w:rPr>
          <w:rStyle w:val="Strong"/>
        </w:rPr>
        <w:t>Topkapı Sarayı atau Istana Topkapı</w:t>
      </w:r>
      <w:r>
        <w:t xml:space="preserve">. Kompleks ini berdiri di sebuah tanjung strategis dengan pemandangan ke </w:t>
      </w:r>
      <w:r>
        <w:rPr>
          <w:rStyle w:val="Strong"/>
        </w:rPr>
        <w:t>Bosphorus, Golden Horn, dan Laut Marmara</w:t>
      </w:r>
      <w:r>
        <w:t xml:space="preserve">. Berbeda dengan banyak istana Eropa yang berbentuk satu bangunan </w:t>
      </w:r>
      <w:r>
        <w:lastRenderedPageBreak/>
        <w:t>monumental, Topkapı berkembang sebagai sebuah “kota kerajaan” yang terdiri dari halaman, taman, paviliun, ruang pemerintahan, dapur, perbendaharaan, masjid, sekolah, dan tempat tinggal.</w:t>
      </w:r>
    </w:p>
    <w:p w14:paraId="4F12ABE1" w14:textId="7403DCE6" w:rsidR="00820035" w:rsidRDefault="00820035" w:rsidP="00820035">
      <w:pPr>
        <w:pStyle w:val="NormalWeb"/>
        <w:ind w:left="720"/>
      </w:pPr>
      <w:r>
        <w:t xml:space="preserve">Kehidupan di dalamnya mengikuti hierarki yang sangat ketat. Di satu bagian terdapat </w:t>
      </w:r>
      <w:r>
        <w:rPr>
          <w:rStyle w:val="Strong"/>
        </w:rPr>
        <w:t>Divan-ı Hümayun atau Dewan Kekaisaran</w:t>
      </w:r>
      <w:r>
        <w:t xml:space="preserve">, tempat para pejabat membicarakan urusan negara. Semakin jauh memasuki kompleks istana, semakin terbatas pula orang yang diperbolehkan masuk. Di bagian dalam terdapat </w:t>
      </w:r>
      <w:r>
        <w:rPr>
          <w:rStyle w:val="Strong"/>
        </w:rPr>
        <w:t>Enderun</w:t>
      </w:r>
      <w:r>
        <w:t xml:space="preserve">, sekolah istana yang mendidik calon pejabat tinggi, serta kawasan </w:t>
      </w:r>
      <w:r>
        <w:rPr>
          <w:rStyle w:val="Strong"/>
        </w:rPr>
        <w:t>Harem</w:t>
      </w:r>
      <w:r>
        <w:t xml:space="preserve">, tempat keluarga Sultan tinggal. Topkapı bahkan memiliki kelompok pelayan dan prajurit khusus seperti </w:t>
      </w:r>
      <w:r>
        <w:rPr>
          <w:rStyle w:val="Strong"/>
        </w:rPr>
        <w:t>Zülüflü Baltacılar atau Tressed Halberdiers</w:t>
      </w:r>
      <w:r>
        <w:t xml:space="preserve">, yang bekerja melayani istana sekaligus dapat mendampingi pasukan dalam kampanye militer. Dengan demikian, Topkapı bukan hanya rumah Sultan, tetapi selama berabad-abad merupakan pusat administrasi sebuah kekaisaran yang wilayahnya membentang di tiga benua. </w:t>
      </w:r>
    </w:p>
    <w:p w14:paraId="1A58C52F" w14:textId="5493FDF3" w:rsidR="00820035" w:rsidRDefault="00820035" w:rsidP="00820035">
      <w:pPr>
        <w:pStyle w:val="NormalWeb"/>
        <w:numPr>
          <w:ilvl w:val="0"/>
          <w:numId w:val="1"/>
        </w:numPr>
      </w:pPr>
      <w:r>
        <w:rPr>
          <w:rStyle w:val="Strong"/>
        </w:rPr>
        <w:t xml:space="preserve">DIORAMA BENTENG OTTOMAN - </w:t>
      </w:r>
      <w:r>
        <w:rPr>
          <w:rStyle w:val="Strong"/>
        </w:rPr>
        <w:t>Rumeli Hisarı — Benteng yang “Mengunci” Bosphorus</w:t>
      </w:r>
    </w:p>
    <w:p w14:paraId="5A916BDF" w14:textId="26758788" w:rsidR="00820035" w:rsidRDefault="00820035" w:rsidP="00820035">
      <w:pPr>
        <w:pStyle w:val="NormalWeb"/>
        <w:ind w:left="720"/>
      </w:pPr>
      <w:r>
        <w:t xml:space="preserve">Benteng ini diperintahkan Sultan Mehmed II pada tahun </w:t>
      </w:r>
      <w:r>
        <w:rPr>
          <w:rStyle w:val="Strong"/>
        </w:rPr>
        <w:t>1452</w:t>
      </w:r>
      <w:r>
        <w:t xml:space="preserve">, hanya setahun sebelum Konstantinopel ditaklukkan. Pembangunannya dimulai sekitar bulan Maret dan selesai pada Agustus tahun yang sama—sebuah pekerjaan luar biasa cepat yang menurut sumber resmi melibatkan sekitar </w:t>
      </w:r>
      <w:r>
        <w:rPr>
          <w:rStyle w:val="Strong"/>
        </w:rPr>
        <w:t>300 ahli bangunan, 700–800 pekerja, serta sekitar 200 pengangkut, pengemudi, tukang perahu, dan tenaga logistik</w:t>
      </w:r>
      <w:r>
        <w:t xml:space="preserve">. Benteng berdiri tepat di salah satu bagian tersempit Bosphorus dan berhadapan dengan </w:t>
      </w:r>
      <w:r>
        <w:rPr>
          <w:rStyle w:val="Strong"/>
        </w:rPr>
        <w:t>Anadolu Hisarı</w:t>
      </w:r>
      <w:r>
        <w:t>, benteng Ottoman yang lebih dahulu dibangun di sisi Asia. Dengan dua benteng tersebut, Ottoman dapat mengawasi lalu lintas antara Laut Hitam dan Konstantinopel</w:t>
      </w:r>
    </w:p>
    <w:p w14:paraId="17E43503" w14:textId="6BE7BD9E" w:rsidR="00820035" w:rsidRDefault="00820035" w:rsidP="00820035">
      <w:pPr>
        <w:pStyle w:val="NormalWeb"/>
        <w:ind w:left="720"/>
      </w:pPr>
      <w:r>
        <w:t xml:space="preserve">Rumeli Hisarı bukan sekadar tembok kosong. Setelah pembangunan selesai, sekitar </w:t>
      </w:r>
      <w:r>
        <w:rPr>
          <w:rStyle w:val="Strong"/>
        </w:rPr>
        <w:t>400 prajurit ditempatkan sebagai garnisun di bawah komando Firuz Ağa</w:t>
      </w:r>
      <w:r>
        <w:t xml:space="preserve">. Di dalam benteng dibangun rumah-rumah kayu bagi para prajurit, masjid, tempat penyimpanan gandum dan makanan, gudang senjata serta amunisi. Setiap hari para penjaga mengawasi Bosphorus dari menara dan tembok, sementara pasukan artileri menjaga meriam-meriam yang diarahkan ke jalur pelayaran. Kapal yang lewat diperintahkan berhenti untuk diperiksa dan membayar bea; kapal yang menolak dapat ditembaki. Dengan demikian kehidupan para prajurit di Rumeli Hisarı terdiri dari </w:t>
      </w:r>
      <w:r>
        <w:rPr>
          <w:rStyle w:val="Strong"/>
        </w:rPr>
        <w:t>berjaga, merawat persenjataan, mengawasi kapal, mengatur logistik, menyimpan makanan dan amunisi, serta mempertahankan benteng selama dua puluh empat jam</w:t>
      </w:r>
      <w:r>
        <w:t xml:space="preserve">. </w:t>
      </w:r>
    </w:p>
    <w:p w14:paraId="28D27641" w14:textId="3462352F" w:rsidR="00820035" w:rsidRDefault="00820035" w:rsidP="00820035">
      <w:pPr>
        <w:pStyle w:val="NormalWeb"/>
        <w:ind w:left="720"/>
      </w:pPr>
      <w:r>
        <w:t xml:space="preserve">Salah satu peristiwa yang menunjukkan betapa seriusnya perintah tersebut terjadi pada akhir 1452, ketika sebuah </w:t>
      </w:r>
      <w:r>
        <w:rPr>
          <w:rStyle w:val="Strong"/>
        </w:rPr>
        <w:t>kapal dagang Venesia menolak berhenti dan kemudian ditembak oleh meriam Rumeli Hisarı hingga tenggelam</w:t>
      </w:r>
      <w:r>
        <w:t xml:space="preserve">. Pesannya jelas: Bosphorus kini berada di bawah kendali Mehmed II. Ketika pengepungan Konstantinopel dimulai pada 1453, garnisun Rumeli Hisarı membantu memastikan jalur Laut Hitam tetap terkendali sementara pasukan utama Ottoman mengepung kota dari daratan dan laut. Karena fungsinya inilah benteng tersebut juga dikenal sebagai </w:t>
      </w:r>
      <w:r>
        <w:rPr>
          <w:rStyle w:val="Strong"/>
        </w:rPr>
        <w:t>Boğazkesen</w:t>
      </w:r>
      <w:r>
        <w:t xml:space="preserve">, sebuah nama yang dapat dimaknai sebagai “pemotong/pengunci selat”. </w:t>
      </w:r>
    </w:p>
    <w:p w14:paraId="2D0F5E00" w14:textId="7F0E42A7" w:rsidR="00820035" w:rsidRDefault="00820035" w:rsidP="00820035">
      <w:pPr>
        <w:pStyle w:val="NormalWeb"/>
        <w:numPr>
          <w:ilvl w:val="0"/>
          <w:numId w:val="1"/>
        </w:numPr>
      </w:pPr>
      <w:r>
        <w:rPr>
          <w:rStyle w:val="Strong"/>
        </w:rPr>
        <w:lastRenderedPageBreak/>
        <w:t xml:space="preserve">DIORAMA TAJ MAHAL - </w:t>
      </w:r>
      <w:r>
        <w:rPr>
          <w:rStyle w:val="Strong"/>
        </w:rPr>
        <w:t>Taj Mahal — Makam, Taman Surga, dan Puncak Arsitektur Mughal</w:t>
      </w:r>
    </w:p>
    <w:p w14:paraId="4195FD4B" w14:textId="77777777" w:rsidR="00820035" w:rsidRDefault="00820035" w:rsidP="00820035">
      <w:pPr>
        <w:pStyle w:val="NormalWeb"/>
        <w:ind w:left="720"/>
      </w:pPr>
      <w:r>
        <w:t xml:space="preserve">Di kota Agra, Kaisar Mughal </w:t>
      </w:r>
      <w:r>
        <w:rPr>
          <w:rStyle w:val="Strong"/>
        </w:rPr>
        <w:t>Shah Jahan</w:t>
      </w:r>
      <w:r>
        <w:t xml:space="preserve"> membangun Taj Mahal untuk mengenang istrinya, </w:t>
      </w:r>
      <w:r>
        <w:rPr>
          <w:rStyle w:val="Strong"/>
        </w:rPr>
        <w:t>Mumtaz Mahal</w:t>
      </w:r>
      <w:r>
        <w:t xml:space="preserve">, yang wafat pada tahun 1631. Pembangunan dimulai sekitar 1632 dan melibatkan suatu kompleks yang jauh lebih besar daripada sekadar bangunan marmer putih yang terkenal sekarang. Di dalamnya terdapat gerbang monumental, taman, masjid, bangunan pasangan di sisi berlawanan, kolam refleksi, serta mausoleum yang ditempatkan pada teras di tepi Sungai Yamuna. Susunan taman yang terbagi secara geometris mengikuti tradisi </w:t>
      </w:r>
      <w:r>
        <w:rPr>
          <w:rStyle w:val="Strong"/>
        </w:rPr>
        <w:t>charbagh</w:t>
      </w:r>
      <w:r>
        <w:t>, sebuah konsep taman Persia-Islam yang sering dikaitkan dengan gambaran taman surga.</w:t>
      </w:r>
    </w:p>
    <w:p w14:paraId="3222F12D" w14:textId="77777777" w:rsidR="00820035" w:rsidRDefault="00820035" w:rsidP="00820035">
      <w:pPr>
        <w:pStyle w:val="NormalWeb"/>
        <w:ind w:left="720"/>
      </w:pPr>
      <w:r>
        <w:t xml:space="preserve">Keindahan Taj Mahal muncul dari ketelitian yang luar biasa. Marmer putih dihiasi </w:t>
      </w:r>
      <w:r>
        <w:rPr>
          <w:rStyle w:val="Strong"/>
        </w:rPr>
        <w:t xml:space="preserve">kaligrafi Al-Qur'an, relief bunga, serta teknik </w:t>
      </w:r>
      <w:r>
        <w:rPr>
          <w:rStyle w:val="Emphasis"/>
          <w:b/>
          <w:bCs/>
        </w:rPr>
        <w:t>pietra dura</w:t>
      </w:r>
      <w:r>
        <w:rPr>
          <w:rStyle w:val="Strong"/>
        </w:rPr>
        <w:t xml:space="preserve"> atau </w:t>
      </w:r>
      <w:r>
        <w:rPr>
          <w:rStyle w:val="Emphasis"/>
          <w:b/>
          <w:bCs/>
        </w:rPr>
        <w:t>parchin kari</w:t>
      </w:r>
      <w:r>
        <w:t xml:space="preserve">, yaitu menyisipkan potongan batu semi-mulia ke permukaan marmer hingga membentuk bunga dan pola hias. Empat menara mengapit mausoleum, sementara kubah utama mendominasi siluet kompleks. Ruangan utama berisi makam simbolis atau </w:t>
      </w:r>
      <w:r>
        <w:rPr>
          <w:rStyle w:val="Strong"/>
        </w:rPr>
        <w:t>cenotaph</w:t>
      </w:r>
      <w:r>
        <w:t xml:space="preserve"> Mumtaz Mahal dan Shah Jahan; jasad mereka sebenarnya dimakamkan di ruang yang lebih rendah. Menariknya, hampir seluruh kompleks dirancang sangat simetris, tetapi cenotaph Shah Jahan—yang ditempatkan di samping Mumtaz setelah wafatnya—menjadi salah satu unsur yang memecah kesempurnaan simetri tersebut.</w:t>
      </w:r>
    </w:p>
    <w:p w14:paraId="1AF2B0DE" w14:textId="77777777" w:rsidR="0052138B" w:rsidRDefault="0052138B"/>
    <w:sectPr w:rsidR="00521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D0A81"/>
    <w:multiLevelType w:val="multilevel"/>
    <w:tmpl w:val="6F8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35"/>
    <w:rsid w:val="0052138B"/>
    <w:rsid w:val="0082003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5D89"/>
  <w15:chartTrackingRefBased/>
  <w15:docId w15:val="{C6D70BC5-34C7-44D0-9714-5AB8DB15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0035"/>
    <w:pPr>
      <w:spacing w:before="100" w:beforeAutospacing="1" w:after="100" w:afterAutospacing="1" w:line="240" w:lineRule="auto"/>
    </w:pPr>
    <w:rPr>
      <w:rFonts w:ascii="Times New Roman" w:eastAsia="Times New Roman" w:hAnsi="Times New Roman" w:cs="Times New Roman"/>
      <w:noProof w:val="0"/>
      <w:sz w:val="24"/>
      <w:szCs w:val="24"/>
      <w:lang w:val="en-ID"/>
    </w:rPr>
  </w:style>
  <w:style w:type="character" w:styleId="Strong">
    <w:name w:val="Strong"/>
    <w:basedOn w:val="DefaultParagraphFont"/>
    <w:uiPriority w:val="22"/>
    <w:qFormat/>
    <w:rsid w:val="00820035"/>
    <w:rPr>
      <w:b/>
      <w:bCs/>
    </w:rPr>
  </w:style>
  <w:style w:type="character" w:styleId="Emphasis">
    <w:name w:val="Emphasis"/>
    <w:basedOn w:val="DefaultParagraphFont"/>
    <w:uiPriority w:val="20"/>
    <w:qFormat/>
    <w:rsid w:val="00820035"/>
    <w:rPr>
      <w:i/>
      <w:iCs/>
    </w:rPr>
  </w:style>
  <w:style w:type="character" w:styleId="Hyperlink">
    <w:name w:val="Hyperlink"/>
    <w:basedOn w:val="DefaultParagraphFont"/>
    <w:uiPriority w:val="99"/>
    <w:semiHidden/>
    <w:unhideWhenUsed/>
    <w:rsid w:val="008200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04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1619</Words>
  <Characters>9231</Characters>
  <Application>Microsoft Office Word</Application>
  <DocSecurity>0</DocSecurity>
  <Lines>76</Lines>
  <Paragraphs>21</Paragraphs>
  <ScaleCrop>false</ScaleCrop>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1</cp:revision>
  <dcterms:created xsi:type="dcterms:W3CDTF">2026-09-02T09:00:00Z</dcterms:created>
  <dcterms:modified xsi:type="dcterms:W3CDTF">2026-09-02T09:03:00Z</dcterms:modified>
</cp:coreProperties>
</file>