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Maintenance Work Order SOP</w:t>
      </w:r>
    </w:p>
    <w:p>
      <w:r>
        <w:t>Document ID: SOP-MAINT-002 | Revision: 3 | Owner: Maintenance Planning</w:t>
      </w:r>
    </w:p>
    <w:p>
      <w:pPr>
        <w:pStyle w:val="Heading1"/>
      </w:pPr>
      <w:r>
        <w:t>1. Receive and validate</w:t>
      </w:r>
    </w:p>
    <w:p>
      <w:r>
        <w:t>Confirm the asset tag, site code, symptom, requester, and production impact. For WO-1042, verify that COMP-03 is at NORTH-01 and that the reported vibration is still present.</w:t>
      </w:r>
    </w:p>
    <w:p>
      <w:pPr>
        <w:pStyle w:val="Heading1"/>
      </w:pPr>
      <w:r>
        <w:t>2. Make the job safe</w:t>
      </w:r>
    </w:p>
    <w:p>
      <w:r>
        <w:t>Review the job hazard analysis. Apply lockout/tagout before opening guards or disconnecting energy. Record the permit number in the work order.</w:t>
      </w:r>
    </w:p>
    <w:p>
      <w:pPr>
        <w:pStyle w:val="Heading1"/>
      </w:pPr>
      <w:r>
        <w:t>3. Diagnose and repair</w:t>
      </w:r>
    </w:p>
    <w:p>
      <w:r>
        <w:t>Capture baseline readings before repair. Inspect the coupling, lubrication, alignment, and bearing condition. Use approved spare part BRG-6205 when the bearing replacement decision is confirmed.</w:t>
      </w:r>
    </w:p>
    <w:p>
      <w:pPr>
        <w:pStyle w:val="Heading1"/>
      </w:pPr>
      <w:r>
        <w:t>4. Test and return to service</w:t>
      </w:r>
    </w:p>
    <w:p>
      <w:r>
        <w:t>Run the asset at no load, then at normal operating load. Record vibration and temperature readings. Stop the test if a safety limit is exceeded.</w:t>
      </w:r>
    </w:p>
    <w:p>
      <w:pPr>
        <w:pStyle w:val="Heading1"/>
      </w:pPr>
      <w:r>
        <w:t>5. Close the work order</w:t>
      </w:r>
    </w:p>
    <w:p>
      <w:r>
        <w:t>Record labor hours, parts, measurements, photographs, and the root cause. The maintenance supervisor reviews the record. Only then may the planner set the status to Closed.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Asset and site confirmed</w:t>
      </w:r>
    </w:p>
    <w:p>
      <w:pPr>
        <w:pStyle w:val="ListBullet"/>
      </w:pPr>
      <w:r>
        <w:t>Permit and lockout/tagout recorded</w:t>
      </w:r>
    </w:p>
    <w:p>
      <w:pPr>
        <w:pStyle w:val="ListBullet"/>
      </w:pPr>
      <w:r>
        <w:t>Parts and labor recorded</w:t>
      </w:r>
    </w:p>
    <w:p>
      <w:pPr>
        <w:pStyle w:val="ListBullet"/>
      </w:pPr>
      <w:r>
        <w:t>Post-repair readings within limits</w:t>
      </w:r>
    </w:p>
    <w:p>
      <w:pPr>
        <w:pStyle w:val="ListBullet"/>
      </w:pPr>
      <w:r>
        <w:t>Supervisor review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