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0"/>
        </w:rPr>
        <w:t>Comparative Analysis of Madugalla et al. Versions</w:t>
      </w:r>
    </w:p>
    <w:p>
      <w:pPr>
        <w:spacing w:before="0" w:after="240"/>
      </w:pPr>
      <w:r>
        <w:rPr>
          <w:rFonts w:ascii="Calibri" w:hAnsi="Calibri"/>
          <w:i/>
          <w:color w:val="4A607A"/>
          <w:sz w:val="22"/>
        </w:rPr>
        <w:t>Evidence Extraction, Quantitative Audit, and Workshop Paper Alignment</w:t>
      </w:r>
    </w:p>
    <w:p>
      <w:pPr>
        <w:keepNext/>
        <w:spacing w:before="280" w:after="80"/>
      </w:pPr>
      <w:r>
        <w:rPr>
          <w:rFonts w:ascii="Calibri" w:hAnsi="Calibri"/>
          <w:b/>
          <w:color w:val="1B365D"/>
          <w:sz w:val="27"/>
        </w:rPr>
        <w:t>1. Source Scope and Version Availability Note</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20" w:type="dxa"/>
              <w:bottom w:w="120" w:type="dxa"/>
              <w:left w:w="160" w:type="dxa"/>
              <w:right w:w="140" w:type="dxa"/>
            </w:tcMar>
            <w:tcBorders>
              <w:top w:val="none"/>
              <w:left w:val="single" w:sz="24" w:space="0" w:color="1B365D"/>
              <w:bottom w:val="none"/>
              <w:right w:val="none"/>
            </w:tcBorders>
          </w:tcPr>
          <w:p>
            <w:pPr>
              <w:spacing w:before="40" w:after="40" w:line="276" w:lineRule="auto"/>
            </w:pPr>
            <w:r>
              <w:rPr>
                <w:rFonts w:ascii="Calibri" w:hAnsi="Calibri"/>
                <w:b/>
                <w:color w:val="1B365D"/>
                <w:sz w:val="19"/>
              </w:rPr>
              <w:t>Single Available Version in Notebook Sources</w:t>
              <w:br/>
            </w:r>
            <w:r>
              <w:rPr>
                <w:rFonts w:ascii="Calibri" w:hAnsi="Calibri"/>
                <w:color w:val="333333"/>
                <w:sz w:val="18"/>
              </w:rPr>
              <w:t>The notebook sources contain only one version of the work by Madugalla et al.: the document 2511.12856v2.pdf (arXiv version 2) [Madugalla et al. (arXiv v2), p. 1]. A second version, such as an SSRN preprint or arXiv version 1, is not present in the notebook sources. Under the evaluation rules, all metadata and quantitative entries for any second version are formally recorded as "Not stated in the source", and direct differences between versions cannot be computed from the sources.</w:t>
            </w:r>
          </w:p>
        </w:tc>
      </w:tr>
    </w:tbl>
    <w:p>
      <w:pPr>
        <w:spacing w:before="0" w:after="60"/>
      </w:pPr>
    </w:p>
    <w:p>
      <w:pPr>
        <w:spacing w:before="20" w:after="80" w:line="276" w:lineRule="auto"/>
      </w:pPr>
      <w:r>
        <w:rPr>
          <w:rFonts w:ascii="Calibri" w:hAnsi="Calibri"/>
          <w:b w:val="0"/>
          <w:i w:val="0"/>
          <w:color w:val="222222"/>
          <w:sz w:val="19"/>
        </w:rPr>
        <w:t xml:space="preserve">This document provides a strict, source-grounded related-work audit of the available version </w:t>
      </w:r>
      <w:r>
        <w:rPr>
          <w:rFonts w:ascii="Calibri" w:hAnsi="Calibri"/>
          <w:b w:val="0"/>
          <w:i w:val="0"/>
          <w:color w:val="222222"/>
          <w:sz w:val="19"/>
        </w:rPr>
        <w:t>[Madugalla et al. (arXiv v2), p. 1]</w:t>
      </w:r>
      <w:r>
        <w:rPr>
          <w:rFonts w:ascii="Calibri" w:hAnsi="Calibri"/>
          <w:b w:val="0"/>
          <w:i w:val="0"/>
          <w:color w:val="222222"/>
          <w:sz w:val="19"/>
        </w:rPr>
        <w:t>. It extracts the authors' experimental procedure, quantitative validation results, system claims, and stated limitations, followed by an explicit comparison with our ongoing flood explanation adaptation research.</w:t>
      </w:r>
    </w:p>
    <w:p>
      <w:pPr>
        <w:keepNext/>
        <w:spacing w:before="280" w:after="80"/>
      </w:pPr>
      <w:r>
        <w:rPr>
          <w:rFonts w:ascii="Calibri" w:hAnsi="Calibri"/>
          <w:b/>
          <w:color w:val="1B365D"/>
          <w:sz w:val="27"/>
        </w:rPr>
        <w:t>2. Comparison of Versions</w:t>
      </w:r>
    </w:p>
    <w:p>
      <w:pPr>
        <w:spacing w:before="20" w:after="80" w:line="276" w:lineRule="auto"/>
      </w:pPr>
      <w:r>
        <w:rPr>
          <w:rFonts w:ascii="Calibri" w:hAnsi="Calibri"/>
          <w:b w:val="0"/>
          <w:i w:val="0"/>
          <w:color w:val="222222"/>
          <w:sz w:val="19"/>
        </w:rPr>
        <w:t>Table 1 summarizes all reported bibliographic metadata and quantitative evaluation parameters across versions. Because only one version is available in the notebook sources, values for the second version cannot be verified from the sources and are marked accordingly.</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rPr>
          <w:tblHeader/>
          <w:cantSplit/>
        </w:trPr>
        <w:tc>
          <w:tcPr>
            <w:tcW w:type="dxa" w:w="2592"/>
            <w:vAlign w:val="center"/>
            <w:shd w:fill="1B365D" w:val="clear"/>
            <w:tcMar>
              <w:top w:w="100" w:type="dxa"/>
              <w:bottom w:w="100" w:type="dxa"/>
              <w:left w:w="120" w:type="dxa"/>
              <w:right w:w="120" w:type="dxa"/>
            </w:tcMar>
          </w:tcPr>
          <w:p>
            <w:r>
              <w:rPr>
                <w:rFonts w:ascii="Calibri" w:hAnsi="Calibri"/>
                <w:b/>
                <w:color w:val="FFFFFF"/>
                <w:sz w:val="18"/>
              </w:rPr>
              <w:t>Attribute</w:t>
            </w:r>
          </w:p>
        </w:tc>
        <w:tc>
          <w:tcPr>
            <w:tcW w:type="dxa" w:w="3744"/>
            <w:vAlign w:val="center"/>
            <w:shd w:fill="1B365D" w:val="clear"/>
            <w:tcMar>
              <w:top w:w="100" w:type="dxa"/>
              <w:bottom w:w="100" w:type="dxa"/>
              <w:left w:w="120" w:type="dxa"/>
              <w:right w:w="120" w:type="dxa"/>
            </w:tcMar>
          </w:tcPr>
          <w:p>
            <w:r>
              <w:rPr>
                <w:rFonts w:ascii="Calibri" w:hAnsi="Calibri"/>
                <w:b/>
                <w:color w:val="FFFFFF"/>
                <w:sz w:val="18"/>
              </w:rPr>
              <w:t>Available Version (2511.12856v2.pdf / arXiv v2)</w:t>
            </w:r>
          </w:p>
        </w:tc>
        <w:tc>
          <w:tcPr>
            <w:tcW w:type="dxa" w:w="3024"/>
            <w:vAlign w:val="center"/>
            <w:shd w:fill="1B365D" w:val="clear"/>
            <w:tcMar>
              <w:top w:w="100" w:type="dxa"/>
              <w:bottom w:w="100" w:type="dxa"/>
              <w:left w:w="120" w:type="dxa"/>
              <w:right w:w="120" w:type="dxa"/>
            </w:tcMar>
          </w:tcPr>
          <w:p>
            <w:r>
              <w:rPr>
                <w:rFonts w:ascii="Calibri" w:hAnsi="Calibri"/>
                <w:b/>
                <w:color w:val="FFFFFF"/>
                <w:sz w:val="18"/>
              </w:rPr>
              <w:t>Second Version (e.g., SSRN / arXiv v1)</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Title</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Human-Centred Requirements Engineering for Critical Systems: Insights from Disaster Early Warning Applications [Madugalla et al. (arXiv v2), p. 1]</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Date printed</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 [Madugalla et al. (arXiv v2), p. 1]</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Venue</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 [Madugalla et al. (arXiv v2), p. 1]</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Vulnerable user groups</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4 groups: older adults, low-digital-literacy users, rural users, and colour-blind users [Madugalla et al. (arXiv v2), p. 1]</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Inclusive design guidelines</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62 guidelines: 41 community-specific, 21 shared [Madugalla et al. (arXiv v2), p. 1, 6]</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Total requirements catalogue</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67 requirements [Madugalla et al. (arXiv v2), p. 1, 7]</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Functional requirements</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17 requirements [Madugalla et al. (arXiv v2), p. 7]</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Non-functional requirements</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50 requirements: 27 usability, 19 accessibility, 3 performance/efficiency, 1 reliability [Madugalla et al. (arXiv v2), p. 7]</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Interview participants</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6 participants: 2 older adults age &gt; 70, 4 rural residents [Madugalla et al. (arXiv v2), p. 1, 8, 9]</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Interview tasks</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7 predefined tasks [Madugalla et al. (arXiv v2), p. 9]</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Cognitive walkthrough evaluators</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8 evaluators: 2 assigned per persona across 4 personas [Madugalla et al. (arXiv v2), p. 1, 9]</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Cognitive walkthrough tasks</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10 tasks: 7 general tasks and 3 group-specific tasks [Madugalla et al. (arXiv v2), p. 9]</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Requirements addressed in validation</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56 of 67 requirements (84%) [Madugalla et al. (arXiv v2), p. 2, 10]</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Requirements positively validated</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47 of 67 requirements (70%: 21 supported, 26 partially supported) [Madugalla et al. (arXiv v2), p. 2, 10]</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Requirements needing revision</w:t>
            </w:r>
          </w:p>
        </w:tc>
        <w:tc>
          <w:tcPr>
            <w:tcW w:type="dxa" w:w="374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12 requirements [Madugalla et al. (arXiv v2), p. 10]</w:t>
            </w:r>
          </w:p>
        </w:tc>
        <w:tc>
          <w:tcPr>
            <w:tcW w:type="dxa" w:w="3024"/>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r>
        <w:trPr>
          <w:cantSplit/>
        </w:trPr>
        <w:tc>
          <w:tcPr>
            <w:tcW w:type="dxa" w:w="2592"/>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Requirements unevaluated</w:t>
            </w:r>
          </w:p>
        </w:tc>
        <w:tc>
          <w:tcPr>
            <w:tcW w:type="dxa" w:w="374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11 requirements [Madugalla et al. (arXiv v2), p. 10]</w:t>
            </w:r>
          </w:p>
        </w:tc>
        <w:tc>
          <w:tcPr>
            <w:tcW w:type="dxa" w:w="3024"/>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r>
    </w:tbl>
    <w:p>
      <w:pPr>
        <w:spacing w:before="20" w:after="80" w:line="276" w:lineRule="auto"/>
      </w:pPr>
      <w:r>
        <w:rPr>
          <w:rFonts w:ascii="Calibri" w:hAnsi="Calibri"/>
          <w:b/>
          <w:i w:val="0"/>
          <w:color w:val="222222"/>
          <w:sz w:val="19"/>
        </w:rPr>
        <w:t xml:space="preserve">Key Finding: </w:t>
      </w:r>
      <w:r>
        <w:rPr>
          <w:rFonts w:ascii="Calibri" w:hAnsi="Calibri"/>
          <w:b w:val="0"/>
          <w:i w:val="0"/>
          <w:color w:val="222222"/>
          <w:sz w:val="19"/>
        </w:rPr>
        <w:t>The available arXiv v2 version establishes complete traceability from 62 inclusive design guidelines to 67 software engineering requirements, achieving an 84% validation coverage rate across community interviews and persona walkthroughs [Madugalla et al. (arXiv v2), p. 1, 7, 10]. Any version differences remain unstated in the source.</w:t>
      </w:r>
    </w:p>
    <w:p>
      <w:pPr>
        <w:keepNext/>
        <w:spacing w:before="280" w:after="80"/>
      </w:pPr>
      <w:r>
        <w:rPr>
          <w:rFonts w:ascii="Calibri" w:hAnsi="Calibri"/>
          <w:b/>
          <w:color w:val="1B365D"/>
          <w:sz w:val="27"/>
        </w:rPr>
        <w:t>3. Detailed Evidence from Available Version (2511.12856v2.pdf)</w:t>
      </w:r>
    </w:p>
    <w:p>
      <w:pPr>
        <w:keepNext/>
        <w:spacing w:before="180" w:after="60"/>
      </w:pPr>
      <w:r>
        <w:rPr>
          <w:rFonts w:ascii="Calibri" w:hAnsi="Calibri"/>
          <w:b/>
          <w:color w:val="2C4D75"/>
          <w:sz w:val="22"/>
        </w:rPr>
        <w:t>What the Authors Did</w:t>
      </w:r>
    </w:p>
    <w:p>
      <w:pPr>
        <w:pStyle w:val="ListBullet"/>
        <w:spacing w:before="20" w:after="50" w:line="276" w:lineRule="auto"/>
      </w:pPr>
      <w:r>
        <w:rPr>
          <w:rFonts w:ascii="Calibri" w:hAnsi="Calibri"/>
          <w:b/>
          <w:i w:val="0"/>
          <w:color w:val="222222"/>
          <w:sz w:val="19"/>
        </w:rPr>
        <w:t xml:space="preserve">Targeted Guideline Identification: </w:t>
      </w:r>
      <w:r>
        <w:rPr>
          <w:rFonts w:ascii="Calibri" w:hAnsi="Calibri"/>
          <w:b w:val="0"/>
          <w:i w:val="0"/>
          <w:color w:val="222222"/>
          <w:sz w:val="19"/>
        </w:rPr>
        <w:t>The authors conducted a targeted literature review and identified 62 inclusive design guidelines for safety-critical software [Madugalla et al. (arXiv v2), p. 1, 5].</w:t>
      </w:r>
    </w:p>
    <w:p>
      <w:pPr>
        <w:pStyle w:val="ListBullet"/>
        <w:spacing w:before="20" w:after="50" w:line="276" w:lineRule="auto"/>
      </w:pPr>
      <w:r>
        <w:rPr>
          <w:rFonts w:ascii="Calibri" w:hAnsi="Calibri"/>
          <w:b/>
          <w:i w:val="0"/>
          <w:color w:val="222222"/>
          <w:sz w:val="19"/>
        </w:rPr>
        <w:t xml:space="preserve">User Group Mapping: </w:t>
      </w:r>
      <w:r>
        <w:rPr>
          <w:rFonts w:ascii="Calibri" w:hAnsi="Calibri"/>
          <w:b w:val="0"/>
          <w:i w:val="0"/>
          <w:color w:val="222222"/>
          <w:sz w:val="19"/>
        </w:rPr>
        <w:t>They structured these guidelines across four vulnerable demographics: older adults, low-digital-literacy users, rural residents, and colour-blind users [Madugalla et al. (arXiv v2), p. 1, 5].</w:t>
      </w:r>
    </w:p>
    <w:p>
      <w:pPr>
        <w:pStyle w:val="ListBullet"/>
        <w:spacing w:before="20" w:after="50" w:line="276" w:lineRule="auto"/>
      </w:pPr>
      <w:r>
        <w:rPr>
          <w:rFonts w:ascii="Calibri" w:hAnsi="Calibri"/>
          <w:b/>
          <w:i w:val="0"/>
          <w:color w:val="222222"/>
          <w:sz w:val="19"/>
        </w:rPr>
        <w:t xml:space="preserve">Catalogue Translation: </w:t>
      </w:r>
      <w:r>
        <w:rPr>
          <w:rFonts w:ascii="Calibri" w:hAnsi="Calibri"/>
          <w:b w:val="0"/>
          <w:i w:val="0"/>
          <w:color w:val="222222"/>
          <w:sz w:val="19"/>
        </w:rPr>
        <w:t>They translated the guidelines into a formal engineering catalogue of 67 functional and non-functional requirements [Madugalla et al. (arXiv v2), p. 1, 7].</w:t>
      </w:r>
    </w:p>
    <w:p>
      <w:pPr>
        <w:pStyle w:val="ListBullet"/>
        <w:spacing w:before="20" w:after="50" w:line="276" w:lineRule="auto"/>
      </w:pPr>
      <w:r>
        <w:rPr>
          <w:rFonts w:ascii="Calibri" w:hAnsi="Calibri"/>
          <w:b/>
          <w:i w:val="0"/>
          <w:color w:val="222222"/>
          <w:sz w:val="19"/>
        </w:rPr>
        <w:t xml:space="preserve">Prototype Operationalisation: </w:t>
      </w:r>
      <w:r>
        <w:rPr>
          <w:rFonts w:ascii="Calibri" w:hAnsi="Calibri"/>
          <w:b w:val="0"/>
          <w:i w:val="0"/>
          <w:color w:val="222222"/>
          <w:sz w:val="19"/>
        </w:rPr>
        <w:t>They implemented these requirements in an interactive medium-fidelity mobile prototype for disaster early warning, situated in an Australian bushfire context [Madugalla et al. (arXiv v2), p. 5, 8].</w:t>
      </w:r>
    </w:p>
    <w:p>
      <w:pPr>
        <w:pStyle w:val="ListBullet"/>
        <w:spacing w:before="20" w:after="50" w:line="276" w:lineRule="auto"/>
      </w:pPr>
      <w:r>
        <w:rPr>
          <w:rFonts w:ascii="Calibri" w:hAnsi="Calibri"/>
          <w:b/>
          <w:i w:val="0"/>
          <w:color w:val="222222"/>
          <w:sz w:val="19"/>
        </w:rPr>
        <w:t xml:space="preserve">Four-Stage Decision Structuring: </w:t>
      </w:r>
      <w:r>
        <w:rPr>
          <w:rFonts w:ascii="Calibri" w:hAnsi="Calibri"/>
          <w:b w:val="0"/>
          <w:i w:val="0"/>
          <w:color w:val="222222"/>
          <w:sz w:val="19"/>
        </w:rPr>
        <w:t>The prototype structured bushfire guidance across four temporal action stages: Plan and Prepare, Get Ready to Act, Take Action, and Evacuate or Shelter [Madugalla et al. (arXiv v2), p. 8].</w:t>
      </w:r>
    </w:p>
    <w:p>
      <w:pPr>
        <w:pStyle w:val="ListBullet"/>
        <w:spacing w:before="20" w:after="50" w:line="276" w:lineRule="auto"/>
      </w:pPr>
      <w:r>
        <w:rPr>
          <w:rFonts w:ascii="Calibri" w:hAnsi="Calibri"/>
          <w:b/>
          <w:i w:val="0"/>
          <w:color w:val="222222"/>
          <w:sz w:val="19"/>
        </w:rPr>
        <w:t xml:space="preserve">Community Member Interviews: </w:t>
      </w:r>
      <w:r>
        <w:rPr>
          <w:rFonts w:ascii="Calibri" w:hAnsi="Calibri"/>
          <w:b w:val="0"/>
          <w:i w:val="0"/>
          <w:color w:val="222222"/>
          <w:sz w:val="19"/>
        </w:rPr>
        <w:t>They conducted six semi-structured validation interviews (30–45 minutes each) with community members, comprising two older adults and four rural residents, across seven predefined tasks [Madugalla et al. (arXiv v2), p. 1, 8, 9].</w:t>
      </w:r>
    </w:p>
    <w:p>
      <w:pPr>
        <w:pStyle w:val="ListBullet"/>
        <w:spacing w:before="20" w:after="50" w:line="276" w:lineRule="auto"/>
      </w:pPr>
      <w:r>
        <w:rPr>
          <w:rFonts w:ascii="Calibri" w:hAnsi="Calibri"/>
          <w:b/>
          <w:i w:val="0"/>
          <w:color w:val="222222"/>
          <w:sz w:val="19"/>
        </w:rPr>
        <w:t xml:space="preserve">Persona-Based Walkthroughs: </w:t>
      </w:r>
      <w:r>
        <w:rPr>
          <w:rFonts w:ascii="Calibri" w:hAnsi="Calibri"/>
          <w:b w:val="0"/>
          <w:i w:val="0"/>
          <w:color w:val="222222"/>
          <w:sz w:val="19"/>
        </w:rPr>
        <w:t>They conducted cognitive walkthrough sessions with eight participants acting as evaluators across four personas (two evaluators per persona) across ten structured tasks [Madugalla et al. (arXiv v2), p. 1, 9].</w:t>
      </w:r>
    </w:p>
    <w:p>
      <w:pPr>
        <w:keepNext/>
        <w:spacing w:before="180" w:after="60"/>
      </w:pPr>
      <w:r>
        <w:rPr>
          <w:rFonts w:ascii="Calibri" w:hAnsi="Calibri"/>
          <w:b/>
          <w:color w:val="2C4D75"/>
          <w:sz w:val="22"/>
        </w:rPr>
        <w:t>What They Found (with Numbers)</w:t>
      </w:r>
    </w:p>
    <w:p>
      <w:pPr>
        <w:pStyle w:val="ListBullet"/>
        <w:spacing w:before="20" w:after="50" w:line="276" w:lineRule="auto"/>
      </w:pPr>
      <w:r>
        <w:rPr>
          <w:rFonts w:ascii="Calibri" w:hAnsi="Calibri"/>
          <w:b/>
          <w:i w:val="0"/>
          <w:color w:val="222222"/>
          <w:sz w:val="19"/>
        </w:rPr>
        <w:t xml:space="preserve">Guideline Distribution: </w:t>
      </w:r>
      <w:r>
        <w:rPr>
          <w:rFonts w:ascii="Calibri" w:hAnsi="Calibri"/>
          <w:b w:val="0"/>
          <w:i w:val="0"/>
          <w:color w:val="222222"/>
          <w:sz w:val="19"/>
        </w:rPr>
        <w:t>The 62 extracted guidelines comprised 41 community-specific guidelines and 21 shared guidelines [Madugalla et al. (arXiv v2), p. 6].</w:t>
      </w:r>
    </w:p>
    <w:p>
      <w:pPr>
        <w:pStyle w:val="ListBullet"/>
        <w:spacing w:before="20" w:after="50" w:line="276" w:lineRule="auto"/>
      </w:pPr>
      <w:r>
        <w:rPr>
          <w:rFonts w:ascii="Calibri" w:hAnsi="Calibri"/>
          <w:b/>
          <w:i w:val="0"/>
          <w:color w:val="222222"/>
          <w:sz w:val="19"/>
        </w:rPr>
        <w:t xml:space="preserve">Community Breakdown: </w:t>
      </w:r>
      <w:r>
        <w:rPr>
          <w:rFonts w:ascii="Calibri" w:hAnsi="Calibri"/>
          <w:b w:val="0"/>
          <w:i w:val="0"/>
          <w:color w:val="222222"/>
          <w:sz w:val="19"/>
        </w:rPr>
        <w:t>Community-specific guidelines included 11 for elderly users, 15 for low digital literacy, 5 for rural communities, and 10 for colour-blind individuals [Madugalla et al. (arXiv v2), p. 6].</w:t>
      </w:r>
    </w:p>
    <w:p>
      <w:pPr>
        <w:pStyle w:val="ListBullet"/>
        <w:spacing w:before="20" w:after="50" w:line="276" w:lineRule="auto"/>
      </w:pPr>
      <w:r>
        <w:rPr>
          <w:rFonts w:ascii="Calibri" w:hAnsi="Calibri"/>
          <w:b/>
          <w:i w:val="0"/>
          <w:color w:val="222222"/>
          <w:sz w:val="19"/>
        </w:rPr>
        <w:t xml:space="preserve">Shared Guidelines: </w:t>
      </w:r>
      <w:r>
        <w:rPr>
          <w:rFonts w:ascii="Calibri" w:hAnsi="Calibri"/>
          <w:b w:val="0"/>
          <w:i w:val="0"/>
          <w:color w:val="222222"/>
          <w:sz w:val="19"/>
        </w:rPr>
        <w:t>Shared guidelines included 3 for elderly and colour-blind, 8 for elderly and rural, 5 for rural and low digital literacy, and 5 common to elderly, rural, and low-digital-literacy groups [Madugalla et al. (arXiv v2), p. 6].</w:t>
      </w:r>
    </w:p>
    <w:p>
      <w:pPr>
        <w:pStyle w:val="ListBullet"/>
        <w:spacing w:before="20" w:after="50" w:line="276" w:lineRule="auto"/>
      </w:pPr>
      <w:r>
        <w:rPr>
          <w:rFonts w:ascii="Calibri" w:hAnsi="Calibri"/>
          <w:b/>
          <w:i w:val="0"/>
          <w:color w:val="222222"/>
          <w:sz w:val="19"/>
        </w:rPr>
        <w:t xml:space="preserve">Requirements Composition: </w:t>
      </w:r>
      <w:r>
        <w:rPr>
          <w:rFonts w:ascii="Calibri" w:hAnsi="Calibri"/>
          <w:b w:val="0"/>
          <w:i w:val="0"/>
          <w:color w:val="222222"/>
          <w:sz w:val="19"/>
        </w:rPr>
        <w:t>The requirements catalogue comprised 17 functional requirements and 50 non-functional requirements [Madugalla et al. (arXiv v2), p. 7].</w:t>
      </w:r>
    </w:p>
    <w:p>
      <w:pPr>
        <w:pStyle w:val="ListBullet"/>
        <w:spacing w:before="20" w:after="50" w:line="276" w:lineRule="auto"/>
      </w:pPr>
      <w:r>
        <w:rPr>
          <w:rFonts w:ascii="Calibri" w:hAnsi="Calibri"/>
          <w:b/>
          <w:i w:val="0"/>
          <w:color w:val="222222"/>
          <w:sz w:val="19"/>
        </w:rPr>
        <w:t xml:space="preserve">Non-Functional Breakdown: </w:t>
      </w:r>
      <w:r>
        <w:rPr>
          <w:rFonts w:ascii="Calibri" w:hAnsi="Calibri"/>
          <w:b w:val="0"/>
          <w:i w:val="0"/>
          <w:color w:val="222222"/>
          <w:sz w:val="19"/>
        </w:rPr>
        <w:t>Non-functional requirements comprised 27 usability, 19 accessibility, 3 performance/efficiency, and 1 reliability [Madugalla et al. (arXiv v2), p. 7].</w:t>
      </w:r>
    </w:p>
    <w:p>
      <w:pPr>
        <w:pStyle w:val="ListBullet"/>
        <w:spacing w:before="20" w:after="50" w:line="276" w:lineRule="auto"/>
      </w:pPr>
      <w:r>
        <w:rPr>
          <w:rFonts w:ascii="Calibri" w:hAnsi="Calibri"/>
          <w:b/>
          <w:i w:val="0"/>
          <w:color w:val="222222"/>
          <w:sz w:val="19"/>
        </w:rPr>
        <w:t xml:space="preserve">Validation Coverage: </w:t>
      </w:r>
      <w:r>
        <w:rPr>
          <w:rFonts w:ascii="Calibri" w:hAnsi="Calibri"/>
          <w:b w:val="0"/>
          <w:i w:val="0"/>
          <w:color w:val="222222"/>
          <w:sz w:val="19"/>
        </w:rPr>
        <w:t>56 of 67 requirements (84%) were addressed during the empirical evaluation [Madugalla et al. (arXiv v2), p. 2, 10].</w:t>
      </w:r>
    </w:p>
    <w:p>
      <w:pPr>
        <w:pStyle w:val="ListBullet"/>
        <w:spacing w:before="20" w:after="50" w:line="276" w:lineRule="auto"/>
      </w:pPr>
      <w:r>
        <w:rPr>
          <w:rFonts w:ascii="Calibri" w:hAnsi="Calibri"/>
          <w:b/>
          <w:i w:val="0"/>
          <w:color w:val="222222"/>
          <w:sz w:val="19"/>
        </w:rPr>
        <w:t xml:space="preserve">Positive Validation Rate: </w:t>
      </w:r>
      <w:r>
        <w:rPr>
          <w:rFonts w:ascii="Calibri" w:hAnsi="Calibri"/>
          <w:b w:val="0"/>
          <w:i w:val="0"/>
          <w:color w:val="222222"/>
          <w:sz w:val="19"/>
        </w:rPr>
        <w:t>47 of 67 requirements (70%) received positive validation evidence, including 21 fully supported and 26 partially supported [Madugalla et al. (arXiv v2), p. 2, 10].</w:t>
      </w:r>
    </w:p>
    <w:p>
      <w:pPr>
        <w:pStyle w:val="ListBullet"/>
        <w:spacing w:before="20" w:after="50" w:line="276" w:lineRule="auto"/>
      </w:pPr>
      <w:r>
        <w:rPr>
          <w:rFonts w:ascii="Calibri" w:hAnsi="Calibri"/>
          <w:b/>
          <w:i w:val="0"/>
          <w:color w:val="222222"/>
          <w:sz w:val="19"/>
        </w:rPr>
        <w:t xml:space="preserve">Revision and Unevaluated Gaps: </w:t>
      </w:r>
      <w:r>
        <w:rPr>
          <w:rFonts w:ascii="Calibri" w:hAnsi="Calibri"/>
          <w:b w:val="0"/>
          <w:i w:val="0"/>
          <w:color w:val="222222"/>
          <w:sz w:val="19"/>
        </w:rPr>
        <w:t>12 requirements were identified as requiring revision, while 11 requirements remained unevaluated due to Figma prototyping constraints [Madugalla et al. (arXiv v2), p. 10].</w:t>
      </w:r>
    </w:p>
    <w:p>
      <w:pPr>
        <w:pStyle w:val="ListBullet"/>
        <w:spacing w:before="20" w:after="50" w:line="276" w:lineRule="auto"/>
      </w:pPr>
      <w:r>
        <w:rPr>
          <w:rFonts w:ascii="Calibri" w:hAnsi="Calibri"/>
          <w:b/>
          <w:i w:val="0"/>
          <w:color w:val="222222"/>
          <w:sz w:val="19"/>
        </w:rPr>
        <w:t xml:space="preserve">Group-Level Validation Divergence: </w:t>
      </w:r>
      <w:r>
        <w:rPr>
          <w:rFonts w:ascii="Calibri" w:hAnsi="Calibri"/>
          <w:b w:val="0"/>
          <w:i w:val="0"/>
          <w:color w:val="222222"/>
          <w:sz w:val="19"/>
        </w:rPr>
        <w:t>Elderly requirements reached 100% addressed coverage (13/13) and an 85% positive rate (11/13) [Madugalla et al. (arXiv v2), p. 10]. In contrast, colour-blind requirements achieved 90% coverage (9/10) but only a 50% positive rate (5/10), and rural/low-literacy shared requirements achieved only 20% coverage (1/5) [Madugalla et al. (arXiv v2), p. 10].</w:t>
      </w:r>
    </w:p>
    <w:p>
      <w:pPr>
        <w:keepNext/>
        <w:spacing w:before="180" w:after="60"/>
      </w:pPr>
      <w:r>
        <w:rPr>
          <w:rFonts w:ascii="Calibri" w:hAnsi="Calibri"/>
          <w:b/>
          <w:color w:val="2C4D75"/>
          <w:sz w:val="22"/>
        </w:rPr>
        <w:t>What They Claim or Recommend</w:t>
      </w:r>
    </w:p>
    <w:p>
      <w:pPr>
        <w:pStyle w:val="ListBullet"/>
        <w:spacing w:before="20" w:after="50" w:line="276" w:lineRule="auto"/>
      </w:pPr>
      <w:r>
        <w:rPr>
          <w:rFonts w:ascii="Calibri" w:hAnsi="Calibri"/>
          <w:b/>
          <w:i w:val="0"/>
          <w:color w:val="222222"/>
          <w:sz w:val="19"/>
        </w:rPr>
        <w:t xml:space="preserve">Human-Centricity as Operational Reliability: </w:t>
      </w:r>
      <w:r>
        <w:rPr>
          <w:rFonts w:ascii="Calibri" w:hAnsi="Calibri"/>
          <w:b w:val="0"/>
          <w:i w:val="0"/>
          <w:color w:val="222222"/>
          <w:sz w:val="19"/>
        </w:rPr>
        <w:t>The authors claim that human-centricity is an operational dimension of safety and reliability rather than an ethical add-on [Madugalla et al. (arXiv v2), p. 1, 11, 13].</w:t>
      </w:r>
    </w:p>
    <w:p>
      <w:pPr>
        <w:pStyle w:val="ListBullet"/>
        <w:spacing w:before="20" w:after="50" w:line="276" w:lineRule="auto"/>
      </w:pPr>
      <w:r>
        <w:rPr>
          <w:rFonts w:ascii="Calibri" w:hAnsi="Calibri"/>
          <w:b/>
          <w:i w:val="0"/>
          <w:color w:val="222222"/>
          <w:sz w:val="19"/>
        </w:rPr>
        <w:t xml:space="preserve">Bidirectional Traceability: </w:t>
      </w:r>
      <w:r>
        <w:rPr>
          <w:rFonts w:ascii="Calibri" w:hAnsi="Calibri"/>
          <w:b w:val="0"/>
          <w:i w:val="0"/>
          <w:color w:val="222222"/>
          <w:sz w:val="19"/>
        </w:rPr>
        <w:t>They recommend maintaining explicit traceability from inclusive guidelines to software requirements and validation findings using traceability matrices [Madugalla et al. (arXiv v2), p. 11].</w:t>
      </w:r>
    </w:p>
    <w:p>
      <w:pPr>
        <w:pStyle w:val="ListBullet"/>
        <w:spacing w:before="20" w:after="50" w:line="276" w:lineRule="auto"/>
      </w:pPr>
      <w:r>
        <w:rPr>
          <w:rFonts w:ascii="Calibri" w:hAnsi="Calibri"/>
          <w:b/>
          <w:i w:val="0"/>
          <w:color w:val="222222"/>
          <w:sz w:val="19"/>
        </w:rPr>
        <w:t xml:space="preserve">Early Requirements Integration: </w:t>
      </w:r>
      <w:r>
        <w:rPr>
          <w:rFonts w:ascii="Calibri" w:hAnsi="Calibri"/>
          <w:b w:val="0"/>
          <w:i w:val="0"/>
          <w:color w:val="222222"/>
          <w:sz w:val="19"/>
        </w:rPr>
        <w:t>They recommend incorporating human-centricity into early requirements elicitation rather than treating it as a late interface layer [Madugalla et al. (arXiv v2), p. 11].</w:t>
      </w:r>
    </w:p>
    <w:p>
      <w:pPr>
        <w:pStyle w:val="ListBullet"/>
        <w:spacing w:before="20" w:after="50" w:line="276" w:lineRule="auto"/>
      </w:pPr>
      <w:r>
        <w:rPr>
          <w:rFonts w:ascii="Calibri" w:hAnsi="Calibri"/>
          <w:b/>
          <w:i w:val="0"/>
          <w:color w:val="222222"/>
          <w:sz w:val="19"/>
        </w:rPr>
        <w:t xml:space="preserve">Controllable and Explainable Adaptivity: </w:t>
      </w:r>
      <w:r>
        <w:rPr>
          <w:rFonts w:ascii="Calibri" w:hAnsi="Calibri"/>
          <w:b w:val="0"/>
          <w:i w:val="0"/>
          <w:color w:val="222222"/>
          <w:sz w:val="19"/>
        </w:rPr>
        <w:t>They claim that system adaptivity must remain explainable and controllable so users understand interface shifts under emergency pressure [Madugalla et al. (arXiv v2), p. 11, 13].</w:t>
      </w:r>
    </w:p>
    <w:p>
      <w:pPr>
        <w:pStyle w:val="ListBullet"/>
        <w:spacing w:before="20" w:after="50" w:line="276" w:lineRule="auto"/>
      </w:pPr>
      <w:r>
        <w:rPr>
          <w:rFonts w:ascii="Calibri" w:hAnsi="Calibri"/>
          <w:b/>
          <w:i w:val="0"/>
          <w:color w:val="222222"/>
          <w:sz w:val="19"/>
        </w:rPr>
        <w:t xml:space="preserve">Policy Mandates: </w:t>
      </w:r>
      <w:r>
        <w:rPr>
          <w:rFonts w:ascii="Calibri" w:hAnsi="Calibri"/>
          <w:b w:val="0"/>
          <w:i w:val="0"/>
          <w:color w:val="222222"/>
          <w:sz w:val="19"/>
        </w:rPr>
        <w:t>They recommend that regulatory standards and procurement guidelines mandate human-centred requirements engineering for safety-critical systems [Madugalla et al. (arXiv v2), p. 11].</w:t>
      </w:r>
    </w:p>
    <w:p>
      <w:pPr>
        <w:keepNext/>
        <w:spacing w:before="180" w:after="60"/>
      </w:pPr>
      <w:r>
        <w:rPr>
          <w:rFonts w:ascii="Calibri" w:hAnsi="Calibri"/>
          <w:b/>
          <w:color w:val="2C4D75"/>
          <w:sz w:val="22"/>
        </w:rPr>
        <w:t>What They Leave as Future Work or Limitations</w:t>
      </w:r>
    </w:p>
    <w:p>
      <w:pPr>
        <w:pStyle w:val="ListBullet"/>
        <w:spacing w:before="20" w:after="50" w:line="276" w:lineRule="auto"/>
      </w:pPr>
      <w:r>
        <w:rPr>
          <w:rFonts w:ascii="Calibri" w:hAnsi="Calibri"/>
          <w:b/>
          <w:i w:val="0"/>
          <w:color w:val="222222"/>
          <w:sz w:val="19"/>
        </w:rPr>
        <w:t xml:space="preserve">Non-Systematic Review: </w:t>
      </w:r>
      <w:r>
        <w:rPr>
          <w:rFonts w:ascii="Calibri" w:hAnsi="Calibri"/>
          <w:b w:val="0"/>
          <w:i w:val="0"/>
          <w:color w:val="222222"/>
          <w:sz w:val="19"/>
        </w:rPr>
        <w:t>The guidelines derived from a targeted review; conducting a full systematic literature review remains future work [Madugalla et al. (arXiv v2), p. 12].</w:t>
      </w:r>
    </w:p>
    <w:p>
      <w:pPr>
        <w:pStyle w:val="ListBullet"/>
        <w:spacing w:before="20" w:after="50" w:line="276" w:lineRule="auto"/>
      </w:pPr>
      <w:r>
        <w:rPr>
          <w:rFonts w:ascii="Calibri" w:hAnsi="Calibri"/>
          <w:b/>
          <w:i w:val="0"/>
          <w:color w:val="222222"/>
          <w:sz w:val="19"/>
        </w:rPr>
        <w:t xml:space="preserve">Single Persona Limitation: </w:t>
      </w:r>
      <w:r>
        <w:rPr>
          <w:rFonts w:ascii="Calibri" w:hAnsi="Calibri"/>
          <w:b w:val="0"/>
          <w:i w:val="0"/>
          <w:color w:val="222222"/>
          <w:sz w:val="19"/>
        </w:rPr>
        <w:t>Evaluations used only one persona per user group, failing to capture intra-group heterogeneity [Madugalla et al. (arXiv v2), p. 12].</w:t>
      </w:r>
    </w:p>
    <w:p>
      <w:pPr>
        <w:pStyle w:val="ListBullet"/>
        <w:spacing w:before="20" w:after="50" w:line="276" w:lineRule="auto"/>
      </w:pPr>
      <w:r>
        <w:rPr>
          <w:rFonts w:ascii="Calibri" w:hAnsi="Calibri"/>
          <w:b/>
          <w:i w:val="0"/>
          <w:color w:val="222222"/>
          <w:sz w:val="19"/>
        </w:rPr>
        <w:t xml:space="preserve">Missing Direct Participant Cohorts: </w:t>
      </w:r>
      <w:r>
        <w:rPr>
          <w:rFonts w:ascii="Calibri" w:hAnsi="Calibri"/>
          <w:b w:val="0"/>
          <w:i w:val="0"/>
          <w:color w:val="222222"/>
          <w:sz w:val="19"/>
        </w:rPr>
        <w:t>The study lacked direct user interviews with colour-blind individuals and low-digital-literacy community members [Madugalla et al. (arXiv v2), p. 12].</w:t>
      </w:r>
    </w:p>
    <w:p>
      <w:pPr>
        <w:pStyle w:val="ListBullet"/>
        <w:spacing w:before="20" w:after="50" w:line="276" w:lineRule="auto"/>
      </w:pPr>
      <w:r>
        <w:rPr>
          <w:rFonts w:ascii="Calibri" w:hAnsi="Calibri"/>
          <w:b/>
          <w:i w:val="0"/>
          <w:color w:val="222222"/>
          <w:sz w:val="19"/>
        </w:rPr>
        <w:t xml:space="preserve">Unevaluated Infrastructure Features: </w:t>
      </w:r>
      <w:r>
        <w:rPr>
          <w:rFonts w:ascii="Calibri" w:hAnsi="Calibri"/>
          <w:b w:val="0"/>
          <w:i w:val="0"/>
          <w:color w:val="222222"/>
          <w:sz w:val="19"/>
        </w:rPr>
        <w:t>11 requirements regarding network caching, latency, and crash recovery could not be evaluated in Figma and require live deployment testing [Madugalla et al. (arXiv v2), p. 10].</w:t>
      </w:r>
    </w:p>
    <w:p>
      <w:pPr>
        <w:pStyle w:val="ListBullet"/>
        <w:spacing w:before="20" w:after="50" w:line="276" w:lineRule="auto"/>
      </w:pPr>
      <w:r>
        <w:rPr>
          <w:rFonts w:ascii="Calibri" w:hAnsi="Calibri"/>
          <w:b/>
          <w:i w:val="0"/>
          <w:color w:val="222222"/>
          <w:sz w:val="19"/>
        </w:rPr>
        <w:t xml:space="preserve">Exclusion of Cognitive Impairments: </w:t>
      </w:r>
      <w:r>
        <w:rPr>
          <w:rFonts w:ascii="Calibri" w:hAnsi="Calibri"/>
          <w:b w:val="0"/>
          <w:i w:val="0"/>
          <w:color w:val="222222"/>
          <w:sz w:val="19"/>
        </w:rPr>
        <w:t>The authors explicitly stated that cognitive impairments, language barriers, and socioeconomic factors were outside their study scope [Madugalla et al. (arXiv v2), p. 12].</w:t>
      </w:r>
    </w:p>
    <w:p>
      <w:pPr>
        <w:pStyle w:val="ListBullet"/>
        <w:spacing w:before="20" w:after="50" w:line="276" w:lineRule="auto"/>
      </w:pPr>
      <w:r>
        <w:rPr>
          <w:rFonts w:ascii="Calibri" w:hAnsi="Calibri"/>
          <w:b/>
          <w:i w:val="0"/>
          <w:color w:val="222222"/>
          <w:sz w:val="19"/>
        </w:rPr>
        <w:t xml:space="preserve">Domain Context: </w:t>
      </w:r>
      <w:r>
        <w:rPr>
          <w:rFonts w:ascii="Calibri" w:hAnsi="Calibri"/>
          <w:b w:val="0"/>
          <w:i w:val="0"/>
          <w:color w:val="222222"/>
          <w:sz w:val="19"/>
        </w:rPr>
        <w:t>The prototype was limited to Australian bushfires; validating across flood hazards, transport, and healthcare remains future work [Madugalla et al. (arXiv v2), p. 12].</w:t>
      </w:r>
    </w:p>
    <w:p>
      <w:pPr>
        <w:keepNext/>
        <w:spacing w:before="280" w:after="80"/>
      </w:pPr>
      <w:r>
        <w:rPr>
          <w:rFonts w:ascii="Calibri" w:hAnsi="Calibri"/>
          <w:b/>
          <w:color w:val="1B365D"/>
          <w:sz w:val="27"/>
        </w:rPr>
        <w:t>4. Comparison with our work (inference)</w:t>
      </w:r>
    </w:p>
    <w:p>
      <w:pPr>
        <w:spacing w:before="20" w:after="80" w:line="276" w:lineRule="auto"/>
      </w:pPr>
      <w:r>
        <w:rPr>
          <w:rFonts w:ascii="Calibri" w:hAnsi="Calibri"/>
          <w:b w:val="0"/>
          <w:i/>
          <w:color w:val="222222"/>
          <w:sz w:val="19"/>
        </w:rPr>
        <w:t>Note: The comparative evaluations below represent analytical inference synthesized for our 8-page workshop paper and are kept strictly distinct from the findings reported by Madugalla et al.</w:t>
      </w:r>
    </w:p>
    <w:p>
      <w:pPr>
        <w:pStyle w:val="ListBullet"/>
        <w:spacing w:before="20" w:after="50" w:line="276" w:lineRule="auto"/>
      </w:pPr>
      <w:r>
        <w:rPr>
          <w:rFonts w:ascii="Calibri" w:hAnsi="Calibri"/>
          <w:b/>
          <w:i w:val="0"/>
          <w:color w:val="222222"/>
          <w:sz w:val="19"/>
        </w:rPr>
        <w:t xml:space="preserve">Application Domain and Hazard Criticality: </w:t>
      </w:r>
      <w:r>
        <w:rPr>
          <w:rFonts w:ascii="Calibri" w:hAnsi="Calibri"/>
          <w:b w:val="0"/>
          <w:i w:val="0"/>
          <w:color w:val="222222"/>
          <w:sz w:val="19"/>
        </w:rPr>
        <w:t>Both systems operate in life-critical early warning contexts where comprehension failure causes physical harm. Madugalla et al. address bushfire warnings [Madugalla et al. (arXiv v2), p. 5], whereas our work addresses machine learning flood forecasting.</w:t>
      </w:r>
    </w:p>
    <w:p>
      <w:pPr>
        <w:pStyle w:val="ListBullet"/>
        <w:spacing w:before="20" w:after="50" w:line="276" w:lineRule="auto"/>
      </w:pPr>
      <w:r>
        <w:rPr>
          <w:rFonts w:ascii="Calibri" w:hAnsi="Calibri"/>
          <w:b/>
          <w:i w:val="0"/>
          <w:color w:val="222222"/>
          <w:sz w:val="19"/>
        </w:rPr>
        <w:t xml:space="preserve">Target Populations and Disability Scope: </w:t>
      </w:r>
      <w:r>
        <w:rPr>
          <w:rFonts w:ascii="Calibri" w:hAnsi="Calibri"/>
          <w:b w:val="0"/>
          <w:i w:val="0"/>
          <w:color w:val="222222"/>
          <w:sz w:val="19"/>
        </w:rPr>
        <w:t>Madugalla et al. explicitly excluded cognitive impairments, focusing on older adults, rural residents, low digital literacy, and colour vision deficiencies [Madugalla et al. (arXiv v2), p. 1, 12]. In contrast, our work focuses specifically on people with cognitive impairments, using user-selected explanation profiles based on self-reported explanation needs rather than clinical diagnosis.</w:t>
      </w:r>
    </w:p>
    <w:p>
      <w:pPr>
        <w:pStyle w:val="ListBullet"/>
        <w:spacing w:before="20" w:after="50" w:line="276" w:lineRule="auto"/>
      </w:pPr>
      <w:r>
        <w:rPr>
          <w:rFonts w:ascii="Calibri" w:hAnsi="Calibri"/>
          <w:b/>
          <w:i w:val="0"/>
          <w:color w:val="222222"/>
          <w:sz w:val="19"/>
        </w:rPr>
        <w:t xml:space="preserve">Guideline Catalogues and Engineering Traceability: </w:t>
      </w:r>
      <w:r>
        <w:rPr>
          <w:rFonts w:ascii="Calibri" w:hAnsi="Calibri"/>
          <w:b w:val="0"/>
          <w:i w:val="0"/>
          <w:color w:val="222222"/>
          <w:sz w:val="19"/>
        </w:rPr>
        <w:t>Madugalla et al. translated 62 literature guidelines into 67 system requirements (17 functional and 50 non-functional) [Madugalla et al. (arXiv v2), p. 1, 7]. Our work synthesises a 128-guideline accessibility catalogue, filtering down to 50 guidelines judged relevant to explanations and tracing them directly to software capabilities.</w:t>
      </w:r>
    </w:p>
    <w:p>
      <w:pPr>
        <w:pStyle w:val="ListBullet"/>
        <w:spacing w:before="20" w:after="50" w:line="276" w:lineRule="auto"/>
      </w:pPr>
      <w:r>
        <w:rPr>
          <w:rFonts w:ascii="Calibri" w:hAnsi="Calibri"/>
          <w:b/>
          <w:i w:val="0"/>
          <w:color w:val="222222"/>
          <w:sz w:val="19"/>
        </w:rPr>
        <w:t xml:space="preserve">Adaptation Mechanics and Invariance Verification: </w:t>
      </w:r>
      <w:r>
        <w:rPr>
          <w:rFonts w:ascii="Calibri" w:hAnsi="Calibri"/>
          <w:b w:val="0"/>
          <w:i w:val="0"/>
          <w:color w:val="222222"/>
          <w:sz w:val="19"/>
        </w:rPr>
        <w:t>Madugalla et al. adapt the interface display and argue that adaptivity must be controllable and explainable [Madugalla et al. (arXiv v2), p. 11, 13]. In our work, the underlying ML prediction remains strictly static; only the explanation is adapted. Crucially, our architecture executes an automated runtime check confirming five core facts survive every adapted explanation: hazard, location, time window, likelihood (retaining uncertainty), and protective action. Madugalla et al. do not implement runtime fact-invariance verification.</w:t>
      </w:r>
    </w:p>
    <w:p>
      <w:pPr>
        <w:pStyle w:val="ListBullet"/>
        <w:spacing w:before="20" w:after="50" w:line="276" w:lineRule="auto"/>
      </w:pPr>
      <w:r>
        <w:rPr>
          <w:rFonts w:ascii="Calibri" w:hAnsi="Calibri"/>
          <w:b/>
          <w:i w:val="0"/>
          <w:color w:val="222222"/>
          <w:sz w:val="19"/>
        </w:rPr>
        <w:t xml:space="preserve">Empirical Validation Status: </w:t>
      </w:r>
      <w:r>
        <w:rPr>
          <w:rFonts w:ascii="Calibri" w:hAnsi="Calibri"/>
          <w:b w:val="0"/>
          <w:i w:val="0"/>
          <w:color w:val="222222"/>
          <w:sz w:val="19"/>
        </w:rPr>
        <w:t>Madugalla et al. conducted empirical validation through six community interviews and an eight-evaluator cognitive walkthrough across four personas [Madugalla et al. (arXiv v2), p. 1, 8-9]. In our work, evaluation currently consists of an author-conducted persona walkthrough; no user study has been executed, and explanation profiles have not yet been validated with end users.</w:t>
      </w:r>
    </w:p>
    <w:p>
      <w:pPr>
        <w:keepNext/>
        <w:spacing w:before="180" w:after="60"/>
      </w:pPr>
      <w:r>
        <w:rPr>
          <w:rFonts w:ascii="Calibri" w:hAnsi="Calibri"/>
          <w:b/>
          <w:color w:val="2C4D75"/>
          <w:sz w:val="22"/>
        </w:rPr>
        <w:t>Synthesis Matrix: Madugalla et al. vs. Our Work (Inference)</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rPr>
          <w:tblHeader/>
          <w:cantSplit/>
        </w:trPr>
        <w:tc>
          <w:tcPr>
            <w:tcW w:type="dxa" w:w="2448"/>
            <w:vAlign w:val="center"/>
            <w:shd w:fill="1B365D" w:val="clear"/>
            <w:tcMar>
              <w:top w:w="100" w:type="dxa"/>
              <w:bottom w:w="100" w:type="dxa"/>
              <w:left w:w="120" w:type="dxa"/>
              <w:right w:w="120" w:type="dxa"/>
            </w:tcMar>
          </w:tcPr>
          <w:p>
            <w:r>
              <w:rPr>
                <w:rFonts w:ascii="Calibri" w:hAnsi="Calibri"/>
                <w:b/>
                <w:color w:val="FFFFFF"/>
                <w:sz w:val="18"/>
              </w:rPr>
              <w:t>Dimension</w:t>
            </w:r>
          </w:p>
        </w:tc>
        <w:tc>
          <w:tcPr>
            <w:tcW w:type="dxa" w:w="3600"/>
            <w:vAlign w:val="center"/>
            <w:shd w:fill="1B365D" w:val="clear"/>
            <w:tcMar>
              <w:top w:w="100" w:type="dxa"/>
              <w:bottom w:w="100" w:type="dxa"/>
              <w:left w:w="120" w:type="dxa"/>
              <w:right w:w="120" w:type="dxa"/>
            </w:tcMar>
          </w:tcPr>
          <w:p>
            <w:r>
              <w:rPr>
                <w:rFonts w:ascii="Calibri" w:hAnsi="Calibri"/>
                <w:b/>
                <w:color w:val="FFFFFF"/>
                <w:sz w:val="18"/>
              </w:rPr>
              <w:t>Madugalla et al. (arXiv v2)</w:t>
            </w:r>
          </w:p>
        </w:tc>
        <w:tc>
          <w:tcPr>
            <w:tcW w:type="dxa" w:w="3312"/>
            <w:vAlign w:val="center"/>
            <w:shd w:fill="1B365D" w:val="clear"/>
            <w:tcMar>
              <w:top w:w="100" w:type="dxa"/>
              <w:bottom w:w="100" w:type="dxa"/>
              <w:left w:w="120" w:type="dxa"/>
              <w:right w:w="120" w:type="dxa"/>
            </w:tcMar>
          </w:tcPr>
          <w:p>
            <w:r>
              <w:rPr>
                <w:rFonts w:ascii="Calibri" w:hAnsi="Calibri"/>
                <w:b/>
                <w:color w:val="FFFFFF"/>
                <w:sz w:val="18"/>
              </w:rPr>
              <w:t>Our Work (Inference)</w:t>
            </w:r>
          </w:p>
        </w:tc>
      </w:tr>
      <w:tr>
        <w:trPr>
          <w:cantSplit/>
        </w:trPr>
        <w:tc>
          <w:tcPr>
            <w:tcW w:type="dxa" w:w="2448"/>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Disaster Application Domain</w:t>
            </w:r>
          </w:p>
        </w:tc>
        <w:tc>
          <w:tcPr>
            <w:tcW w:type="dxa" w:w="3600"/>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Bushfire early warning and emergency response [Madugalla et al. (arXiv v2), p. 5]</w:t>
            </w:r>
          </w:p>
        </w:tc>
        <w:tc>
          <w:tcPr>
            <w:tcW w:type="dxa" w:w="3312"/>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Flood machine learning prediction warning</w:t>
            </w:r>
          </w:p>
        </w:tc>
      </w:tr>
      <w:tr>
        <w:trPr>
          <w:cantSplit/>
        </w:trPr>
        <w:tc>
          <w:tcPr>
            <w:tcW w:type="dxa" w:w="2448"/>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Target Population</w:t>
            </w:r>
          </w:p>
        </w:tc>
        <w:tc>
          <w:tcPr>
            <w:tcW w:type="dxa" w:w="3600"/>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Older adults, rural users, low digital literacy, colour-blind [Madugalla et al. (arXiv v2), p. 1]</w:t>
            </w:r>
          </w:p>
        </w:tc>
        <w:tc>
          <w:tcPr>
            <w:tcW w:type="dxa" w:w="3312"/>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People with cognitive impairments (profiles chosen by need, not diagnosis)</w:t>
            </w:r>
          </w:p>
        </w:tc>
      </w:tr>
      <w:tr>
        <w:trPr>
          <w:cantSplit/>
        </w:trPr>
        <w:tc>
          <w:tcPr>
            <w:tcW w:type="dxa" w:w="2448"/>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Cognitive Impairment Inclusion</w:t>
            </w:r>
          </w:p>
        </w:tc>
        <w:tc>
          <w:tcPr>
            <w:tcW w:type="dxa" w:w="3600"/>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Explicitly excluded from study scope [Madugalla et al. (arXiv v2), p. 12]</w:t>
            </w:r>
          </w:p>
        </w:tc>
        <w:tc>
          <w:tcPr>
            <w:tcW w:type="dxa" w:w="3312"/>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Primary system focus</w:t>
            </w:r>
          </w:p>
        </w:tc>
      </w:tr>
      <w:tr>
        <w:trPr>
          <w:cantSplit/>
        </w:trPr>
        <w:tc>
          <w:tcPr>
            <w:tcW w:type="dxa" w:w="2448"/>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Guideline Base</w:t>
            </w:r>
          </w:p>
        </w:tc>
        <w:tc>
          <w:tcPr>
            <w:tcW w:type="dxa" w:w="3600"/>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62 inclusive design guidelines [Madugalla et al. (arXiv v2), p. 1, 6]</w:t>
            </w:r>
          </w:p>
        </w:tc>
        <w:tc>
          <w:tcPr>
            <w:tcW w:type="dxa" w:w="3312"/>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128-guideline accessibility catalogue (50 explanation-relevant)</w:t>
            </w:r>
          </w:p>
        </w:tc>
      </w:tr>
      <w:tr>
        <w:trPr>
          <w:cantSplit/>
        </w:trPr>
        <w:tc>
          <w:tcPr>
            <w:tcW w:type="dxa" w:w="2448"/>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Requirements Traceability</w:t>
            </w:r>
          </w:p>
        </w:tc>
        <w:tc>
          <w:tcPr>
            <w:tcW w:type="dxa" w:w="3600"/>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67 requirements (17 functional, 50 non-functional) [Madugalla et al. (arXiv v2), p. 1, 7]</w:t>
            </w:r>
          </w:p>
        </w:tc>
        <w:tc>
          <w:tcPr>
            <w:tcW w:type="dxa" w:w="3312"/>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50 explanation guidelines traced to software capabilities</w:t>
            </w:r>
          </w:p>
        </w:tc>
      </w:tr>
      <w:tr>
        <w:trPr>
          <w:cantSplit/>
        </w:trPr>
        <w:tc>
          <w:tcPr>
            <w:tcW w:type="dxa" w:w="2448"/>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Adaptation Object</w:t>
            </w:r>
          </w:p>
        </w:tc>
        <w:tc>
          <w:tcPr>
            <w:tcW w:type="dxa" w:w="3600"/>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Interactive mobile UI and alert presentation stages [Madugalla et al. (arXiv v2), p. 8]</w:t>
            </w:r>
          </w:p>
        </w:tc>
        <w:tc>
          <w:tcPr>
            <w:tcW w:type="dxa" w:w="3312"/>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Explanation presentation only; underlying ML prediction never changes</w:t>
            </w:r>
          </w:p>
        </w:tc>
      </w:tr>
      <w:tr>
        <w:trPr>
          <w:cantSplit/>
        </w:trPr>
        <w:tc>
          <w:tcPr>
            <w:tcW w:type="dxa" w:w="2448"/>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Information Invariance Check</w:t>
            </w:r>
          </w:p>
        </w:tc>
        <w:tc>
          <w:tcPr>
            <w:tcW w:type="dxa" w:w="3600"/>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Not implemented in prototype [Madugalla et al. (arXiv v2), p. 8, 10]</w:t>
            </w:r>
          </w:p>
        </w:tc>
        <w:tc>
          <w:tcPr>
            <w:tcW w:type="dxa" w:w="3312"/>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Automated runtime check confirming 5 core facts survive adaptation</w:t>
            </w:r>
          </w:p>
        </w:tc>
      </w:tr>
      <w:tr>
        <w:trPr>
          <w:cantSplit/>
        </w:trPr>
        <w:tc>
          <w:tcPr>
            <w:tcW w:type="dxa" w:w="2448"/>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Preserved Core Facts</w:t>
            </w:r>
          </w:p>
        </w:tc>
        <w:tc>
          <w:tcPr>
            <w:tcW w:type="dxa" w:w="3600"/>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Not stated in the source</w:t>
            </w:r>
          </w:p>
        </w:tc>
        <w:tc>
          <w:tcPr>
            <w:tcW w:type="dxa" w:w="3312"/>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Hazard, place, time window, likelihood (uncertainty kept), action</w:t>
            </w:r>
          </w:p>
        </w:tc>
      </w:tr>
      <w:tr>
        <w:trPr>
          <w:cantSplit/>
        </w:trPr>
        <w:tc>
          <w:tcPr>
            <w:tcW w:type="dxa" w:w="2448"/>
            <w:vAlign w:val="center"/>
            <w:shd w:fill="FFFFFF" w:val="clear"/>
            <w:tcMar>
              <w:top w:w="80" w:type="dxa"/>
              <w:bottom w:w="80" w:type="dxa"/>
              <w:left w:w="110" w:type="dxa"/>
              <w:right w:w="110" w:type="dxa"/>
            </w:tcMar>
          </w:tcPr>
          <w:p>
            <w:pPr>
              <w:spacing w:before="20" w:after="20" w:line="276" w:lineRule="auto"/>
            </w:pPr>
            <w:r>
              <w:rPr>
                <w:rFonts w:ascii="Calibri" w:hAnsi="Calibri"/>
                <w:b/>
                <w:color w:val="222222"/>
                <w:sz w:val="17"/>
              </w:rPr>
              <w:t>Empirical Evaluation Method</w:t>
            </w:r>
          </w:p>
        </w:tc>
        <w:tc>
          <w:tcPr>
            <w:tcW w:type="dxa" w:w="3600"/>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6 user interviews + 8-evaluator cognitive walkthrough [Madugalla et al. (arXiv v2), p. 1, 8-9]</w:t>
            </w:r>
          </w:p>
        </w:tc>
        <w:tc>
          <w:tcPr>
            <w:tcW w:type="dxa" w:w="3312"/>
            <w:vAlign w:val="center"/>
            <w:shd w:fill="FFFFFF" w:val="clear"/>
            <w:tcMar>
              <w:top w:w="80" w:type="dxa"/>
              <w:bottom w:w="80" w:type="dxa"/>
              <w:left w:w="110" w:type="dxa"/>
              <w:right w:w="110" w:type="dxa"/>
            </w:tcMar>
          </w:tcPr>
          <w:p>
            <w:pPr>
              <w:spacing w:before="20" w:after="20" w:line="276" w:lineRule="auto"/>
            </w:pPr>
            <w:r>
              <w:rPr>
                <w:rFonts w:ascii="Calibri" w:hAnsi="Calibri"/>
                <w:color w:val="222222"/>
                <w:sz w:val="17"/>
              </w:rPr>
              <w:t>Persona-based cognitive walkthrough conducted by authors</w:t>
            </w:r>
          </w:p>
        </w:tc>
      </w:tr>
      <w:tr>
        <w:trPr>
          <w:cantSplit/>
        </w:trPr>
        <w:tc>
          <w:tcPr>
            <w:tcW w:type="dxa" w:w="2448"/>
            <w:vAlign w:val="center"/>
            <w:shd w:fill="F7F9FB" w:val="clear"/>
            <w:tcMar>
              <w:top w:w="80" w:type="dxa"/>
              <w:bottom w:w="80" w:type="dxa"/>
              <w:left w:w="110" w:type="dxa"/>
              <w:right w:w="110" w:type="dxa"/>
            </w:tcMar>
          </w:tcPr>
          <w:p>
            <w:pPr>
              <w:spacing w:before="20" w:after="20" w:line="276" w:lineRule="auto"/>
            </w:pPr>
            <w:r>
              <w:rPr>
                <w:rFonts w:ascii="Calibri" w:hAnsi="Calibri"/>
                <w:b/>
                <w:color w:val="222222"/>
                <w:sz w:val="17"/>
              </w:rPr>
              <w:t>End-User Validation Status</w:t>
            </w:r>
          </w:p>
        </w:tc>
        <w:tc>
          <w:tcPr>
            <w:tcW w:type="dxa" w:w="3600"/>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Partially validated with community members [Madugalla et al. (arXiv v2), p. 1, 10]</w:t>
            </w:r>
          </w:p>
        </w:tc>
        <w:tc>
          <w:tcPr>
            <w:tcW w:type="dxa" w:w="3312"/>
            <w:vAlign w:val="center"/>
            <w:shd w:fill="F7F9FB" w:val="clear"/>
            <w:tcMar>
              <w:top w:w="80" w:type="dxa"/>
              <w:bottom w:w="80" w:type="dxa"/>
              <w:left w:w="110" w:type="dxa"/>
              <w:right w:w="110" w:type="dxa"/>
            </w:tcMar>
          </w:tcPr>
          <w:p>
            <w:pPr>
              <w:spacing w:before="20" w:after="20" w:line="276" w:lineRule="auto"/>
            </w:pPr>
            <w:r>
              <w:rPr>
                <w:rFonts w:ascii="Calibri" w:hAnsi="Calibri"/>
                <w:color w:val="222222"/>
                <w:sz w:val="17"/>
              </w:rPr>
              <w:t>No user study run; profiles not yet validated with users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0809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08090"/>
        <w:sz w:val="17"/>
      </w:rPr>
      <w:t>Related Work Audit: Madugalla et al. (arXiv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