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Listar teoremas</w:t>
      </w:r>
      <w:r>
        <w:rPr>
          <w:rFonts w:cs="Times New Roman" w:ascii="Times New Roman" w:hAnsi="Times New Roman"/>
        </w:rPr>
        <w:t xml:space="preserve">" – </w:t>
      </w:r>
      <w:r>
        <w:rPr>
          <w:rFonts w:cs="Times New Roman" w:ascii="Times New Roman" w:hAnsi="Times New Roman"/>
        </w:rPr>
        <w:t>LIST</w:t>
      </w:r>
      <w:r>
        <w:rPr>
          <w:rFonts w:cs="Times New Roman" w:ascii="Times New Roman" w:hAnsi="Times New Roman"/>
        </w:rPr>
        <w: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Listas mis</w:t>
      </w:r>
      <w:r>
        <w:rPr>
          <w:rFonts w:cs="Times New Roman" w:ascii="Times New Roman" w:hAnsi="Times New Roman"/>
        </w:rPr>
        <w:t xml:space="preserve"> teorema</w:t>
      </w:r>
      <w:r>
        <w:rPr>
          <w:rFonts w:cs="Times New Roman" w:ascii="Times New Roman" w:hAnsi="Times New Roman"/>
        </w:rPr>
        <w:t>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Metateoremas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Demostrar por medio de algoritmos de prueba</w:t>
      </w:r>
      <w:r>
        <w:rPr>
          <w:rFonts w:cs="Times New Roman" w:ascii="Times New Roman" w:hAnsi="Times New Roman"/>
        </w:rPr>
        <w:t xml:space="preserve">" – </w:t>
      </w:r>
      <w:r>
        <w:rPr>
          <w:rFonts w:cs="Times New Roman" w:ascii="Times New Roman" w:hAnsi="Times New Roman"/>
        </w:rPr>
        <w:t>DEM</w:t>
      </w:r>
      <w:r>
        <w:rPr>
          <w:rFonts w:cs="Times New Roman" w:ascii="Times New Roman" w:hAnsi="Times New Roman"/>
        </w:rPr>
        <w:t>/</w:t>
      </w:r>
      <w:r>
        <w:rPr>
          <w:rFonts w:cs="Times New Roman" w:ascii="Times New Roman" w:hAnsi="Times New Roman"/>
        </w:rPr>
        <w:t>ALG</w:t>
      </w:r>
      <w:r>
        <w:rPr>
          <w:rFonts w:cs="Times New Roman" w:ascii="Times New Roman" w:hAnsi="Times New Roman"/>
        </w:rPr>
        <w:t>.</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Generar automáticamente</w:t>
      </w:r>
      <w:r>
        <w:rPr>
          <w:rFonts w:cs="Times New Roman" w:ascii="Times New Roman" w:hAnsi="Times New Roman"/>
        </w:rPr>
        <w:t xml:space="preserv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N</w:t>
      </w:r>
      <w:r>
        <w:rPr>
          <w:rFonts w:cs="Times New Roman" w:ascii="Times New Roman" w:hAnsi="Times New Roman"/>
        </w:rPr>
        <w:t xml:space="preserve">o tener que hacer manualmente pasos de inferencias repetitivos </w:t>
      </w:r>
      <w:r>
        <w:rPr>
          <w:rFonts w:cs="Times New Roman" w:ascii="Times New Roman" w:hAnsi="Times New Roman"/>
        </w:rPr>
        <w:t>o predecibles</w:t>
      </w:r>
      <w:r>
        <w:rPr>
          <w:rFonts w:cs="Times New Roman" w:ascii="Times New Roman" w:hAnsi="Times New Roman"/>
        </w:rPr>
        <w:t>.</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w:t>
      </w:r>
      <w:r>
        <w:rPr>
          <w:rFonts w:cs="Times New Roman" w:ascii="Times New Roman" w:hAnsi="Times New Roman"/>
          <w:b/>
        </w:rPr>
        <w:t>s</w:t>
      </w:r>
      <w:r>
        <w:rPr>
          <w:rFonts w:cs="Times New Roman" w:ascii="Times New Roman" w:hAnsi="Times New Roman"/>
          <w:b/>
        </w:rPr>
        <w:t xml:space="preserve"> de Aceptación:</w:t>
      </w:r>
    </w:p>
    <w:p>
      <w:pPr>
        <w:pStyle w:val="NoSpacing"/>
        <w:numPr>
          <w:ilvl w:val="0"/>
          <w:numId w:val="21"/>
        </w:numPr>
        <w:jc w:val="both"/>
        <w:rPr/>
      </w:pPr>
      <w:r>
        <w:rPr>
          <w:rFonts w:cs="Times New Roman" w:ascii="Times New Roman" w:hAnsi="Times New Roman"/>
        </w:rPr>
        <w:t>Un algoritmo de prueba usa algunos teoremas para realizar las inferencias</w:t>
      </w:r>
      <w:r>
        <w:rPr>
          <w:rFonts w:cs="Times New Roman" w:ascii="Times New Roman" w:hAnsi="Times New Roman"/>
        </w:rPr>
        <w:t xml:space="preserve">. </w:t>
      </w:r>
      <w:r>
        <w:rPr>
          <w:rFonts w:cs="Times New Roman" w:ascii="Times New Roman" w:hAnsi="Times New Roman"/>
        </w:rPr>
        <w:t xml:space="preserve">Por lo tanto el algoritmo tiene como precondición, que la totalidad de los teoremas que usa el algoritmo, estén ya demostrados por el usuario. </w:t>
      </w:r>
      <w:r>
        <w:rPr>
          <w:rFonts w:cs="Times New Roman" w:ascii="Times New Roman" w:hAnsi="Times New Roman"/>
        </w:rPr>
        <w:t>Al</w:t>
      </w:r>
      <w:r>
        <w:rPr>
          <w:rFonts w:cs="Times New Roman" w:ascii="Times New Roman" w:hAnsi="Times New Roman"/>
        </w:rPr>
        <w:t xml:space="preserve"> cumplirse la precondición, los teoremas que no tengan </w:t>
      </w:r>
      <w:r>
        <w:rPr>
          <w:rFonts w:cs="Times New Roman" w:ascii="Times New Roman" w:hAnsi="Times New Roman"/>
        </w:rPr>
        <w:t xml:space="preserve">una demostración pero se pueda generar automáticamente por el algoritmo, no deben ser clickeables en la lista de </w:t>
      </w:r>
      <w:r>
        <w:rPr>
          <w:rFonts w:cs="Times New Roman" w:ascii="Times New Roman" w:hAnsi="Times New Roman"/>
        </w:rPr>
        <w:t xml:space="preserve">mis </w:t>
      </w:r>
      <w:r>
        <w:rPr>
          <w:rFonts w:cs="Times New Roman" w:ascii="Times New Roman" w:hAnsi="Times New Roman"/>
        </w:rPr>
        <w:t>teoremas.</w:t>
      </w:r>
    </w:p>
    <w:p>
      <w:pPr>
        <w:pStyle w:val="NoSpacing"/>
        <w:numPr>
          <w:ilvl w:val="0"/>
          <w:numId w:val="21"/>
        </w:numPr>
        <w:jc w:val="both"/>
        <w:rPr/>
      </w:pPr>
      <w:r>
        <w:rPr>
          <w:rFonts w:cs="Times New Roman" w:ascii="Times New Roman" w:hAnsi="Times New Roman"/>
        </w:rPr>
        <w:t>A</w:t>
      </w:r>
      <w:r>
        <w:rPr>
          <w:rFonts w:cs="Times New Roman" w:ascii="Times New Roman" w:hAnsi="Times New Roman"/>
        </w:rPr>
        <w:t xml:space="preserve">l demostrar los teoremas que forman la precondición del algoritmo, </w:t>
      </w:r>
      <w:r>
        <w:rPr>
          <w:rFonts w:cs="Times New Roman" w:ascii="Times New Roman" w:hAnsi="Times New Roman"/>
        </w:rPr>
        <w:t>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numPr>
          <w:ilvl w:val="0"/>
          <w:numId w:val="10"/>
        </w:numPr>
        <w:jc w:val="both"/>
        <w:rPr/>
      </w:pPr>
      <w:r>
        <w:rPr>
          <w:rFonts w:cs="Times New Roman" w:ascii="Times New Roman" w:hAnsi="Times New Roman"/>
        </w:rPr>
        <w:t>Deben aparecer todos los teoremas del estudiante y nada más los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ind w:left="576" w:right="0" w:hanging="576"/>
        <w:jc w:val="both"/>
        <w:rPr/>
      </w:pPr>
      <w:r>
        <w:rPr>
          <w:u w:val="none"/>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El formulario debe contener los campos simbolo en latex, precedencia, notación y opcionalmente el campo infijo. 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Si no es infijo, no se debe dejar el campo de precedencia vacío.</w:t>
      </w:r>
    </w:p>
    <w:p>
      <w:pPr>
        <w:pStyle w:val="NoSpacing"/>
        <w:numPr>
          <w:ilvl w:val="0"/>
          <w:numId w:val="12"/>
        </w:numPr>
        <w:jc w:val="both"/>
        <w:rPr/>
      </w:pPr>
      <w:r>
        <w:rPr>
          <w:rFonts w:cs="Times New Roman" w:ascii="Times New Roman" w:hAnsi="Times New Roman"/>
          <w:b w:val="false"/>
          <w:bCs w:val="false"/>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b w:val="false"/>
          <w:bCs w:val="false"/>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b w:val="false"/>
          <w:bCs w:val="false"/>
          <w:u w:val="none"/>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b w:val="false"/>
          <w:bCs w:val="false"/>
          <w:u w:val="none"/>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b w:val="false"/>
          <w:bCs w:val="false"/>
          <w:u w:val="none"/>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b w:val="false"/>
          <w:bCs w:val="false"/>
          <w:u w:val="none"/>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b w:val="false"/>
          <w:b w:val="false"/>
          <w:bCs w:val="false"/>
          <w:u w:val="none"/>
        </w:rPr>
      </w:pPr>
      <w:bookmarkStart w:id="2" w:name="__DdeLink__567_795562671"/>
      <w:bookmarkStart w:id="3" w:name="__DdeLink__567_795562671"/>
      <w:bookmarkEnd w:id="3"/>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Método Directo</w:t>
      </w:r>
    </w:p>
    <w:p>
      <w:pPr>
        <w:pStyle w:val="NoSpacing"/>
        <w:numPr>
          <w:ilvl w:val="2"/>
          <w:numId w:val="1"/>
        </w:numPr>
        <w:jc w:val="both"/>
        <w:rPr/>
      </w:pPr>
      <w:r>
        <w:rPr>
          <w:rFonts w:cs="Times New Roman" w:ascii="Times New Roman" w:hAnsi="Times New Roman"/>
          <w:b/>
        </w:rPr>
        <w:t xml:space="preserve">        </w:t>
      </w:r>
      <w:bookmarkStart w:id="4" w:name="__DdeLink__570_79556267"/>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b w:val="false"/>
          <w:bCs w:val="false"/>
          <w:u w:val="none"/>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b w:val="false"/>
          <w:bCs w:val="false"/>
          <w:u w:val="none"/>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b w:val="false"/>
          <w:bCs w:val="false"/>
          <w:u w:val="none"/>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b w:val="false"/>
          <w:bCs w:val="false"/>
          <w:u w:val="none"/>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bookmarkEnd w:id="4"/>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b w:val="false"/>
          <w:bCs w:val="false"/>
          <w:u w:val="none"/>
        </w:rPr>
        <w:t>Hay que poner todas las combinaciones cuando dejas los campos vacios o los rellenas incorrectamente.</w:t>
      </w:r>
    </w:p>
    <w:p>
      <w:pPr>
        <w:pStyle w:val="NoSpacing"/>
        <w:numPr>
          <w:ilvl w:val="0"/>
          <w:numId w:val="17"/>
        </w:numPr>
        <w:jc w:val="both"/>
        <w:rPr/>
      </w:pPr>
      <w:r>
        <w:rPr>
          <w:rFonts w:cs="Times New Roman" w:ascii="Times New Roman" w:hAnsi="Times New Roman"/>
          <w:b w:val="false"/>
          <w:bCs w:val="false"/>
          <w:u w:val="none"/>
        </w:rPr>
        <w:t>Si existe una abreviación fuera del sector que se reemplaza por medio de la regla de Leibniz, en la línea siguiente luego de la inferencia se debe mantener igualmente la abreviación en el mismo sector de la fórmula.</w:t>
      </w:r>
    </w:p>
    <w:p>
      <w:pPr>
        <w:pStyle w:val="NoSpacing"/>
        <w:numPr>
          <w:ilvl w:val="0"/>
          <w:numId w:val="17"/>
        </w:numPr>
        <w:jc w:val="both"/>
        <w:rPr/>
      </w:pPr>
      <w:r>
        <w:rPr>
          <w:rFonts w:cs="Times New Roman" w:ascii="Times New Roman" w:hAnsi="Times New Roman"/>
          <w:b w:val="false"/>
          <w:bCs w:val="false"/>
          <w:u w:val="none"/>
        </w:rPr>
        <w:t>Luego de una inferencia todas las abreviaciones se muestran ocultando la fórmula real que abrevia, esto es independiente a si el usuario antes de la inferencia, hizo click sobre alguna abreviación mostrando la fórmula oculta.</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b w:val="false"/>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1165</TotalTime>
  <Application>LibreOffice/5.2.7.2$Linux_X86_64 LibreOffice_project/20m0$Build-2</Application>
  <Pages>27</Pages>
  <Words>5295</Words>
  <Characters>27447</Characters>
  <CharactersWithSpaces>32537</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2020-04-08T23:01:04Z</dcterms:modified>
  <cp:revision>132</cp:revision>
  <dc:subject/>
  <dc:title/>
</cp:coreProperties>
</file>