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 xml:space="preserve">PRORROGAÇÃO DE PROCEDIMENTO PREPARATÓRIO </w:t>
      </w:r>
    </w:p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DE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</w:rPr>
        <w:t>Procedimento MPRJ n</w:t>
      </w:r>
      <w:r>
        <w:rPr>
          <w:rFonts w:cs="Calibri" w:ascii="Spranq eco sans" w:hAnsi="Spranq eco sans"/>
          <w:vertAlign w:val="superscript"/>
        </w:rPr>
        <w:t>o</w:t>
      </w:r>
      <w:r>
        <w:rPr>
          <w:rFonts w:cs="Calibri" w:ascii="Spranq eco sans" w:hAnsi="Spranq eco sans"/>
        </w:rPr>
        <w:t xml:space="preserve">. </w:t>
      </w:r>
      <w:r>
        <w:rPr>
          <w:rFonts w:cs="Calibri" w:ascii="Spranq eco sans" w:hAnsi="Spranq eco sans"/>
          <w:b/>
          <w:bCs/>
          <w:color w:val="FF0000"/>
        </w:rPr>
        <w:t>{{ num_procedimento }}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 xml:space="preserve">Considerando a necessidade de esclarecimentos complementares para a formação do convencimento deste órgão de execução sobre o cabimento, em tese, da tutela de interesses ou direitos difusos, coletivos ou individuais homogêneos na hipótese versada nos presentes autos, com fulcro no artigo 16, §2º da Resolução GPGJ nº 2.227/18, </w:t>
      </w:r>
      <w:r>
        <w:rPr>
          <w:rFonts w:cs="Calibri" w:ascii="Spranq eco sans" w:hAnsi="Spranq eco sans"/>
          <w:b/>
          <w:bCs/>
        </w:rPr>
        <w:t>PRORROGO POR MAIS 90 (NOVENTA) DIAS</w:t>
      </w:r>
      <w:r>
        <w:rPr>
          <w:rFonts w:cs="Calibri" w:ascii="Spranq eco sans" w:hAnsi="Spranq eco sans"/>
        </w:rPr>
        <w:t xml:space="preserve"> o presente Procedimento Preparatório, devendo ser ultimadas as diligências ainda faltantes.</w:t>
      </w:r>
    </w:p>
    <w:p>
      <w:pPr>
        <w:pStyle w:val="Normal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bCs/>
          <w:color w:val="000000"/>
        </w:rPr>
        <w:t>Rio de Janeiro</w:t>
      </w:r>
      <w:r>
        <w:rPr>
          <w:rFonts w:cs="Calibri" w:ascii="Spranq eco sans" w:hAnsi="Spranq eco sans"/>
          <w:b/>
          <w:bCs/>
          <w:color w:val="FF0000"/>
        </w:rPr>
        <w:t>, {{ data_hoje }}</w:t>
      </w:r>
      <w:r>
        <w:rPr>
          <w:rFonts w:cs="Calibri" w:ascii="Spranq eco sans" w:hAnsi="Spranq eco sans"/>
          <w:b/>
          <w:bCs/>
          <w:color w:val="000000"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bCs/>
          <w:color w:val="FF0000"/>
        </w:rPr>
        <w:t>Promotor{% if sexo == ‘F’ %}a{% endif %} de Justiça | Matrícula nº {{ matricula_promotor }}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99231423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bookmarkStart w:id="0" w:name="_GoBack"/>
    <w:bookmarkStart w:id="1" w:name="_GoBack"/>
    <w:bookmarkEnd w:id="1"/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/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19050" distR="635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9797-e0d5-4cfb-84d4-b3f57ca986fe}"/>
      </w:docPartPr>
      <w:docPartBody>
        <w:p w14:paraId="36363B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E0A7D-998D-4300-9A91-531F6BDBB749}"/>
</file>

<file path=customXml/itemProps2.xml><?xml version="1.0" encoding="utf-8"?>
<ds:datastoreItem xmlns:ds="http://schemas.openxmlformats.org/officeDocument/2006/customXml" ds:itemID="{CE86B0B3-C9A7-4C94-BD9C-3D23774A99E1}"/>
</file>

<file path=customXml/itemProps3.xml><?xml version="1.0" encoding="utf-8"?>
<ds:datastoreItem xmlns:ds="http://schemas.openxmlformats.org/officeDocument/2006/customXml" ds:itemID="{A7912F95-F18A-43C3-8262-39097F477C33}"/>
</file>

<file path=customXml/itemProps4.xml><?xml version="1.0" encoding="utf-8"?>
<ds:datastoreItem xmlns:ds="http://schemas.openxmlformats.org/officeDocument/2006/customXml" ds:itemID="{B55709E1-B285-43AD-88B6-4A896739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LibreOffice/5.4.3.2$MacOSX_X86_64 LibreOffice_project/92a7159f7e4af62137622921e809f8546db437e5</Application>
  <Pages>1</Pages>
  <Words>115</Words>
  <Characters>672</Characters>
  <CharactersWithSpaces>781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2020-09-04T20:30:00Z</dcterms:created>
  <dc:creator>lcanonico</dc:creator>
  <dc:description/>
  <dc:language>pt-BR</dc:language>
  <cp:lastModifiedBy/>
  <cp:lastPrinted>2019-12-12T20:05:00Z</cp:lastPrinted>
  <dcterms:modified xsi:type="dcterms:W3CDTF">2020-10-13T10:36:49Z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