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Response to Faculty Feedback — Revision Plan</w:t>
      </w:r>
    </w:p>
    <w:p>
      <w:pPr>
        <w:spacing w:after="40"/>
      </w:pPr>
      <w:r>
        <w:rPr>
          <w:i/>
          <w:iCs/>
          <w:sz w:val="22"/>
          <w:szCs w:val="22"/>
        </w:rPr>
        <w:t xml:space="preserve">Modeling Illicit Financial Behavior with Graph Neural Networks: A Criminology-Driven Approach for Anti-Money Laundering</w:t>
      </w:r>
    </w:p>
    <w:p>
      <w:pPr>
        <w:spacing w:after="240"/>
      </w:pPr>
      <w:r>
        <w:rPr>
          <w:color w:val="666666"/>
          <w:sz w:val="20"/>
          <w:szCs w:val="20"/>
        </w:rPr>
        <w:t xml:space="preserve">August 9, 2026</w:t>
      </w:r>
    </w:p>
    <w:p>
      <w:pPr>
        <w:spacing w:after="120"/>
      </w:pPr>
      <w:r>
        <w:t xml:space="preserve">This document responds point-by-point to the review dated August 4, 2026, using this document's own section numbering (§1–§4). Each item below states what we found when checking it against the code, what we'll do about it, and how costly the fix is. Color coding: green = already fixed this session, yellow = cheap/quick fix not yet executed, orange = larger fix, red = recommended future work given scope.</w:t>
      </w:r>
    </w:p>
    <w:p>
      <w:pPr>
        <w:pStyle w:val="Heading1"/>
        <w:spacing w:after="120" w:before="300"/>
      </w:pPr>
      <w:r>
        <w:t xml:space="preserve">Priority Action Queue</w:t>
      </w:r>
    </w:p>
    <w:p>
      <w:pPr>
        <w:spacing w:after="120"/>
      </w:pPr>
      <w:r>
        <w:t xml:space="preserve">In rough cost/impact order, cheapest and highest-leverage first:</w:t>
      </w:r>
    </w:p>
    <w:p>
      <w:pPr>
        <w:pStyle w:val="ListParagraph"/>
        <w:numPr>
          <w:ilvl w:val="0"/>
          <w:numId w:val="2"/>
        </w:numPr>
        <w:spacing w:after="60"/>
      </w:pPr>
      <w:r>
        <w:t xml:space="preserve">Train GraphSAGE / GraphSAGE-T / DyRep on the natural (pristine, never-boosted) RAT/SLT graphs as the new primary experiment (§4.1) — graphs already exist, this is close to free.</w:t>
      </w:r>
    </w:p>
    <w:p>
      <w:pPr>
        <w:pStyle w:val="ListParagraph"/>
        <w:numPr>
          <w:ilvl w:val="0"/>
          <w:numId w:val="2"/>
        </w:numPr>
        <w:spacing w:after="60"/>
      </w:pPr>
      <w:r>
        <w:t xml:space="preserve">Remove pattern-flag ground-truth leakage from RAT scores and SLT's peer-risk score (§3.1, §3.2).</w:t>
      </w:r>
    </w:p>
    <w:p>
      <w:pPr>
        <w:pStyle w:val="ListParagraph"/>
        <w:numPr>
          <w:ilvl w:val="0"/>
          <w:numId w:val="2"/>
        </w:numPr>
        <w:spacing w:after="60"/>
      </w:pPr>
      <w:r>
        <w:t xml:space="preserve">Add a chronological split mode for the static models to match DyRep (§3.3a, §4.4).</w:t>
      </w:r>
    </w:p>
    <w:p>
      <w:pPr>
        <w:pStyle w:val="ListParagraph"/>
        <w:numPr>
          <w:ilvl w:val="0"/>
          <w:numId w:val="2"/>
        </w:numPr>
        <w:spacing w:after="60"/>
      </w:pPr>
      <w:r>
        <w:t xml:space="preserve">Reframe the intensity-injection experiment as secondary/sensitivity, not primary evidence (§2.1–§2.4, §4.2).</w:t>
      </w:r>
    </w:p>
    <w:p>
      <w:pPr>
        <w:pStyle w:val="ListParagraph"/>
        <w:numPr>
          <w:ilvl w:val="0"/>
          <w:numId w:val="2"/>
        </w:numPr>
        <w:spacing w:after="60"/>
      </w:pPr>
      <w:r>
        <w:t xml:space="preserve">Add cheap non-GNN baselines — logistic regression, Random Forest, XGBoost/LightGBM, MLP — reusing the existing tabular feature matrix (§3.4).</w:t>
      </w:r>
    </w:p>
    <w:p>
      <w:pPr>
        <w:pStyle w:val="ListParagraph"/>
        <w:numPr>
          <w:ilvl w:val="0"/>
          <w:numId w:val="2"/>
        </w:numPr>
        <w:spacing w:after="60"/>
      </w:pPr>
      <w:r>
        <w:t xml:space="preserve">Compute bootstrap CIs, PR curves, calibration diagrams, recall-at-fixed-precision/FP-budget from data already saved (§4.6).</w:t>
      </w:r>
    </w:p>
    <w:p>
      <w:pPr>
        <w:pStyle w:val="ListParagraph"/>
        <w:numPr>
          <w:ilvl w:val="0"/>
          <w:numId w:val="2"/>
        </w:numPr>
        <w:spacing w:after="60"/>
      </w:pPr>
      <w:r>
        <w:t xml:space="preserve">Rename the Random Forest analysis “standalone feature relevance” and add permutation importance on the frozen GNN (§3.5).</w:t>
      </w:r>
    </w:p>
    <w:p>
      <w:pPr>
        <w:pStyle w:val="ListParagraph"/>
        <w:numPr>
          <w:ilvl w:val="0"/>
          <w:numId w:val="2"/>
        </w:numPr>
        <w:spacing w:after="60"/>
      </w:pPr>
      <w:r>
        <w:t xml:space="preserve">Add the cheap placebo controls: random-selection injection, randomized theory weights, permuted features (§4.3).</w:t>
      </w:r>
    </w:p>
    <w:p>
      <w:pPr>
        <w:pStyle w:val="ListParagraph"/>
        <w:numPr>
          <w:ilvl w:val="0"/>
          <w:numId w:val="2"/>
        </w:numPr>
        <w:spacing w:after="60"/>
      </w:pPr>
      <w:r>
        <w:t xml:space="preserve">Rerun the pipeline on a second IBM AMLworld configuration (e.g. LI-Small) for a low-cost generalization check (§4.5).</w:t>
      </w:r>
    </w:p>
    <w:p>
      <w:pPr>
        <w:pStyle w:val="ListParagraph"/>
        <w:numPr>
          <w:ilvl w:val="0"/>
          <w:numId w:val="2"/>
        </w:numPr>
        <w:spacing w:after="60"/>
      </w:pPr>
      <w:r>
        <w:t xml:space="preserve">Point-in-time recomputation of every account-level statistic so no feature can see future/test-period activity — the largest remaining item, scope as its own work session (§3.3b, §4.4).</w:t>
      </w:r>
    </w:p>
    <w:p>
      <w:pPr>
        <w:pStyle w:val="Heading1"/>
        <w:spacing w:after="120" w:before="300"/>
      </w:pPr>
      <w:r>
        <w:t xml:space="preserve">§1. Main Strengths</w:t>
      </w:r>
    </w:p>
    <w:p>
      <w:pPr>
        <w:spacing w:after="120"/>
      </w:pPr>
      <w:r>
        <w:t xml:space="preserve">No revisions required — these will be preserved as-is in the final version.</w:t>
      </w:r>
    </w:p>
    <w:p>
      <w:pPr>
        <w:pStyle w:val="Heading1"/>
        <w:spacing w:after="120" w:before="300"/>
      </w:pPr>
      <w:r>
        <w:t xml:space="preserve">§2. Critical Methodological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shd w:fill="D9D9D9" w:val="clear"/>
            <w:tcMar>
              <w:top w:type="dxa" w:w="80"/>
              <w:left w:type="dxa" w:w="100"/>
              <w:bottom w:type="dxa" w:w="80"/>
              <w:right w:type="dxa" w:w="100"/>
            </w:tcMar>
          </w:tcPr>
          <w:p>
            <w:pPr>
              <w:jc w:val="left"/>
            </w:pPr>
            <w:r>
              <w:rPr>
                <w:b/>
                <w:bCs/>
                <w:sz w:val="19"/>
                <w:szCs w:val="19"/>
              </w:rPr>
              <w:t xml:space="preserve">Comment</w:t>
            </w:r>
          </w:p>
        </w:tc>
        <w:tc>
          <w:tcPr>
            <w:tcW w:type="dxa" w:w="5000"/>
            <w:shd w:fill="D9D9D9" w:val="clear"/>
            <w:tcMar>
              <w:top w:type="dxa" w:w="80"/>
              <w:left w:type="dxa" w:w="100"/>
              <w:bottom w:type="dxa" w:w="80"/>
              <w:right w:type="dxa" w:w="100"/>
            </w:tcMar>
          </w:tcPr>
          <w:p>
            <w:pPr>
              <w:jc w:val="left"/>
            </w:pPr>
            <w:r>
              <w:rPr>
                <w:b/>
                <w:bCs/>
                <w:sz w:val="19"/>
                <w:szCs w:val="19"/>
              </w:rPr>
              <w:t xml:space="preserve">Response &amp; Action</w:t>
            </w:r>
          </w:p>
        </w:tc>
        <w:tc>
          <w:tcPr>
            <w:tcW w:type="dxa" w:w="2760"/>
            <w:shd w:fill="D9D9D9" w:val="clear"/>
            <w:tcMar>
              <w:top w:type="dxa" w:w="80"/>
              <w:left w:type="dxa" w:w="100"/>
              <w:bottom w:type="dxa" w:w="80"/>
              <w:right w:type="dxa" w:w="100"/>
            </w:tcMar>
          </w:tcPr>
          <w:p>
            <w:pPr>
              <w:jc w:val="left"/>
            </w:pPr>
            <w:r>
              <w:rPr>
                <w:b/>
                <w:bCs/>
                <w:sz w:val="19"/>
                <w:szCs w:val="19"/>
              </w:rPr>
              <w:t xml:space="preserve">Status</w:t>
            </w:r>
          </w:p>
        </w:tc>
      </w:tr>
      <w:tr>
        <w:tc>
          <w:tcPr>
            <w:tcW w:type="dxa" w:w="1600"/>
            <w:tcMar>
              <w:top w:type="dxa" w:w="80"/>
              <w:left w:type="dxa" w:w="100"/>
              <w:bottom w:type="dxa" w:w="80"/>
              <w:right w:type="dxa" w:w="100"/>
            </w:tcMar>
          </w:tcPr>
          <w:p>
            <w:pPr>
              <w:jc w:val="left"/>
            </w:pPr>
            <w:r>
              <w:rPr>
                <w:b w:val="false"/>
                <w:bCs w:val="false"/>
                <w:sz w:val="19"/>
                <w:szCs w:val="19"/>
              </w:rPr>
              <w:t xml:space="preserve">2.1 Label-conditioned injection</w:t>
            </w:r>
          </w:p>
        </w:tc>
        <w:tc>
          <w:tcPr>
            <w:tcW w:type="dxa" w:w="5000"/>
            <w:tcMar>
              <w:top w:type="dxa" w:w="80"/>
              <w:left w:type="dxa" w:w="100"/>
              <w:bottom w:type="dxa" w:w="80"/>
              <w:right w:type="dxa" w:w="100"/>
            </w:tcMar>
          </w:tcPr>
          <w:p>
            <w:pPr>
              <w:jc w:val="left"/>
            </w:pPr>
            <w:r>
              <w:rPr>
                <w:b w:val="false"/>
                <w:bCs w:val="false"/>
                <w:sz w:val="19"/>
                <w:szCs w:val="19"/>
              </w:rPr>
              <w:t xml:space="preserve">Confirmed. RAT/SLT scores are computed identically for every transaction from historical, non-label data before any selection happens. That pristine computation is what we're promoting to the paper's primary experiment (see 4.1); the label-conditioned boost becomes a secondary sensitivity study (4.2), not the central claim.</w:t>
            </w:r>
          </w:p>
        </w:tc>
        <w:tc>
          <w:tcPr>
            <w:tcW w:type="dxa" w:w="2760"/>
            <w:shd w:fill="FCE5CD" w:val="clear"/>
            <w:tcMar>
              <w:top w:type="dxa" w:w="80"/>
              <w:left w:type="dxa" w:w="100"/>
              <w:bottom w:type="dxa" w:w="80"/>
              <w:right w:type="dxa" w:w="100"/>
            </w:tcMar>
          </w:tcPr>
          <w:p>
            <w:pPr>
              <w:jc w:val="center"/>
            </w:pPr>
            <w:r>
              <w:rPr>
                <w:b w:val="false"/>
                <w:bCs w:val="false"/>
                <w:sz w:val="19"/>
                <w:szCs w:val="19"/>
              </w:rPr>
              <w:t xml:space="preserve">Larger fix</w:t>
            </w:r>
          </w:p>
        </w:tc>
      </w:tr>
      <w:tr>
        <w:tc>
          <w:tcPr>
            <w:tcW w:type="dxa" w:w="1600"/>
            <w:tcMar>
              <w:top w:type="dxa" w:w="80"/>
              <w:left w:type="dxa" w:w="100"/>
              <w:bottom w:type="dxa" w:w="80"/>
              <w:right w:type="dxa" w:w="100"/>
            </w:tcMar>
          </w:tcPr>
          <w:p>
            <w:pPr>
              <w:jc w:val="left"/>
            </w:pPr>
            <w:r>
              <w:rPr>
                <w:b w:val="false"/>
                <w:bCs w:val="false"/>
                <w:sz w:val="19"/>
                <w:szCs w:val="19"/>
              </w:rPr>
              <w:t xml:space="preserve">2.2 What the experiment demonstrates</w:t>
            </w:r>
          </w:p>
        </w:tc>
        <w:tc>
          <w:tcPr>
            <w:tcW w:type="dxa" w:w="5000"/>
            <w:tcMar>
              <w:top w:type="dxa" w:w="80"/>
              <w:left w:type="dxa" w:w="100"/>
              <w:bottom w:type="dxa" w:w="80"/>
              <w:right w:type="dxa" w:w="100"/>
            </w:tcMar>
          </w:tcPr>
          <w:p>
            <w:pPr>
              <w:jc w:val="left"/>
            </w:pPr>
            <w:r>
              <w:rPr>
                <w:b w:val="false"/>
                <w:bCs w:val="false"/>
                <w:sz w:val="19"/>
                <w:szCs w:val="19"/>
              </w:rPr>
              <w:t xml:space="preserve">Same restructuring answers this directly: headline results will come from natural, never-boosted theory features. The injection results are reframed as “does performance scale with a controlled synthetic dosage,” not as evidence that the theory is valid.</w:t>
            </w:r>
          </w:p>
        </w:tc>
        <w:tc>
          <w:tcPr>
            <w:tcW w:type="dxa" w:w="2760"/>
            <w:shd w:fill="FCE5CD" w:val="clear"/>
            <w:tcMar>
              <w:top w:type="dxa" w:w="80"/>
              <w:left w:type="dxa" w:w="100"/>
              <w:bottom w:type="dxa" w:w="80"/>
              <w:right w:type="dxa" w:w="100"/>
            </w:tcMar>
          </w:tcPr>
          <w:p>
            <w:pPr>
              <w:jc w:val="center"/>
            </w:pPr>
            <w:r>
              <w:rPr>
                <w:b w:val="false"/>
                <w:bCs w:val="false"/>
                <w:sz w:val="19"/>
                <w:szCs w:val="19"/>
              </w:rPr>
              <w:t xml:space="preserve">Larger fix</w:t>
            </w:r>
          </w:p>
        </w:tc>
      </w:tr>
      <w:tr>
        <w:tc>
          <w:tcPr>
            <w:tcW w:type="dxa" w:w="1600"/>
            <w:tcMar>
              <w:top w:type="dxa" w:w="80"/>
              <w:left w:type="dxa" w:w="100"/>
              <w:bottom w:type="dxa" w:w="80"/>
              <w:right w:type="dxa" w:w="100"/>
            </w:tcMar>
          </w:tcPr>
          <w:p>
            <w:pPr>
              <w:jc w:val="left"/>
            </w:pPr>
            <w:r>
              <w:rPr>
                <w:b w:val="false"/>
                <w:bCs w:val="false"/>
                <w:sz w:val="19"/>
                <w:szCs w:val="19"/>
              </w:rPr>
              <w:t xml:space="preserve">2.3 Test-set contamination</w:t>
            </w:r>
          </w:p>
        </w:tc>
        <w:tc>
          <w:tcPr>
            <w:tcW w:type="dxa" w:w="5000"/>
            <w:tcMar>
              <w:top w:type="dxa" w:w="80"/>
              <w:left w:type="dxa" w:w="100"/>
              <w:bottom w:type="dxa" w:w="80"/>
              <w:right w:type="dxa" w:w="100"/>
            </w:tcMar>
          </w:tcPr>
          <w:p>
            <w:pPr>
              <w:jc w:val="left"/>
            </w:pPr>
            <w:r>
              <w:rPr>
                <w:b w:val="false"/>
                <w:bCs w:val="false"/>
                <w:sz w:val="19"/>
                <w:szCs w:val="19"/>
              </w:rPr>
              <w:t xml:space="preserve">Confirmed and already corrected this session. All RAT/SLT graphs (every intensity, all three models) were rebuilt so the boost is applied to train-split rows only; validation and test rows are forced to pristine values. A pre-fix robustness check (9 seed runs) measured the leak directly: reverting only the test rows to pristine dropped AUPR by ~16% (RAT) and ~22% (SLT) on average, while ROC-AUC barely moved — confirming both that the leak was real and that it wasn't the whole story.</w:t>
            </w:r>
          </w:p>
        </w:tc>
        <w:tc>
          <w:tcPr>
            <w:tcW w:type="dxa" w:w="2760"/>
            <w:shd w:fill="D9EAD3" w:val="clear"/>
            <w:tcMar>
              <w:top w:type="dxa" w:w="80"/>
              <w:left w:type="dxa" w:w="100"/>
              <w:bottom w:type="dxa" w:w="80"/>
              <w:right w:type="dxa" w:w="100"/>
            </w:tcMar>
          </w:tcPr>
          <w:p>
            <w:pPr>
              <w:jc w:val="center"/>
            </w:pPr>
            <w:r>
              <w:rPr>
                <w:b w:val="false"/>
                <w:bCs w:val="false"/>
                <w:sz w:val="19"/>
                <w:szCs w:val="19"/>
              </w:rPr>
              <w:t xml:space="preserve">Fixed</w:t>
            </w:r>
          </w:p>
        </w:tc>
      </w:tr>
      <w:tr>
        <w:tc>
          <w:tcPr>
            <w:tcW w:type="dxa" w:w="1600"/>
            <w:tcMar>
              <w:top w:type="dxa" w:w="80"/>
              <w:left w:type="dxa" w:w="100"/>
              <w:bottom w:type="dxa" w:w="80"/>
              <w:right w:type="dxa" w:w="100"/>
            </w:tcMar>
          </w:tcPr>
          <w:p>
            <w:pPr>
              <w:jc w:val="left"/>
            </w:pPr>
            <w:r>
              <w:rPr>
                <w:b w:val="false"/>
                <w:bCs w:val="false"/>
                <w:sz w:val="19"/>
                <w:szCs w:val="19"/>
              </w:rPr>
              <w:t xml:space="preserve">2.4 Monotonic gains insufficient</w:t>
            </w:r>
          </w:p>
        </w:tc>
        <w:tc>
          <w:tcPr>
            <w:tcW w:type="dxa" w:w="5000"/>
            <w:tcMar>
              <w:top w:type="dxa" w:w="80"/>
              <w:left w:type="dxa" w:w="100"/>
              <w:bottom w:type="dxa" w:w="80"/>
              <w:right w:type="dxa" w:w="100"/>
            </w:tcMar>
          </w:tcPr>
          <w:p>
            <w:pPr>
              <w:jc w:val="left"/>
            </w:pPr>
            <w:r>
              <w:rPr>
                <w:b w:val="false"/>
                <w:bCs w:val="false"/>
                <w:sz w:val="19"/>
                <w:szCs w:val="19"/>
              </w:rPr>
              <w:t xml:space="preserve">Agreed. Paper will state explicitly that the low/medium/high sweep is a dosage/sensitivity check, not standalone proof. The natural-feature experiment (4.1) carries the actual validity claim.</w:t>
            </w:r>
          </w:p>
        </w:tc>
        <w:tc>
          <w:tcPr>
            <w:tcW w:type="dxa" w:w="2760"/>
            <w:shd w:fill="FCE5CD" w:val="clear"/>
            <w:tcMar>
              <w:top w:type="dxa" w:w="80"/>
              <w:left w:type="dxa" w:w="100"/>
              <w:bottom w:type="dxa" w:w="80"/>
              <w:right w:type="dxa" w:w="100"/>
            </w:tcMar>
          </w:tcPr>
          <w:p>
            <w:pPr>
              <w:jc w:val="center"/>
            </w:pPr>
            <w:r>
              <w:rPr>
                <w:b w:val="false"/>
                <w:bCs w:val="false"/>
                <w:sz w:val="19"/>
                <w:szCs w:val="19"/>
              </w:rPr>
              <w:t xml:space="preserve">Larger fix</w:t>
            </w:r>
          </w:p>
        </w:tc>
      </w:tr>
    </w:tbl>
    <w:p>
      <w:r>
        <w:br w:type="page"/>
      </w:r>
    </w:p>
    <w:p>
      <w:pPr>
        <w:pStyle w:val="Heading1"/>
        <w:spacing w:after="120" w:before="300"/>
      </w:pPr>
      <w:r>
        <w:t xml:space="preserve">§3. Additional Major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shd w:fill="D9D9D9" w:val="clear"/>
            <w:tcMar>
              <w:top w:type="dxa" w:w="80"/>
              <w:left w:type="dxa" w:w="100"/>
              <w:bottom w:type="dxa" w:w="80"/>
              <w:right w:type="dxa" w:w="100"/>
            </w:tcMar>
          </w:tcPr>
          <w:p>
            <w:pPr>
              <w:jc w:val="left"/>
            </w:pPr>
            <w:r>
              <w:rPr>
                <w:b/>
                <w:bCs/>
                <w:sz w:val="19"/>
                <w:szCs w:val="19"/>
              </w:rPr>
              <w:t xml:space="preserve">Comment</w:t>
            </w:r>
          </w:p>
        </w:tc>
        <w:tc>
          <w:tcPr>
            <w:tcW w:type="dxa" w:w="5000"/>
            <w:shd w:fill="D9D9D9" w:val="clear"/>
            <w:tcMar>
              <w:top w:type="dxa" w:w="80"/>
              <w:left w:type="dxa" w:w="100"/>
              <w:bottom w:type="dxa" w:w="80"/>
              <w:right w:type="dxa" w:w="100"/>
            </w:tcMar>
          </w:tcPr>
          <w:p>
            <w:pPr>
              <w:jc w:val="left"/>
            </w:pPr>
            <w:r>
              <w:rPr>
                <w:b/>
                <w:bCs/>
                <w:sz w:val="19"/>
                <w:szCs w:val="19"/>
              </w:rPr>
              <w:t xml:space="preserve">Response &amp; Action</w:t>
            </w:r>
          </w:p>
        </w:tc>
        <w:tc>
          <w:tcPr>
            <w:tcW w:type="dxa" w:w="2760"/>
            <w:shd w:fill="D9D9D9" w:val="clear"/>
            <w:tcMar>
              <w:top w:type="dxa" w:w="80"/>
              <w:left w:type="dxa" w:w="100"/>
              <w:bottom w:type="dxa" w:w="80"/>
              <w:right w:type="dxa" w:w="100"/>
            </w:tcMar>
          </w:tcPr>
          <w:p>
            <w:pPr>
              <w:jc w:val="left"/>
            </w:pPr>
            <w:r>
              <w:rPr>
                <w:b/>
                <w:bCs/>
                <w:sz w:val="19"/>
                <w:szCs w:val="19"/>
              </w:rPr>
              <w:t xml:space="preserve">Status</w:t>
            </w:r>
          </w:p>
        </w:tc>
      </w:tr>
      <w:tr>
        <w:tc>
          <w:tcPr>
            <w:tcW w:type="dxa" w:w="1600"/>
            <w:tcMar>
              <w:top w:type="dxa" w:w="80"/>
              <w:left w:type="dxa" w:w="100"/>
              <w:bottom w:type="dxa" w:w="80"/>
              <w:right w:type="dxa" w:w="100"/>
            </w:tcMar>
          </w:tcPr>
          <w:p>
            <w:pPr>
              <w:jc w:val="left"/>
            </w:pPr>
            <w:r>
              <w:rPr>
                <w:b w:val="false"/>
                <w:bCs w:val="false"/>
                <w:sz w:val="19"/>
                <w:szCs w:val="19"/>
              </w:rPr>
              <w:t xml:space="preserve">3.1 Pattern-flag ground-truth leakage</w:t>
            </w:r>
          </w:p>
        </w:tc>
        <w:tc>
          <w:tcPr>
            <w:tcW w:type="dxa" w:w="5000"/>
            <w:tcMar>
              <w:top w:type="dxa" w:w="80"/>
              <w:left w:type="dxa" w:w="100"/>
              <w:bottom w:type="dxa" w:w="80"/>
              <w:right w:type="dxa" w:w="100"/>
            </w:tcMar>
          </w:tcPr>
          <w:p>
            <w:pPr>
              <w:jc w:val="left"/>
            </w:pPr>
            <w:r>
              <w:rPr>
                <w:b w:val="false"/>
                <w:bCs w:val="false"/>
                <w:sz w:val="19"/>
                <w:szCs w:val="19"/>
              </w:rPr>
              <w:t xml:space="preserve">Confirmed real. RAT_src/dst_pattern_flag, and the pattern-flag term inside SLT's peer_risk_score, both read the AMLworld simulator's ground-truth pattern export — not something an investigator would have pre-prediction. Fix: drop both indicators from RAT's offender/target scores and from SLT's peer-risk score, renormalize the remaining component weights, rebuild graphs, retrain.</w:t>
            </w:r>
          </w:p>
        </w:tc>
        <w:tc>
          <w:tcPr>
            <w:tcW w:type="dxa" w:w="2760"/>
            <w:shd w:fill="FFF2CC" w:val="clear"/>
            <w:tcMar>
              <w:top w:type="dxa" w:w="80"/>
              <w:left w:type="dxa" w:w="100"/>
              <w:bottom w:type="dxa" w:w="80"/>
              <w:right w:type="dxa" w:w="100"/>
            </w:tcMar>
          </w:tcPr>
          <w:p>
            <w:pPr>
              <w:jc w:val="center"/>
            </w:pPr>
            <w:r>
              <w:rPr>
                <w:b w:val="false"/>
                <w:bCs w:val="false"/>
                <w:sz w:val="19"/>
                <w:szCs w:val="19"/>
              </w:rPr>
              <w:t xml:space="preserve">Quick fix</w:t>
            </w:r>
          </w:p>
        </w:tc>
      </w:tr>
      <w:tr>
        <w:tc>
          <w:tcPr>
            <w:tcW w:type="dxa" w:w="1600"/>
            <w:tcMar>
              <w:top w:type="dxa" w:w="80"/>
              <w:left w:type="dxa" w:w="100"/>
              <w:bottom w:type="dxa" w:w="80"/>
              <w:right w:type="dxa" w:w="100"/>
            </w:tcMar>
          </w:tcPr>
          <w:p>
            <w:pPr>
              <w:jc w:val="left"/>
            </w:pPr>
            <w:r>
              <w:rPr>
                <w:b w:val="false"/>
                <w:bCs w:val="false"/>
                <w:sz w:val="19"/>
                <w:szCs w:val="19"/>
              </w:rPr>
              <w:t xml:space="preserve">3.2 Incomplete high-risk-peer definition</w:t>
            </w:r>
          </w:p>
        </w:tc>
        <w:tc>
          <w:tcPr>
            <w:tcW w:type="dxa" w:w="5000"/>
            <w:tcMar>
              <w:top w:type="dxa" w:w="80"/>
              <w:left w:type="dxa" w:w="100"/>
              <w:bottom w:type="dxa" w:w="80"/>
              <w:right w:type="dxa" w:w="100"/>
            </w:tcMar>
          </w:tcPr>
          <w:p>
            <w:pPr>
              <w:jc w:val="left"/>
            </w:pPr>
            <w:r>
              <w:rPr>
                <w:b w:val="false"/>
                <w:bCs w:val="false"/>
                <w:sz w:val="19"/>
                <w:szCs w:val="19"/>
              </w:rPr>
              <w:t xml:space="preserve">The score already exists in code (weighted blend of txn count, amount flow, unique counterparties, txn/active-day, cross-bank ratio, plus the pattern flag above), thresholded at the empirical 95th percentile — it's just under-documented. Action: add a full Appendix D subsection with the equation and threshold. Separately: it is currently computed over each account's entire history, not a train-only/point-in-time window — same root issue as 3.3(b) below, disclose as a limitation until that's fixed.</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Quick fix (doc) / Larger fix (recompute)</w:t>
            </w:r>
          </w:p>
        </w:tc>
      </w:tr>
      <w:tr>
        <w:tc>
          <w:tcPr>
            <w:tcW w:type="dxa" w:w="1600"/>
            <w:tcMar>
              <w:top w:type="dxa" w:w="80"/>
              <w:left w:type="dxa" w:w="100"/>
              <w:bottom w:type="dxa" w:w="80"/>
              <w:right w:type="dxa" w:w="100"/>
            </w:tcMar>
          </w:tcPr>
          <w:p>
            <w:pPr>
              <w:jc w:val="left"/>
            </w:pPr>
            <w:r>
              <w:rPr>
                <w:b w:val="false"/>
                <w:bCs w:val="false"/>
                <w:sz w:val="19"/>
                <w:szCs w:val="19"/>
              </w:rPr>
              <w:t xml:space="preserve">3.3 Inconsistent splits / future-leaking statistics</w:t>
            </w:r>
          </w:p>
        </w:tc>
        <w:tc>
          <w:tcPr>
            <w:tcW w:type="dxa" w:w="5000"/>
            <w:tcMar>
              <w:top w:type="dxa" w:w="80"/>
              <w:left w:type="dxa" w:w="100"/>
              <w:bottom w:type="dxa" w:w="80"/>
              <w:right w:type="dxa" w:w="100"/>
            </w:tcMar>
          </w:tcPr>
          <w:p>
            <w:pPr>
              <w:jc w:val="left"/>
            </w:pPr>
            <w:r>
              <w:rPr>
                <w:b w:val="false"/>
                <w:bCs w:val="false"/>
                <w:sz w:val="19"/>
                <w:szCs w:val="19"/>
              </w:rPr>
              <w:t xml:space="preserve">Two separate issues: (a) Static models use stratified-random splits, DyRep uses chronological. Cheap fix — static graphs are already stored in timestamp order, so the same train_end/val_end chronological cut used for DyRep can be applied to them directly; just needs a new split mode. (b) Node/account statistics (degree, entity counts, RAT account stats, peer-risk) are computed once over the full dataset, so early transactions can reflect later — including test-period — activity. This is the single largest remaining methodological gap: a correct fix means recomputing nearly every engineered feature on an expanding, point-in-time window.</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Quick fix (a) / Future work (b)</w:t>
            </w:r>
          </w:p>
        </w:tc>
      </w:tr>
      <w:tr>
        <w:tc>
          <w:tcPr>
            <w:tcW w:type="dxa" w:w="1600"/>
            <w:tcMar>
              <w:top w:type="dxa" w:w="80"/>
              <w:left w:type="dxa" w:w="100"/>
              <w:bottom w:type="dxa" w:w="80"/>
              <w:right w:type="dxa" w:w="100"/>
            </w:tcMar>
          </w:tcPr>
          <w:p>
            <w:pPr>
              <w:jc w:val="left"/>
            </w:pPr>
            <w:r>
              <w:rPr>
                <w:b w:val="false"/>
                <w:bCs w:val="false"/>
                <w:sz w:val="19"/>
                <w:szCs w:val="19"/>
              </w:rPr>
              <w:t xml:space="preserve">3.4 Insufficient baselines</w:t>
            </w:r>
          </w:p>
        </w:tc>
        <w:tc>
          <w:tcPr>
            <w:tcW w:type="dxa" w:w="5000"/>
            <w:tcMar>
              <w:top w:type="dxa" w:w="80"/>
              <w:left w:type="dxa" w:w="100"/>
              <w:bottom w:type="dxa" w:w="80"/>
              <w:right w:type="dxa" w:w="100"/>
            </w:tcMar>
          </w:tcPr>
          <w:p>
            <w:pPr>
              <w:jc w:val="left"/>
            </w:pPr>
            <w:r>
              <w:rPr>
                <w:b w:val="false"/>
                <w:bCs w:val="false"/>
                <w:sz w:val="19"/>
                <w:szCs w:val="19"/>
              </w:rPr>
              <w:t xml:space="preserve">Agreed. Logistic regression, Random Forest, XGBoost/LightGBM, and an MLP can all reuse the tabular edge-feature matrix already built for feature importance — cheap to add. Note GraphSAGE already has no learned per-account embedding table (accounts are encoded purely from structural features), which partially satisfies the “GraphSAGE without ID embeddings” ask already — worth stating explicitly rather than building a new variant. A directed-multigraph-aware GNN and a full-memory temporal GNN (vs. DyRep-Lite) are substantial new builds.</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Quick fix (tabular) / Future work (new GNNs)</w:t>
            </w:r>
          </w:p>
        </w:tc>
      </w:tr>
      <w:tr>
        <w:tc>
          <w:tcPr>
            <w:tcW w:type="dxa" w:w="1600"/>
            <w:tcMar>
              <w:top w:type="dxa" w:w="80"/>
              <w:left w:type="dxa" w:w="100"/>
              <w:bottom w:type="dxa" w:w="80"/>
              <w:right w:type="dxa" w:w="100"/>
            </w:tcMar>
          </w:tcPr>
          <w:p>
            <w:pPr>
              <w:jc w:val="left"/>
            </w:pPr>
            <w:r>
              <w:rPr>
                <w:b w:val="false"/>
                <w:bCs w:val="false"/>
                <w:sz w:val="19"/>
                <w:szCs w:val="19"/>
              </w:rPr>
              <w:t xml:space="preserve">3.5 Interpretability overstated</w:t>
            </w:r>
          </w:p>
        </w:tc>
        <w:tc>
          <w:tcPr>
            <w:tcW w:type="dxa" w:w="5000"/>
            <w:tcMar>
              <w:top w:type="dxa" w:w="80"/>
              <w:left w:type="dxa" w:w="100"/>
              <w:bottom w:type="dxa" w:w="80"/>
              <w:right w:type="dxa" w:w="100"/>
            </w:tcMar>
          </w:tcPr>
          <w:p>
            <w:pPr>
              <w:jc w:val="left"/>
            </w:pPr>
            <w:r>
              <w:rPr>
                <w:b w:val="false"/>
                <w:bCs w:val="false"/>
                <w:sz w:val="19"/>
                <w:szCs w:val="19"/>
              </w:rPr>
              <w:t xml:space="preserve">Agreed, framing issue. Action: rename the analysis “standalone feature relevance” throughout (3.3.4, 5.4, Fig. 3/4 captions), remove language implying it explains the GNN. Permutation importance run directly on the frozen trained GNN (shuffle one edge feature, measure AUPR drop) is cheap using existing checkpoints and gives a real GNN-level relevance measure. SHAP, graph-explanation methods, surrogate-fidelity checks, and expert case review are bigger asks.</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Quick fix (rename + permutation) / Future work (rest)</w:t>
            </w:r>
          </w:p>
        </w:tc>
      </w:tr>
    </w:tbl>
    <w:p>
      <w:r>
        <w:br w:type="page"/>
      </w:r>
    </w:p>
    <w:p>
      <w:pPr>
        <w:pStyle w:val="Heading1"/>
        <w:spacing w:after="120" w:before="300"/>
      </w:pPr>
      <w:r>
        <w:t xml:space="preserve">§4. Required Experimental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shd w:fill="D9D9D9" w:val="clear"/>
            <w:tcMar>
              <w:top w:type="dxa" w:w="80"/>
              <w:left w:type="dxa" w:w="100"/>
              <w:bottom w:type="dxa" w:w="80"/>
              <w:right w:type="dxa" w:w="100"/>
            </w:tcMar>
          </w:tcPr>
          <w:p>
            <w:pPr>
              <w:jc w:val="left"/>
            </w:pPr>
            <w:r>
              <w:rPr>
                <w:b/>
                <w:bCs/>
                <w:sz w:val="19"/>
                <w:szCs w:val="19"/>
              </w:rPr>
              <w:t xml:space="preserve">Comment</w:t>
            </w:r>
          </w:p>
        </w:tc>
        <w:tc>
          <w:tcPr>
            <w:tcW w:type="dxa" w:w="5000"/>
            <w:shd w:fill="D9D9D9" w:val="clear"/>
            <w:tcMar>
              <w:top w:type="dxa" w:w="80"/>
              <w:left w:type="dxa" w:w="100"/>
              <w:bottom w:type="dxa" w:w="80"/>
              <w:right w:type="dxa" w:w="100"/>
            </w:tcMar>
          </w:tcPr>
          <w:p>
            <w:pPr>
              <w:jc w:val="left"/>
            </w:pPr>
            <w:r>
              <w:rPr>
                <w:b/>
                <w:bCs/>
                <w:sz w:val="19"/>
                <w:szCs w:val="19"/>
              </w:rPr>
              <w:t xml:space="preserve">Response &amp; Action</w:t>
            </w:r>
          </w:p>
        </w:tc>
        <w:tc>
          <w:tcPr>
            <w:tcW w:type="dxa" w:w="2760"/>
            <w:shd w:fill="D9D9D9" w:val="clear"/>
            <w:tcMar>
              <w:top w:type="dxa" w:w="80"/>
              <w:left w:type="dxa" w:w="100"/>
              <w:bottom w:type="dxa" w:w="80"/>
              <w:right w:type="dxa" w:w="100"/>
            </w:tcMar>
          </w:tcPr>
          <w:p>
            <w:pPr>
              <w:jc w:val="left"/>
            </w:pPr>
            <w:r>
              <w:rPr>
                <w:b/>
                <w:bCs/>
                <w:sz w:val="19"/>
                <w:szCs w:val="19"/>
              </w:rPr>
              <w:t xml:space="preserve">Status</w:t>
            </w:r>
          </w:p>
        </w:tc>
      </w:tr>
      <w:tr>
        <w:tc>
          <w:tcPr>
            <w:tcW w:type="dxa" w:w="1600"/>
            <w:tcMar>
              <w:top w:type="dxa" w:w="80"/>
              <w:left w:type="dxa" w:w="100"/>
              <w:bottom w:type="dxa" w:w="80"/>
              <w:right w:type="dxa" w:w="100"/>
            </w:tcMar>
          </w:tcPr>
          <w:p>
            <w:pPr>
              <w:jc w:val="left"/>
            </w:pPr>
            <w:r>
              <w:rPr>
                <w:b w:val="false"/>
                <w:bCs w:val="false"/>
                <w:sz w:val="19"/>
                <w:szCs w:val="19"/>
              </w:rPr>
              <w:t xml:space="preserve">4.1 Primary experiment: natural features</w:t>
            </w:r>
          </w:p>
        </w:tc>
        <w:tc>
          <w:tcPr>
            <w:tcW w:type="dxa" w:w="5000"/>
            <w:tcMar>
              <w:top w:type="dxa" w:w="80"/>
              <w:left w:type="dxa" w:w="100"/>
              <w:bottom w:type="dxa" w:w="80"/>
              <w:right w:type="dxa" w:w="100"/>
            </w:tcMar>
          </w:tcPr>
          <w:p>
            <w:pPr>
              <w:jc w:val="left"/>
            </w:pPr>
            <w:r>
              <w:rPr>
                <w:b w:val="false"/>
                <w:bCs w:val="false"/>
                <w:sz w:val="19"/>
                <w:szCs w:val="19"/>
              </w:rPr>
              <w:t xml:space="preserve">This is nearly free. Pristine RAT/SLT features are computed identically for every transaction from historical data before any label-based selection — that is the “natural theory-derived feature” experiment being asked for, and the graphs already exist (built for the robustness check). Action: train GraphSAGE/GraphSAGE-T/DyRep on base-only, base+structural, base+RAT(natural), base+SLT(natural) and report this ahead of the intensity tables as the headline result.</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Highest priority — ready to run</w:t>
            </w:r>
          </w:p>
        </w:tc>
      </w:tr>
      <w:tr>
        <w:tc>
          <w:tcPr>
            <w:tcW w:type="dxa" w:w="1600"/>
            <w:tcMar>
              <w:top w:type="dxa" w:w="80"/>
              <w:left w:type="dxa" w:w="100"/>
              <w:bottom w:type="dxa" w:w="80"/>
              <w:right w:type="dxa" w:w="100"/>
            </w:tcMar>
          </w:tcPr>
          <w:p>
            <w:pPr>
              <w:jc w:val="left"/>
            </w:pPr>
            <w:r>
              <w:rPr>
                <w:b w:val="false"/>
                <w:bCs w:val="false"/>
                <w:sz w:val="19"/>
                <w:szCs w:val="19"/>
              </w:rPr>
              <w:t xml:space="preserve">4.2 Secondary controlled injection</w:t>
            </w:r>
          </w:p>
        </w:tc>
        <w:tc>
          <w:tcPr>
            <w:tcW w:type="dxa" w:w="5000"/>
            <w:tcMar>
              <w:top w:type="dxa" w:w="80"/>
              <w:left w:type="dxa" w:w="100"/>
              <w:bottom w:type="dxa" w:w="80"/>
              <w:right w:type="dxa" w:w="100"/>
            </w:tcMar>
          </w:tcPr>
          <w:p>
            <w:pPr>
              <w:jc w:val="left"/>
            </w:pPr>
            <w:r>
              <w:rPr>
                <w:b w:val="false"/>
                <w:bCs w:val="false"/>
                <w:sz w:val="19"/>
                <w:szCs w:val="19"/>
              </w:rPr>
              <w:t xml:space="preserve">Matches the existing low/medium/high framework; only the framing changes to explicitly secondary/sensitivity, cited alongside the pristine-vs-boosted robustness numbers as context for how much of the effect intensity alone explains.</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Quick fix (framing)</w:t>
            </w:r>
          </w:p>
        </w:tc>
      </w:tr>
      <w:tr>
        <w:tc>
          <w:tcPr>
            <w:tcW w:type="dxa" w:w="1600"/>
            <w:tcMar>
              <w:top w:type="dxa" w:w="80"/>
              <w:left w:type="dxa" w:w="100"/>
              <w:bottom w:type="dxa" w:w="80"/>
              <w:right w:type="dxa" w:w="100"/>
            </w:tcMar>
          </w:tcPr>
          <w:p>
            <w:pPr>
              <w:jc w:val="left"/>
            </w:pPr>
            <w:r>
              <w:rPr>
                <w:b w:val="false"/>
                <w:bCs w:val="false"/>
                <w:sz w:val="19"/>
                <w:szCs w:val="19"/>
              </w:rPr>
              <w:t xml:space="preserve">4.3 Placebo / falsification tests</w:t>
            </w:r>
          </w:p>
        </w:tc>
        <w:tc>
          <w:tcPr>
            <w:tcW w:type="dxa" w:w="5000"/>
            <w:tcMar>
              <w:top w:type="dxa" w:w="80"/>
              <w:left w:type="dxa" w:w="100"/>
              <w:bottom w:type="dxa" w:w="80"/>
              <w:right w:type="dxa" w:w="100"/>
            </w:tcMar>
          </w:tcPr>
          <w:p>
            <w:pPr>
              <w:jc w:val="left"/>
            </w:pPr>
            <w:r>
              <w:rPr>
                <w:b w:val="false"/>
                <w:bCs w:val="false"/>
                <w:sz w:val="19"/>
                <w:szCs w:val="19"/>
              </w:rPr>
              <w:t xml:space="preserve">Mixed cost. Removing label/pattern-derived variables = same fix as 3.1. Random-selection control (pick the same fraction of laundering rows at random instead of by score, same boost) and randomized theory weights (reuses the SLT weighting-ablation infrastructure already built) are both cheap. Permuting RAT/SLT features across transactions is a cheap shuffle step. Matched legitimate-transaction shifts, random-marginal features, and amount/time/degree-matched comparisons need more careful design — second wave.</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Quick fix (3 of 7) / Larger fix (rest)</w:t>
            </w:r>
          </w:p>
        </w:tc>
      </w:tr>
      <w:tr>
        <w:tc>
          <w:tcPr>
            <w:tcW w:type="dxa" w:w="1600"/>
            <w:tcMar>
              <w:top w:type="dxa" w:w="80"/>
              <w:left w:type="dxa" w:w="100"/>
              <w:bottom w:type="dxa" w:w="80"/>
              <w:right w:type="dxa" w:w="100"/>
            </w:tcMar>
          </w:tcPr>
          <w:p>
            <w:pPr>
              <w:jc w:val="left"/>
            </w:pPr>
            <w:r>
              <w:rPr>
                <w:b w:val="false"/>
                <w:bCs w:val="false"/>
                <w:sz w:val="19"/>
                <w:szCs w:val="19"/>
              </w:rPr>
              <w:t xml:space="preserve">4.4 Unified chronological evaluation</w:t>
            </w:r>
          </w:p>
        </w:tc>
        <w:tc>
          <w:tcPr>
            <w:tcW w:type="dxa" w:w="5000"/>
            <w:tcMar>
              <w:top w:type="dxa" w:w="80"/>
              <w:left w:type="dxa" w:w="100"/>
              <w:bottom w:type="dxa" w:w="80"/>
              <w:right w:type="dxa" w:w="100"/>
            </w:tcMar>
          </w:tcPr>
          <w:p>
            <w:pPr>
              <w:jc w:val="left"/>
            </w:pPr>
            <w:r>
              <w:rPr>
                <w:b w:val="false"/>
                <w:bCs w:val="false"/>
                <w:sz w:val="19"/>
                <w:szCs w:val="19"/>
              </w:rPr>
              <w:t xml:space="preserve">Covered by 3.3's two fixes: chronological splits for all models is quick; point-in-time recomputation of every feature is the large item already flagged in 3.3(b).</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Quick fix (splits) / Future work (features)</w:t>
            </w:r>
          </w:p>
        </w:tc>
      </w:tr>
      <w:tr>
        <w:tc>
          <w:tcPr>
            <w:tcW w:type="dxa" w:w="1600"/>
            <w:tcMar>
              <w:top w:type="dxa" w:w="80"/>
              <w:left w:type="dxa" w:w="100"/>
              <w:bottom w:type="dxa" w:w="80"/>
              <w:right w:type="dxa" w:w="100"/>
            </w:tcMar>
          </w:tcPr>
          <w:p>
            <w:pPr>
              <w:jc w:val="left"/>
            </w:pPr>
            <w:r>
              <w:rPr>
                <w:b w:val="false"/>
                <w:bCs w:val="false"/>
                <w:sz w:val="19"/>
                <w:szCs w:val="19"/>
              </w:rPr>
              <w:t xml:space="preserve">4.5 External validation</w:t>
            </w:r>
          </w:p>
        </w:tc>
        <w:tc>
          <w:tcPr>
            <w:tcW w:type="dxa" w:w="5000"/>
            <w:tcMar>
              <w:top w:type="dxa" w:w="80"/>
              <w:left w:type="dxa" w:w="100"/>
              <w:bottom w:type="dxa" w:w="80"/>
              <w:right w:type="dxa" w:w="100"/>
            </w:tcMar>
          </w:tcPr>
          <w:p>
            <w:pPr>
              <w:jc w:val="left"/>
            </w:pPr>
            <w:r>
              <w:rPr>
                <w:b w:val="false"/>
                <w:bCs w:val="false"/>
                <w:sz w:val="19"/>
                <w:szCs w:val="19"/>
              </w:rPr>
              <w:t xml:space="preserve">The IBM AMLworld simulator ships other size/ratio configurations (e.g. HI-Medium, LI-Small) beyond HI-Small. Rerunning the pipeline on one of these is a low-cost way to show the features aren't artifacts of one configuration, and a reasonable near-term step before sourcing a fully independent external dataset, which is a larger separate effort.</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Quick fix (same-simulator) / Future work (true external)</w:t>
            </w:r>
          </w:p>
        </w:tc>
      </w:tr>
      <w:tr>
        <w:tc>
          <w:tcPr>
            <w:tcW w:type="dxa" w:w="1600"/>
            <w:tcMar>
              <w:top w:type="dxa" w:w="80"/>
              <w:left w:type="dxa" w:w="100"/>
              <w:bottom w:type="dxa" w:w="80"/>
              <w:right w:type="dxa" w:w="100"/>
            </w:tcMar>
          </w:tcPr>
          <w:p>
            <w:pPr>
              <w:jc w:val="left"/>
            </w:pPr>
            <w:r>
              <w:rPr>
                <w:b w:val="false"/>
                <w:bCs w:val="false"/>
                <w:sz w:val="19"/>
                <w:szCs w:val="19"/>
              </w:rPr>
              <w:t xml:space="preserve">4.6 Statistical &amp; operational evaluation</w:t>
            </w:r>
          </w:p>
        </w:tc>
        <w:tc>
          <w:tcPr>
            <w:tcW w:type="dxa" w:w="5000"/>
            <w:tcMar>
              <w:top w:type="dxa" w:w="80"/>
              <w:left w:type="dxa" w:w="100"/>
              <w:bottom w:type="dxa" w:w="80"/>
              <w:right w:type="dxa" w:w="100"/>
            </w:tcMar>
          </w:tcPr>
          <w:p>
            <w:pPr>
              <w:jc w:val="left"/>
            </w:pPr>
            <w:r>
              <w:rPr>
                <w:b w:val="false"/>
                <w:bCs w:val="false"/>
                <w:sz w:val="19"/>
                <w:szCs w:val="19"/>
              </w:rPr>
              <w:t xml:space="preserve">Mostly free from data already saved. Bootstrap CIs / paired tests across the 5 seeds, PR curves, calibration/reliability diagrams, recall-at-fixed-precision, and recall-at-fixed-FP-budget are all derivable from existing metrics and saved prediction-probability files — no retraining. Training time is already in metrics.json. Inference time / memory / feature-generation cost need a small profiling pass. RAT lacks a weight-sensitivity sweep analogous to SLT's existing one — could add.</w:t>
            </w:r>
          </w:p>
        </w:tc>
        <w:tc>
          <w:tcPr>
            <w:tcW w:type="dxa" w:w="2760"/>
            <w:shd w:fill="FFFFFF" w:val="clear"/>
            <w:tcMar>
              <w:top w:type="dxa" w:w="80"/>
              <w:left w:type="dxa" w:w="100"/>
              <w:bottom w:type="dxa" w:w="80"/>
              <w:right w:type="dxa" w:w="100"/>
            </w:tcMar>
          </w:tcPr>
          <w:p>
            <w:pPr>
              <w:jc w:val="center"/>
            </w:pPr>
            <w:r>
              <w:rPr>
                <w:b w:val="false"/>
                <w:bCs w:val="false"/>
                <w:sz w:val="19"/>
                <w:szCs w:val="19"/>
              </w:rPr>
              <w:t xml:space="preserve">Quick fix (most) / Larger fix (profiling, RAT sweep)</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2026-08-09T12:23:18.882Z</dcterms:created>
  <dcterms:modified xsi:type="dcterms:W3CDTF">2026-08-09T12:23:18.890Z</dcterms:modified>
</cp:coreProperties>
</file>

<file path=docProps/custom.xml><?xml version="1.0" encoding="utf-8"?>
<Properties xmlns="http://schemas.openxmlformats.org/officeDocument/2006/custom-properties" xmlns:vt="http://schemas.openxmlformats.org/officeDocument/2006/docPropsVTypes"/>
</file>