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A8B1A" w14:textId="77777777" w:rsidR="00B3477F" w:rsidRDefault="00B3477F" w:rsidP="00155771">
      <w:pPr>
        <w:shd w:val="clear" w:color="auto" w:fill="FFFFFF"/>
        <w:tabs>
          <w:tab w:val="num" w:pos="720"/>
        </w:tabs>
        <w:spacing w:before="240" w:after="240"/>
        <w:ind w:left="720" w:hanging="360"/>
      </w:pPr>
    </w:p>
    <w:p w14:paraId="4398F2B4" w14:textId="7FC9CF31" w:rsidR="00B3477F" w:rsidRPr="00CB3C91" w:rsidRDefault="00B3477F" w:rsidP="00B3477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 xml:space="preserve">       PyCitySchools</w:t>
      </w: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 xml:space="preserve"> - </w:t>
      </w:r>
      <w:r w:rsidRPr="00CB3C9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Observable Trends</w:t>
      </w:r>
    </w:p>
    <w:p w14:paraId="33F11AAB" w14:textId="77777777" w:rsidR="00B3477F" w:rsidRDefault="00B3477F" w:rsidP="00B3477F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24292E"/>
        </w:rPr>
      </w:pPr>
    </w:p>
    <w:p w14:paraId="01726825" w14:textId="6A5758A8" w:rsidR="00155771" w:rsidRDefault="00155771" w:rsidP="00155771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As a whole, smaller and medium sized schools performed </w:t>
      </w:r>
      <w:r>
        <w:rPr>
          <w:rFonts w:ascii="Segoe UI" w:hAnsi="Segoe UI" w:cs="Segoe UI"/>
          <w:color w:val="24292E"/>
        </w:rPr>
        <w:t xml:space="preserve">much better than </w:t>
      </w:r>
      <w:r>
        <w:rPr>
          <w:rFonts w:ascii="Segoe UI" w:hAnsi="Segoe UI" w:cs="Segoe UI"/>
          <w:color w:val="24292E"/>
        </w:rPr>
        <w:t xml:space="preserve">large sized schools on </w:t>
      </w:r>
      <w:r>
        <w:rPr>
          <w:rFonts w:ascii="Segoe UI" w:hAnsi="Segoe UI" w:cs="Segoe UI"/>
          <w:color w:val="24292E"/>
        </w:rPr>
        <w:t xml:space="preserve">scores by school size </w:t>
      </w:r>
    </w:p>
    <w:p w14:paraId="1D121322" w14:textId="453A0E96" w:rsidR="00155771" w:rsidRDefault="00155771" w:rsidP="00155771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</w:t>
      </w:r>
      <w:r>
        <w:rPr>
          <w:rFonts w:ascii="Segoe UI" w:hAnsi="Segoe UI" w:cs="Segoe UI"/>
          <w:color w:val="24292E"/>
        </w:rPr>
        <w:t>harter schools out-performed the district schools across all metrics. However, more analysis will be required due to the fact that charter schools tend to serve smaller student populations per school.</w:t>
      </w:r>
    </w:p>
    <w:p w14:paraId="4ECDCF24" w14:textId="30D82FF3" w:rsidR="00155771" w:rsidRDefault="00155771" w:rsidP="00155771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</w:t>
      </w:r>
      <w:r>
        <w:rPr>
          <w:rFonts w:ascii="Segoe UI" w:hAnsi="Segoe UI" w:cs="Segoe UI"/>
          <w:color w:val="24292E"/>
        </w:rPr>
        <w:t>chools with higher spending per student actually ($645-675) underperformed compared to schools with smaller budgets (&lt;$585 per student).</w:t>
      </w:r>
    </w:p>
    <w:p w14:paraId="4F285713" w14:textId="77777777" w:rsidR="00D342B5" w:rsidRDefault="00D342B5"/>
    <w:sectPr w:rsidR="00D342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B87216"/>
    <w:multiLevelType w:val="multilevel"/>
    <w:tmpl w:val="EE921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771"/>
    <w:rsid w:val="00155771"/>
    <w:rsid w:val="00B3477F"/>
    <w:rsid w:val="00D3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1AE6F"/>
  <w15:chartTrackingRefBased/>
  <w15:docId w15:val="{3C464E75-1F4B-4100-9785-D345D9D33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57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85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</dc:creator>
  <cp:keywords/>
  <dc:description/>
  <cp:lastModifiedBy>Mini</cp:lastModifiedBy>
  <cp:revision>2</cp:revision>
  <dcterms:created xsi:type="dcterms:W3CDTF">2021-07-25T18:41:00Z</dcterms:created>
  <dcterms:modified xsi:type="dcterms:W3CDTF">2021-07-25T18:52:00Z</dcterms:modified>
</cp:coreProperties>
</file>