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E569D" w14:textId="72B8427D" w:rsidR="00557C3A" w:rsidRDefault="00557C3A" w:rsidP="00557C3A">
      <w:pPr>
        <w:pStyle w:val="1"/>
      </w:pPr>
      <w:r>
        <w:rPr>
          <w:rFonts w:hint="eastAsia"/>
        </w:rPr>
        <w:t>1. GDP</w:t>
      </w:r>
    </w:p>
    <w:p w14:paraId="300ED8EC" w14:textId="35C0DA6A" w:rsidR="0044327D" w:rsidRDefault="0044327D" w:rsidP="0044327D">
      <w:pPr>
        <w:pStyle w:val="2"/>
        <w:rPr>
          <w:rFonts w:hint="eastAsia"/>
        </w:rPr>
      </w:pPr>
      <w:r>
        <w:rPr>
          <w:rFonts w:hint="eastAsia"/>
        </w:rPr>
        <w:t>GDP</w:t>
      </w:r>
      <w:r w:rsidR="00C210F9">
        <w:rPr>
          <w:rFonts w:hint="eastAsia"/>
        </w:rPr>
        <w:t>总量</w:t>
      </w:r>
    </w:p>
    <w:p w14:paraId="047DC28F" w14:textId="77777777" w:rsidR="001D4984" w:rsidRDefault="00506CE4" w:rsidP="006D31E4">
      <w:pPr>
        <w:ind w:firstLine="480"/>
      </w:pPr>
      <w:r>
        <w:rPr>
          <w:rFonts w:hint="eastAsia"/>
        </w:rPr>
        <w:t>GDP</w:t>
      </w:r>
      <w:r w:rsidR="00D77BB4">
        <w:rPr>
          <w:rFonts w:hint="eastAsia"/>
        </w:rPr>
        <w:t>是季度公布的数据，</w:t>
      </w:r>
      <w:r>
        <w:rPr>
          <w:rFonts w:hint="eastAsia"/>
        </w:rPr>
        <w:t>会公布累计值和当季值。</w:t>
      </w:r>
    </w:p>
    <w:p w14:paraId="5B728D01" w14:textId="72ACEF75" w:rsidR="00506CE4" w:rsidRPr="00506CE4" w:rsidRDefault="006731BD" w:rsidP="006D31E4">
      <w:pPr>
        <w:ind w:firstLine="480"/>
      </w:pPr>
      <w:r>
        <w:rPr>
          <w:rFonts w:hint="eastAsia"/>
        </w:rPr>
        <w:t>我们</w:t>
      </w:r>
      <w:r w:rsidR="001D4984">
        <w:rPr>
          <w:rFonts w:hint="eastAsia"/>
        </w:rPr>
        <w:t>一般不看绝对值。因为：</w:t>
      </w:r>
      <w:r w:rsidR="001D4984">
        <w:rPr>
          <w:rFonts w:hint="eastAsia"/>
        </w:rPr>
        <w:t>1</w:t>
      </w:r>
      <w:r w:rsidR="001D4984">
        <w:rPr>
          <w:rFonts w:hint="eastAsia"/>
        </w:rPr>
        <w:t>、</w:t>
      </w:r>
      <w:r w:rsidR="00506CE4">
        <w:rPr>
          <w:rFonts w:hint="eastAsia"/>
        </w:rPr>
        <w:t>2015</w:t>
      </w:r>
      <w:r w:rsidR="00506CE4">
        <w:rPr>
          <w:rFonts w:hint="eastAsia"/>
        </w:rPr>
        <w:t>年之前，</w:t>
      </w:r>
      <w:r w:rsidR="00506CE4">
        <w:rPr>
          <w:rFonts w:hint="eastAsia"/>
        </w:rPr>
        <w:t>GDP</w:t>
      </w:r>
      <w:r w:rsidR="00506CE4">
        <w:rPr>
          <w:rFonts w:hint="eastAsia"/>
        </w:rPr>
        <w:t>采用累计核算方法，根据累计值推算当季值可能不准确。</w:t>
      </w:r>
      <w:r w:rsidR="001D4984">
        <w:rPr>
          <w:rFonts w:hint="eastAsia"/>
        </w:rPr>
        <w:t>2</w:t>
      </w:r>
      <w:r w:rsidR="001D4984">
        <w:rPr>
          <w:rFonts w:hint="eastAsia"/>
        </w:rPr>
        <w:t>、</w:t>
      </w:r>
      <w:r w:rsidR="00506CE4">
        <w:rPr>
          <w:rFonts w:hint="eastAsia"/>
        </w:rPr>
        <w:t>我国季度</w:t>
      </w:r>
      <w:r w:rsidR="00506CE4">
        <w:rPr>
          <w:rFonts w:hint="eastAsia"/>
        </w:rPr>
        <w:t>GDP</w:t>
      </w:r>
      <w:r w:rsidR="00B33E45">
        <w:rPr>
          <w:rFonts w:hint="eastAsia"/>
        </w:rPr>
        <w:t>的绝对值有</w:t>
      </w:r>
      <w:r w:rsidR="00506CE4">
        <w:rPr>
          <w:rFonts w:hint="eastAsia"/>
        </w:rPr>
        <w:t>明显的季节性，一季度到四季度的</w:t>
      </w:r>
      <w:r w:rsidR="00506CE4">
        <w:rPr>
          <w:rFonts w:hint="eastAsia"/>
        </w:rPr>
        <w:t>GDP</w:t>
      </w:r>
      <w:r w:rsidR="00506CE4">
        <w:rPr>
          <w:rFonts w:hint="eastAsia"/>
        </w:rPr>
        <w:t>逐季度增加。</w:t>
      </w:r>
      <w:r w:rsidR="00EB1DFE">
        <w:rPr>
          <w:rFonts w:hint="eastAsia"/>
        </w:rPr>
        <w:t>可能是因为一季度有春节、农作物一般下半年成熟。</w:t>
      </w:r>
    </w:p>
    <w:p w14:paraId="277432D3" w14:textId="60088D5E" w:rsidR="00506CE4" w:rsidRDefault="001D4984" w:rsidP="00506CE4">
      <w:pPr>
        <w:ind w:firstLine="480"/>
      </w:pPr>
      <w:r>
        <w:rPr>
          <w:rFonts w:hint="eastAsia"/>
        </w:rPr>
        <w:t>环比能更及时反映经济趋势，但是</w:t>
      </w:r>
      <w:r w:rsidR="006731BD">
        <w:rPr>
          <w:rFonts w:hint="eastAsia"/>
        </w:rPr>
        <w:t>我们一般</w:t>
      </w:r>
      <w:r>
        <w:rPr>
          <w:rFonts w:hint="eastAsia"/>
        </w:rPr>
        <w:t>也看得少。因为</w:t>
      </w:r>
      <w:r w:rsidR="00506CE4">
        <w:rPr>
          <w:rFonts w:hint="eastAsia"/>
        </w:rPr>
        <w:t>我国</w:t>
      </w:r>
      <w:r w:rsidR="00506CE4">
        <w:rPr>
          <w:rFonts w:hint="eastAsia"/>
        </w:rPr>
        <w:t>2011</w:t>
      </w:r>
      <w:r w:rsidR="00506CE4">
        <w:rPr>
          <w:rFonts w:hint="eastAsia"/>
        </w:rPr>
        <w:t>年后公布季调</w:t>
      </w:r>
      <w:r w:rsidR="00506CE4">
        <w:rPr>
          <w:rFonts w:hint="eastAsia"/>
        </w:rPr>
        <w:t>GDP</w:t>
      </w:r>
      <w:r w:rsidR="00506CE4">
        <w:rPr>
          <w:rFonts w:hint="eastAsia"/>
        </w:rPr>
        <w:t>环比数据，但时间区间较短，大家用得少。</w:t>
      </w:r>
    </w:p>
    <w:p w14:paraId="55D1265A" w14:textId="3D29CE7D" w:rsidR="00D77BB4" w:rsidRDefault="004E0ABF" w:rsidP="00D77BB4">
      <w:pPr>
        <w:ind w:firstLine="480"/>
      </w:pPr>
      <w:r>
        <w:rPr>
          <w:rFonts w:hint="eastAsia"/>
        </w:rPr>
        <w:t>所以，</w:t>
      </w:r>
      <w:r w:rsidR="00D77BB4">
        <w:rPr>
          <w:rFonts w:hint="eastAsia"/>
        </w:rPr>
        <w:t>我们一般跟踪：不变价</w:t>
      </w:r>
      <w:r w:rsidR="00D77BB4">
        <w:rPr>
          <w:rFonts w:hint="eastAsia"/>
        </w:rPr>
        <w:t>GDP</w:t>
      </w:r>
      <w:r w:rsidR="00D77BB4">
        <w:rPr>
          <w:rFonts w:hint="eastAsia"/>
        </w:rPr>
        <w:t>的</w:t>
      </w:r>
      <w:r w:rsidR="00C6676E">
        <w:rPr>
          <w:rFonts w:hint="eastAsia"/>
        </w:rPr>
        <w:t>当季同比和</w:t>
      </w:r>
      <w:r w:rsidR="00C14810">
        <w:rPr>
          <w:rFonts w:hint="eastAsia"/>
        </w:rPr>
        <w:t>累计</w:t>
      </w:r>
      <w:r w:rsidR="00D77BB4">
        <w:rPr>
          <w:rFonts w:hint="eastAsia"/>
        </w:rPr>
        <w:t>同比。一般分析真是公布值与机构预测、历史数据、海外国家的差别。</w:t>
      </w:r>
    </w:p>
    <w:p w14:paraId="35F7B3FC" w14:textId="5F5375B1" w:rsidR="00542972" w:rsidRPr="00542972" w:rsidRDefault="00542972" w:rsidP="00542972">
      <w:pPr>
        <w:ind w:firstLine="480"/>
        <w:rPr>
          <w:rFonts w:cs="Times New Roman"/>
        </w:rPr>
      </w:pPr>
      <w:r w:rsidRPr="00542972">
        <w:rPr>
          <w:rFonts w:cs="Times New Roman"/>
        </w:rPr>
        <w:t>GDP</w:t>
      </w:r>
      <w:r>
        <w:rPr>
          <w:rFonts w:cs="Times New Roman" w:hint="eastAsia"/>
        </w:rPr>
        <w:t xml:space="preserve"> data</w:t>
      </w:r>
      <w:r w:rsidRPr="00542972">
        <w:rPr>
          <w:rFonts w:cs="Times New Roman"/>
        </w:rPr>
        <w:t xml:space="preserve"> is published quarterly</w:t>
      </w:r>
      <w:r>
        <w:rPr>
          <w:rFonts w:cs="Times New Roman" w:hint="eastAsia"/>
        </w:rPr>
        <w:t xml:space="preserve"> by </w:t>
      </w:r>
      <w:r w:rsidRPr="00542972">
        <w:rPr>
          <w:rFonts w:cs="Times New Roman" w:hint="eastAsia"/>
        </w:rPr>
        <w:t>National Bureau of Statistics of China</w:t>
      </w:r>
      <w:r w:rsidR="004B6844">
        <w:rPr>
          <w:rFonts w:cs="Times New Roman" w:hint="eastAsia"/>
        </w:rPr>
        <w:t xml:space="preserve">. NBS </w:t>
      </w:r>
      <w:r w:rsidR="00B54523">
        <w:rPr>
          <w:rFonts w:cs="Times New Roman" w:hint="eastAsia"/>
        </w:rPr>
        <w:t>announces</w:t>
      </w:r>
      <w:r w:rsidRPr="00542972">
        <w:rPr>
          <w:rFonts w:cs="Times New Roman"/>
        </w:rPr>
        <w:t xml:space="preserve"> the </w:t>
      </w:r>
      <w:r w:rsidR="00274388">
        <w:rPr>
          <w:rFonts w:cs="Times New Roman" w:hint="eastAsia"/>
        </w:rPr>
        <w:t xml:space="preserve">absolute value and growth rate of </w:t>
      </w:r>
      <w:r w:rsidRPr="00542972">
        <w:rPr>
          <w:rFonts w:cs="Times New Roman"/>
        </w:rPr>
        <w:t xml:space="preserve">cumulative </w:t>
      </w:r>
      <w:r w:rsidR="00274388">
        <w:rPr>
          <w:rFonts w:cs="Times New Roman" w:hint="eastAsia"/>
        </w:rPr>
        <w:t>GDP</w:t>
      </w:r>
      <w:r w:rsidRPr="00542972">
        <w:rPr>
          <w:rFonts w:cs="Times New Roman"/>
        </w:rPr>
        <w:t xml:space="preserve"> and the current quarter </w:t>
      </w:r>
      <w:r w:rsidR="00274388">
        <w:rPr>
          <w:rFonts w:cs="Times New Roman" w:hint="eastAsia"/>
        </w:rPr>
        <w:t>GDP</w:t>
      </w:r>
      <w:r w:rsidRPr="00542972">
        <w:rPr>
          <w:rFonts w:cs="Times New Roman"/>
        </w:rPr>
        <w:t>.</w:t>
      </w:r>
      <w:r w:rsidR="00D975F7">
        <w:rPr>
          <w:rFonts w:cs="Times New Roman" w:hint="eastAsia"/>
        </w:rPr>
        <w:t xml:space="preserve"> </w:t>
      </w:r>
    </w:p>
    <w:p w14:paraId="7AC0A9ED" w14:textId="29C073B8" w:rsidR="00542972" w:rsidRPr="00542972" w:rsidRDefault="006D2ADC" w:rsidP="00542972">
      <w:pPr>
        <w:ind w:firstLine="480"/>
        <w:rPr>
          <w:rFonts w:cs="Times New Roman"/>
        </w:rPr>
      </w:pPr>
      <w:r>
        <w:rPr>
          <w:rFonts w:cs="Times New Roman" w:hint="eastAsia"/>
        </w:rPr>
        <w:t>U</w:t>
      </w:r>
      <w:r w:rsidR="003E3F1C">
        <w:rPr>
          <w:rFonts w:cs="Times New Roman" w:hint="eastAsia"/>
        </w:rPr>
        <w:t>sually</w:t>
      </w:r>
      <w:r w:rsidR="00B145E5">
        <w:rPr>
          <w:rFonts w:cs="Times New Roman" w:hint="eastAsia"/>
        </w:rPr>
        <w:t>,</w:t>
      </w:r>
      <w:r w:rsidR="003E3F1C">
        <w:rPr>
          <w:rFonts w:cs="Times New Roman" w:hint="eastAsia"/>
        </w:rPr>
        <w:t xml:space="preserve"> </w:t>
      </w:r>
      <w:r>
        <w:rPr>
          <w:rFonts w:cs="Times New Roman" w:hint="eastAsia"/>
        </w:rPr>
        <w:t xml:space="preserve">we </w:t>
      </w:r>
      <w:r w:rsidR="00542972" w:rsidRPr="00542972">
        <w:rPr>
          <w:rFonts w:cs="Times New Roman"/>
        </w:rPr>
        <w:t xml:space="preserve">don't </w:t>
      </w:r>
      <w:r w:rsidR="00352052">
        <w:rPr>
          <w:rFonts w:cs="Times New Roman" w:hint="eastAsia"/>
        </w:rPr>
        <w:t>care about</w:t>
      </w:r>
      <w:r w:rsidR="00542972" w:rsidRPr="00542972">
        <w:rPr>
          <w:rFonts w:cs="Times New Roman"/>
        </w:rPr>
        <w:t xml:space="preserve"> absolute values. </w:t>
      </w:r>
      <w:r w:rsidR="00F63535">
        <w:rPr>
          <w:rFonts w:cs="Times New Roman" w:hint="eastAsia"/>
        </w:rPr>
        <w:t>The reasons are</w:t>
      </w:r>
      <w:r w:rsidR="00542972" w:rsidRPr="00542972">
        <w:rPr>
          <w:rFonts w:cs="Times New Roman"/>
        </w:rPr>
        <w:t xml:space="preserve">: </w:t>
      </w:r>
      <w:r w:rsidR="00F63535">
        <w:rPr>
          <w:rFonts w:cs="Times New Roman" w:hint="eastAsia"/>
        </w:rPr>
        <w:t>1.</w:t>
      </w:r>
      <w:r w:rsidR="00F63535" w:rsidRPr="00542972">
        <w:rPr>
          <w:rFonts w:cs="Times New Roman"/>
        </w:rPr>
        <w:t xml:space="preserve"> </w:t>
      </w:r>
      <w:r w:rsidR="00231610">
        <w:rPr>
          <w:rFonts w:cs="Times New Roman" w:hint="eastAsia"/>
        </w:rPr>
        <w:t>A</w:t>
      </w:r>
      <w:r w:rsidR="00F63535" w:rsidRPr="00542972">
        <w:rPr>
          <w:rFonts w:cs="Times New Roman"/>
        </w:rPr>
        <w:t xml:space="preserve">bsolute value </w:t>
      </w:r>
      <w:r w:rsidR="00F63535">
        <w:rPr>
          <w:rFonts w:cs="Times New Roman" w:hint="eastAsia"/>
        </w:rPr>
        <w:t xml:space="preserve">of </w:t>
      </w:r>
      <w:r w:rsidR="00F63535" w:rsidRPr="00542972">
        <w:rPr>
          <w:rFonts w:cs="Times New Roman"/>
        </w:rPr>
        <w:t xml:space="preserve">China's quarterly GDP has obvious seasonality, </w:t>
      </w:r>
      <w:r w:rsidR="00F63535">
        <w:rPr>
          <w:rFonts w:cs="Times New Roman" w:hint="eastAsia"/>
        </w:rPr>
        <w:t xml:space="preserve">quarterly </w:t>
      </w:r>
      <w:r w:rsidR="00F63535" w:rsidRPr="00542972">
        <w:rPr>
          <w:rFonts w:cs="Times New Roman"/>
        </w:rPr>
        <w:t xml:space="preserve">GDP increased quarter by quarter. It may </w:t>
      </w:r>
      <w:r w:rsidR="00F63535">
        <w:rPr>
          <w:rFonts w:cs="Times New Roman" w:hint="eastAsia"/>
        </w:rPr>
        <w:t>result from</w:t>
      </w:r>
      <w:r w:rsidR="00F63535" w:rsidRPr="00542972">
        <w:rPr>
          <w:rFonts w:cs="Times New Roman"/>
        </w:rPr>
        <w:t xml:space="preserve"> Spring Festival in the first quarter and crops </w:t>
      </w:r>
      <w:r w:rsidR="00F63535" w:rsidRPr="00F63535">
        <w:rPr>
          <w:rFonts w:cs="Times New Roman" w:hint="eastAsia"/>
        </w:rPr>
        <w:t>ripening</w:t>
      </w:r>
      <w:r w:rsidR="00F63535" w:rsidRPr="00F63535">
        <w:rPr>
          <w:rFonts w:cs="Times New Roman"/>
        </w:rPr>
        <w:t xml:space="preserve"> </w:t>
      </w:r>
      <w:r w:rsidR="00F63535" w:rsidRPr="00542972">
        <w:rPr>
          <w:rFonts w:cs="Times New Roman"/>
        </w:rPr>
        <w:t>in the second half of the year.</w:t>
      </w:r>
      <w:r w:rsidR="00F63535">
        <w:rPr>
          <w:rFonts w:cs="Times New Roman" w:hint="eastAsia"/>
        </w:rPr>
        <w:t xml:space="preserve"> </w:t>
      </w:r>
      <w:r w:rsidR="00231610">
        <w:rPr>
          <w:rFonts w:cs="Times New Roman" w:hint="eastAsia"/>
        </w:rPr>
        <w:t>2.</w:t>
      </w:r>
      <w:r w:rsidR="00542972" w:rsidRPr="00542972">
        <w:rPr>
          <w:rFonts w:cs="Times New Roman"/>
        </w:rPr>
        <w:t xml:space="preserve"> </w:t>
      </w:r>
      <w:r w:rsidR="00231610">
        <w:rPr>
          <w:rFonts w:cs="Times New Roman" w:hint="eastAsia"/>
        </w:rPr>
        <w:t>B</w:t>
      </w:r>
      <w:r w:rsidR="00542972" w:rsidRPr="00542972">
        <w:rPr>
          <w:rFonts w:cs="Times New Roman"/>
        </w:rPr>
        <w:t xml:space="preserve">efore 2015, GDP used the cumulative accounting method, the </w:t>
      </w:r>
      <w:r w:rsidR="00824F6B">
        <w:rPr>
          <w:rFonts w:cs="Times New Roman" w:hint="eastAsia"/>
        </w:rPr>
        <w:t xml:space="preserve">calculated </w:t>
      </w:r>
      <w:r w:rsidR="00542972" w:rsidRPr="00542972">
        <w:rPr>
          <w:rFonts w:cs="Times New Roman"/>
        </w:rPr>
        <w:t xml:space="preserve">current quarter </w:t>
      </w:r>
      <w:r w:rsidR="00824F6B">
        <w:rPr>
          <w:rFonts w:cs="Times New Roman" w:hint="eastAsia"/>
        </w:rPr>
        <w:t>GDP</w:t>
      </w:r>
      <w:r w:rsidR="00542972" w:rsidRPr="00542972">
        <w:rPr>
          <w:rFonts w:cs="Times New Roman"/>
        </w:rPr>
        <w:t xml:space="preserve"> may not be accurate. </w:t>
      </w:r>
    </w:p>
    <w:p w14:paraId="4C43F211" w14:textId="1E2CC815" w:rsidR="00542972" w:rsidRPr="00542972" w:rsidRDefault="00DA1E14" w:rsidP="00542972">
      <w:pPr>
        <w:ind w:firstLine="480"/>
        <w:rPr>
          <w:rFonts w:cs="Times New Roman"/>
        </w:rPr>
      </w:pPr>
      <w:r w:rsidRPr="00DA1E14">
        <w:rPr>
          <w:rFonts w:cs="Times New Roman" w:hint="eastAsia"/>
        </w:rPr>
        <w:t xml:space="preserve">Sequential </w:t>
      </w:r>
      <w:r>
        <w:rPr>
          <w:rFonts w:cs="Times New Roman" w:hint="eastAsia"/>
        </w:rPr>
        <w:t>growth rate</w:t>
      </w:r>
      <w:r w:rsidRPr="00DA1E14">
        <w:rPr>
          <w:rFonts w:cs="Times New Roman"/>
        </w:rPr>
        <w:t xml:space="preserve"> </w:t>
      </w:r>
      <w:r w:rsidR="00542972" w:rsidRPr="00542972">
        <w:rPr>
          <w:rFonts w:cs="Times New Roman"/>
        </w:rPr>
        <w:t>is more timel</w:t>
      </w:r>
      <w:r>
        <w:rPr>
          <w:rFonts w:cs="Times New Roman" w:hint="eastAsia"/>
        </w:rPr>
        <w:t>y than year-on-year growth rate</w:t>
      </w:r>
      <w:r w:rsidR="00542972" w:rsidRPr="00542972">
        <w:rPr>
          <w:rFonts w:cs="Times New Roman"/>
        </w:rPr>
        <w:t xml:space="preserve">, but we </w:t>
      </w:r>
      <w:r w:rsidR="00372A3D">
        <w:rPr>
          <w:rFonts w:cs="Times New Roman" w:hint="eastAsia"/>
        </w:rPr>
        <w:t>usually</w:t>
      </w:r>
      <w:r w:rsidR="00542972" w:rsidRPr="00542972">
        <w:rPr>
          <w:rFonts w:cs="Times New Roman"/>
        </w:rPr>
        <w:t xml:space="preserve"> </w:t>
      </w:r>
      <w:r w:rsidR="005361CC">
        <w:rPr>
          <w:rFonts w:cs="Times New Roman" w:hint="eastAsia"/>
        </w:rPr>
        <w:t>don</w:t>
      </w:r>
      <w:r w:rsidR="005361CC">
        <w:rPr>
          <w:rFonts w:cs="Times New Roman"/>
        </w:rPr>
        <w:t>’</w:t>
      </w:r>
      <w:r w:rsidR="005361CC">
        <w:rPr>
          <w:rFonts w:cs="Times New Roman" w:hint="eastAsia"/>
        </w:rPr>
        <w:t>t use it</w:t>
      </w:r>
      <w:r w:rsidR="00542972" w:rsidRPr="00542972">
        <w:rPr>
          <w:rFonts w:cs="Times New Roman"/>
        </w:rPr>
        <w:t xml:space="preserve">. </w:t>
      </w:r>
      <w:r w:rsidR="005361CC">
        <w:rPr>
          <w:rFonts w:cs="Times New Roman" w:hint="eastAsia"/>
        </w:rPr>
        <w:t>Although</w:t>
      </w:r>
      <w:r w:rsidR="00542972" w:rsidRPr="00542972">
        <w:rPr>
          <w:rFonts w:cs="Times New Roman"/>
        </w:rPr>
        <w:t xml:space="preserve"> </w:t>
      </w:r>
      <w:r w:rsidR="005361CC">
        <w:rPr>
          <w:rFonts w:cs="Times New Roman" w:hint="eastAsia"/>
        </w:rPr>
        <w:t>NBS</w:t>
      </w:r>
      <w:r w:rsidR="00542972" w:rsidRPr="00542972">
        <w:rPr>
          <w:rFonts w:cs="Times New Roman"/>
        </w:rPr>
        <w:t xml:space="preserve"> released quarterly GDP quarter-on-quarter </w:t>
      </w:r>
      <w:r w:rsidR="005361CC">
        <w:rPr>
          <w:rFonts w:cs="Times New Roman" w:hint="eastAsia"/>
        </w:rPr>
        <w:t>growth rate</w:t>
      </w:r>
      <w:r w:rsidR="00542972" w:rsidRPr="00542972">
        <w:rPr>
          <w:rFonts w:cs="Times New Roman"/>
        </w:rPr>
        <w:t xml:space="preserve"> after 2011, </w:t>
      </w:r>
      <w:r w:rsidR="005361CC">
        <w:rPr>
          <w:rFonts w:cs="Times New Roman" w:hint="eastAsia"/>
        </w:rPr>
        <w:t>t</w:t>
      </w:r>
      <w:r w:rsidR="00542972" w:rsidRPr="00542972">
        <w:rPr>
          <w:rFonts w:cs="Times New Roman"/>
        </w:rPr>
        <w:t xml:space="preserve">he time interval is </w:t>
      </w:r>
      <w:r w:rsidR="005361CC">
        <w:rPr>
          <w:rFonts w:cs="Times New Roman" w:hint="eastAsia"/>
        </w:rPr>
        <w:t xml:space="preserve">too </w:t>
      </w:r>
      <w:r w:rsidR="00542972" w:rsidRPr="00542972">
        <w:rPr>
          <w:rFonts w:cs="Times New Roman"/>
        </w:rPr>
        <w:t>short.</w:t>
      </w:r>
    </w:p>
    <w:p w14:paraId="4ECB64C0" w14:textId="3A837FA9" w:rsidR="009363FA" w:rsidRPr="00542972" w:rsidRDefault="00542972" w:rsidP="00542972">
      <w:pPr>
        <w:ind w:firstLine="480"/>
        <w:rPr>
          <w:rFonts w:cs="Times New Roman"/>
        </w:rPr>
      </w:pPr>
      <w:r w:rsidRPr="00542972">
        <w:rPr>
          <w:rFonts w:cs="Times New Roman"/>
        </w:rPr>
        <w:t xml:space="preserve">Therefore, we </w:t>
      </w:r>
      <w:r w:rsidR="006C2DBF">
        <w:rPr>
          <w:rFonts w:cs="Times New Roman" w:hint="eastAsia"/>
        </w:rPr>
        <w:t>tend to use</w:t>
      </w:r>
      <w:r w:rsidRPr="00542972">
        <w:rPr>
          <w:rFonts w:cs="Times New Roman"/>
        </w:rPr>
        <w:t xml:space="preserve"> </w:t>
      </w:r>
      <w:r w:rsidR="006C2DBF">
        <w:rPr>
          <w:rFonts w:cs="Times New Roman" w:hint="eastAsia"/>
        </w:rPr>
        <w:t>t</w:t>
      </w:r>
      <w:r w:rsidRPr="00542972">
        <w:rPr>
          <w:rFonts w:cs="Times New Roman"/>
        </w:rPr>
        <w:t xml:space="preserve">he </w:t>
      </w:r>
      <w:r w:rsidR="006C2DBF" w:rsidRPr="00DE5453">
        <w:rPr>
          <w:rFonts w:cs="Times New Roman" w:hint="eastAsia"/>
          <w:b/>
          <w:bCs/>
        </w:rPr>
        <w:t>year-on-year growth rate</w:t>
      </w:r>
      <w:r w:rsidR="006C2DBF" w:rsidRPr="00DE5453">
        <w:rPr>
          <w:rFonts w:cs="Times New Roman"/>
          <w:b/>
          <w:bCs/>
        </w:rPr>
        <w:t xml:space="preserve"> </w:t>
      </w:r>
      <w:r w:rsidR="006C2DBF" w:rsidRPr="00DE5453">
        <w:rPr>
          <w:rFonts w:cs="Times New Roman" w:hint="eastAsia"/>
          <w:b/>
          <w:bCs/>
        </w:rPr>
        <w:t xml:space="preserve">of </w:t>
      </w:r>
      <w:r w:rsidR="006C2DBF" w:rsidRPr="00DE5453">
        <w:rPr>
          <w:rFonts w:cs="Times New Roman"/>
          <w:b/>
          <w:bCs/>
        </w:rPr>
        <w:t>quarterly</w:t>
      </w:r>
      <w:r w:rsidR="006C2DBF" w:rsidRPr="00DE5453">
        <w:rPr>
          <w:rFonts w:cs="Times New Roman" w:hint="eastAsia"/>
          <w:b/>
          <w:bCs/>
        </w:rPr>
        <w:t xml:space="preserve"> </w:t>
      </w:r>
      <w:r w:rsidRPr="00DE5453">
        <w:rPr>
          <w:rFonts w:cs="Times New Roman"/>
          <w:b/>
          <w:bCs/>
        </w:rPr>
        <w:t xml:space="preserve">and cumulative </w:t>
      </w:r>
      <w:r w:rsidR="006C2DBF" w:rsidRPr="00DE5453">
        <w:rPr>
          <w:rFonts w:cs="Times New Roman" w:hint="eastAsia"/>
          <w:b/>
          <w:bCs/>
        </w:rPr>
        <w:t>c</w:t>
      </w:r>
      <w:r w:rsidRPr="00DE5453">
        <w:rPr>
          <w:rFonts w:cs="Times New Roman"/>
          <w:b/>
          <w:bCs/>
        </w:rPr>
        <w:t>onstant GDP</w:t>
      </w:r>
      <w:r w:rsidRPr="00542972">
        <w:rPr>
          <w:rFonts w:cs="Times New Roman"/>
        </w:rPr>
        <w:t xml:space="preserve">. </w:t>
      </w:r>
      <w:r w:rsidR="00F45297">
        <w:rPr>
          <w:rFonts w:cs="Times New Roman"/>
        </w:rPr>
        <w:t>W</w:t>
      </w:r>
      <w:r w:rsidR="00F45297">
        <w:rPr>
          <w:rFonts w:cs="Times New Roman" w:hint="eastAsia"/>
        </w:rPr>
        <w:t>e can compare the</w:t>
      </w:r>
      <w:r w:rsidRPr="00542972">
        <w:rPr>
          <w:rFonts w:cs="Times New Roman"/>
        </w:rPr>
        <w:t xml:space="preserve"> difference between published value and institutional forecasts, historical data, and overseas countries.</w:t>
      </w:r>
      <w:r w:rsidR="006B4F41">
        <w:rPr>
          <w:rFonts w:cs="Times New Roman" w:hint="eastAsia"/>
        </w:rPr>
        <w:t xml:space="preserve"> </w:t>
      </w:r>
    </w:p>
    <w:p w14:paraId="4C21F9D8" w14:textId="3F6CE863" w:rsidR="009363FA" w:rsidRDefault="009363FA" w:rsidP="00D77BB4">
      <w:pPr>
        <w:ind w:firstLine="480"/>
      </w:pPr>
      <w:r w:rsidRPr="00D2564F">
        <w:rPr>
          <w:rFonts w:hint="eastAsia"/>
          <w:highlight w:val="yellow"/>
        </w:rPr>
        <w:t>图</w:t>
      </w:r>
      <w:r w:rsidR="00031C56">
        <w:rPr>
          <w:rFonts w:hint="eastAsia"/>
          <w:highlight w:val="yellow"/>
        </w:rPr>
        <w:t>1</w:t>
      </w:r>
      <w:r w:rsidRPr="00D2564F">
        <w:rPr>
          <w:rFonts w:hint="eastAsia"/>
          <w:highlight w:val="yellow"/>
        </w:rPr>
        <w:t>：</w:t>
      </w:r>
      <w:r w:rsidRPr="00D2564F">
        <w:rPr>
          <w:rFonts w:hint="eastAsia"/>
          <w:highlight w:val="yellow"/>
        </w:rPr>
        <w:t>GDP</w:t>
      </w:r>
      <w:r w:rsidRPr="00D2564F">
        <w:rPr>
          <w:rFonts w:hint="eastAsia"/>
          <w:highlight w:val="yellow"/>
        </w:rPr>
        <w:t>同比增速</w:t>
      </w:r>
    </w:p>
    <w:p w14:paraId="2DFD7A14" w14:textId="77777777" w:rsidR="009363FA" w:rsidRDefault="009363FA" w:rsidP="00D77BB4">
      <w:pPr>
        <w:ind w:firstLine="480"/>
      </w:pPr>
    </w:p>
    <w:p w14:paraId="10913BAD" w14:textId="5D68B771" w:rsidR="002566DF" w:rsidRPr="00A67BDD" w:rsidRDefault="002566DF" w:rsidP="00D77BB4">
      <w:pPr>
        <w:ind w:firstLine="480"/>
      </w:pPr>
      <w:r>
        <w:rPr>
          <w:rFonts w:hint="eastAsia"/>
        </w:rPr>
        <w:t>累计同比一般比当季同比波动小，图中的极端值看起来一样，是因为极端</w:t>
      </w:r>
      <w:r>
        <w:rPr>
          <w:rFonts w:hint="eastAsia"/>
        </w:rPr>
        <w:lastRenderedPageBreak/>
        <w:t>值恰好出现在一</w:t>
      </w:r>
      <w:r w:rsidR="002C3C9F">
        <w:rPr>
          <w:rFonts w:hint="eastAsia"/>
        </w:rPr>
        <w:t>季度</w:t>
      </w:r>
      <w:r>
        <w:rPr>
          <w:rFonts w:hint="eastAsia"/>
        </w:rPr>
        <w:t>。</w:t>
      </w:r>
    </w:p>
    <w:p w14:paraId="601A55A0" w14:textId="5E98664A" w:rsidR="00557C3A" w:rsidRPr="00D77BB4" w:rsidRDefault="002C3C9F" w:rsidP="002C3C9F">
      <w:pPr>
        <w:ind w:firstLine="480"/>
      </w:pPr>
      <w:r>
        <w:rPr>
          <w:rFonts w:hint="eastAsia"/>
        </w:rPr>
        <w:t>Growth rate of cumulative GDP is less volatile than that of quarterly GDP. The extremes in the chart look the same, because they happened to occur in the first quarter.</w:t>
      </w:r>
    </w:p>
    <w:p w14:paraId="38D46046" w14:textId="77777777" w:rsidR="00496428" w:rsidRDefault="00496428" w:rsidP="00D91C75">
      <w:pPr>
        <w:ind w:firstLine="480"/>
      </w:pPr>
    </w:p>
    <w:p w14:paraId="715D97C8" w14:textId="634E7B43" w:rsidR="00496428" w:rsidRPr="00C54D63" w:rsidRDefault="00C54D63" w:rsidP="00C54D63">
      <w:pPr>
        <w:pStyle w:val="2"/>
        <w:rPr>
          <w:rFonts w:hint="eastAsia"/>
        </w:rPr>
      </w:pPr>
      <w:r>
        <w:rPr>
          <w:rFonts w:hint="eastAsia"/>
        </w:rPr>
        <w:t>生产法</w:t>
      </w:r>
    </w:p>
    <w:p w14:paraId="53E55792" w14:textId="11BF476E" w:rsidR="0079758B" w:rsidRDefault="00F45E24" w:rsidP="00D91C75">
      <w:pPr>
        <w:ind w:firstLine="480"/>
      </w:pPr>
      <w:r w:rsidRPr="006D31E4">
        <w:rPr>
          <w:rFonts w:hint="eastAsia"/>
        </w:rPr>
        <w:t>在实际</w:t>
      </w:r>
      <w:r>
        <w:rPr>
          <w:rFonts w:hint="eastAsia"/>
        </w:rPr>
        <w:t>分析</w:t>
      </w:r>
      <w:r w:rsidRPr="006D31E4">
        <w:rPr>
          <w:rFonts w:hint="eastAsia"/>
        </w:rPr>
        <w:t>中，</w:t>
      </w:r>
      <w:r>
        <w:rPr>
          <w:rFonts w:hint="eastAsia"/>
        </w:rPr>
        <w:t>我们关注</w:t>
      </w:r>
      <w:r w:rsidRPr="006D31E4">
        <w:rPr>
          <w:rFonts w:hint="eastAsia"/>
        </w:rPr>
        <w:t>国内生产总值</w:t>
      </w:r>
      <w:r>
        <w:rPr>
          <w:rFonts w:hint="eastAsia"/>
        </w:rPr>
        <w:t>的两</w:t>
      </w:r>
      <w:r w:rsidRPr="006D31E4">
        <w:rPr>
          <w:rFonts w:hint="eastAsia"/>
        </w:rPr>
        <w:t>种计算方法，即生产法和支出法。</w:t>
      </w:r>
      <w:r w:rsidRPr="00490695">
        <w:rPr>
          <w:rFonts w:hint="eastAsia"/>
          <w:b/>
          <w:bCs/>
        </w:rPr>
        <w:t>生产法</w:t>
      </w:r>
      <w:r w:rsidRPr="00490695">
        <w:rPr>
          <w:rFonts w:hint="eastAsia"/>
          <w:b/>
          <w:bCs/>
        </w:rPr>
        <w:t>GDP</w:t>
      </w:r>
      <w:r>
        <w:rPr>
          <w:rFonts w:hint="eastAsia"/>
        </w:rPr>
        <w:t>是各行业增加值的加总，可以看出产业结构和产业变化。</w:t>
      </w:r>
      <w:r w:rsidRPr="00490695">
        <w:rPr>
          <w:rFonts w:hint="eastAsia"/>
          <w:b/>
          <w:bCs/>
        </w:rPr>
        <w:t>支出法</w:t>
      </w:r>
      <w:r w:rsidRPr="00490695">
        <w:rPr>
          <w:rFonts w:hint="eastAsia"/>
          <w:b/>
          <w:bCs/>
        </w:rPr>
        <w:t>GDP</w:t>
      </w:r>
      <w:r>
        <w:rPr>
          <w:rFonts w:hint="eastAsia"/>
        </w:rPr>
        <w:t>由消费、投资、出口组成，可以观察到经济需求的变动。</w:t>
      </w:r>
    </w:p>
    <w:p w14:paraId="6AA17CF8" w14:textId="5D0B5AD6" w:rsidR="00F45E24" w:rsidRDefault="00584E39" w:rsidP="00D91C75">
      <w:pPr>
        <w:ind w:firstLine="480"/>
      </w:pPr>
      <w:r w:rsidRPr="00584E39">
        <w:rPr>
          <w:rFonts w:hint="eastAsia"/>
        </w:rPr>
        <w:t xml:space="preserve">In </w:t>
      </w:r>
      <w:r w:rsidR="00F50928">
        <w:rPr>
          <w:rFonts w:hint="eastAsia"/>
        </w:rPr>
        <w:t>practice</w:t>
      </w:r>
      <w:r w:rsidRPr="00584E39">
        <w:rPr>
          <w:rFonts w:hint="eastAsia"/>
        </w:rPr>
        <w:t xml:space="preserve">, we focus on two methods </w:t>
      </w:r>
      <w:r w:rsidR="003C6BC2">
        <w:rPr>
          <w:rFonts w:hint="eastAsia"/>
        </w:rPr>
        <w:t>to</w:t>
      </w:r>
      <w:r w:rsidRPr="00584E39">
        <w:rPr>
          <w:rFonts w:hint="eastAsia"/>
        </w:rPr>
        <w:t xml:space="preserve"> calculat</w:t>
      </w:r>
      <w:r w:rsidR="003C6BC2">
        <w:rPr>
          <w:rFonts w:hint="eastAsia"/>
        </w:rPr>
        <w:t>e</w:t>
      </w:r>
      <w:r w:rsidRPr="00584E39">
        <w:rPr>
          <w:rFonts w:hint="eastAsia"/>
        </w:rPr>
        <w:t xml:space="preserve"> GDP, namely the production method and the expenditure method. Production method GDP is the sum of the added value of </w:t>
      </w:r>
      <w:r w:rsidR="008D27F2">
        <w:rPr>
          <w:rFonts w:hint="eastAsia"/>
        </w:rPr>
        <w:t>different</w:t>
      </w:r>
      <w:r w:rsidRPr="00584E39">
        <w:rPr>
          <w:rFonts w:hint="eastAsia"/>
        </w:rPr>
        <w:t xml:space="preserve"> industries, which can </w:t>
      </w:r>
      <w:r w:rsidR="00554129">
        <w:rPr>
          <w:rFonts w:hint="eastAsia"/>
        </w:rPr>
        <w:t>indicate</w:t>
      </w:r>
      <w:r w:rsidRPr="00584E39">
        <w:rPr>
          <w:rFonts w:hint="eastAsia"/>
        </w:rPr>
        <w:t xml:space="preserve"> the </w:t>
      </w:r>
      <w:r w:rsidR="00554129">
        <w:rPr>
          <w:rFonts w:hint="eastAsia"/>
        </w:rPr>
        <w:t xml:space="preserve">change of </w:t>
      </w:r>
      <w:r w:rsidRPr="00584E39">
        <w:rPr>
          <w:rFonts w:hint="eastAsia"/>
        </w:rPr>
        <w:t xml:space="preserve">industrial structure. Expenditure method GDP is composed of consumption, investment and exports, </w:t>
      </w:r>
      <w:r w:rsidR="00554129">
        <w:rPr>
          <w:rFonts w:hint="eastAsia"/>
        </w:rPr>
        <w:t xml:space="preserve">we can observe </w:t>
      </w:r>
      <w:r w:rsidRPr="00584E39">
        <w:rPr>
          <w:rFonts w:hint="eastAsia"/>
        </w:rPr>
        <w:t xml:space="preserve">changes in economic demand </w:t>
      </w:r>
      <w:r w:rsidR="00554129">
        <w:rPr>
          <w:rFonts w:hint="eastAsia"/>
        </w:rPr>
        <w:t>from it</w:t>
      </w:r>
      <w:r w:rsidRPr="00584E39">
        <w:rPr>
          <w:rFonts w:hint="eastAsia"/>
        </w:rPr>
        <w:t>.</w:t>
      </w:r>
    </w:p>
    <w:p w14:paraId="5A1C3495" w14:textId="44DF44C1" w:rsidR="00840F68" w:rsidRDefault="00840F68" w:rsidP="00D91C75">
      <w:pPr>
        <w:ind w:firstLine="480"/>
      </w:pPr>
      <w:r>
        <w:rPr>
          <w:rFonts w:hint="eastAsia"/>
        </w:rPr>
        <w:t>首先看</w:t>
      </w:r>
      <w:r w:rsidRPr="00C90F9F">
        <w:rPr>
          <w:rFonts w:hint="eastAsia"/>
          <w:b/>
          <w:bCs/>
        </w:rPr>
        <w:t>三大产业增加值占</w:t>
      </w:r>
      <w:r w:rsidRPr="00C90F9F">
        <w:rPr>
          <w:rFonts w:hint="eastAsia"/>
          <w:b/>
          <w:bCs/>
        </w:rPr>
        <w:t>GDP</w:t>
      </w:r>
      <w:r>
        <w:rPr>
          <w:rFonts w:hint="eastAsia"/>
        </w:rPr>
        <w:t>的比重。长期看，第三产业占比不断上升。截至</w:t>
      </w:r>
      <w:r>
        <w:rPr>
          <w:rFonts w:hint="eastAsia"/>
        </w:rPr>
        <w:t>2023</w:t>
      </w:r>
      <w:r>
        <w:rPr>
          <w:rFonts w:hint="eastAsia"/>
        </w:rPr>
        <w:t>年末，第一产业、第二产业、第三产业按照不变价计算的</w:t>
      </w:r>
      <w:r>
        <w:rPr>
          <w:rFonts w:hint="eastAsia"/>
        </w:rPr>
        <w:t>GDP</w:t>
      </w:r>
      <w:r>
        <w:rPr>
          <w:rFonts w:hint="eastAsia"/>
        </w:rPr>
        <w:t>占比分别为。</w:t>
      </w:r>
    </w:p>
    <w:p w14:paraId="5169F3D2" w14:textId="0C4E678B" w:rsidR="00840F68" w:rsidRDefault="005836D5" w:rsidP="00D91C75">
      <w:pPr>
        <w:ind w:firstLine="480"/>
      </w:pPr>
      <w:r w:rsidRPr="005836D5">
        <w:t xml:space="preserve">First, </w:t>
      </w:r>
      <w:r w:rsidR="00361AA0">
        <w:rPr>
          <w:rFonts w:hint="eastAsia"/>
        </w:rPr>
        <w:t>let</w:t>
      </w:r>
      <w:r w:rsidR="00361AA0">
        <w:t>’</w:t>
      </w:r>
      <w:r w:rsidR="00361AA0">
        <w:rPr>
          <w:rFonts w:hint="eastAsia"/>
        </w:rPr>
        <w:t xml:space="preserve">s </w:t>
      </w:r>
      <w:r w:rsidRPr="005836D5">
        <w:t>look at the proportion of the added value of three major industries in GDP. In the long run, the proportion of the tertiary industry continues to rise. By the end of 2023, the proportion of GDP of the primary industry, the secondary industry and the tertiary industry calculated at constant prices is respectively.</w:t>
      </w:r>
    </w:p>
    <w:p w14:paraId="597240AD" w14:textId="501BE333" w:rsidR="00840F68" w:rsidRPr="009969ED" w:rsidRDefault="00840F68" w:rsidP="00D91C75">
      <w:pPr>
        <w:ind w:firstLine="480"/>
        <w:rPr>
          <w:highlight w:val="yellow"/>
        </w:rPr>
      </w:pPr>
      <w:r w:rsidRPr="009969ED">
        <w:rPr>
          <w:rFonts w:hint="eastAsia"/>
          <w:highlight w:val="yellow"/>
        </w:rPr>
        <w:t>图</w:t>
      </w:r>
      <w:r w:rsidR="00031C56">
        <w:rPr>
          <w:rFonts w:hint="eastAsia"/>
          <w:highlight w:val="yellow"/>
        </w:rPr>
        <w:t>2</w:t>
      </w:r>
      <w:r w:rsidRPr="009969ED">
        <w:rPr>
          <w:rFonts w:hint="eastAsia"/>
          <w:highlight w:val="yellow"/>
        </w:rPr>
        <w:t>：三大产业的</w:t>
      </w:r>
      <w:r w:rsidRPr="009969ED">
        <w:rPr>
          <w:rFonts w:hint="eastAsia"/>
          <w:highlight w:val="yellow"/>
        </w:rPr>
        <w:t>GDP</w:t>
      </w:r>
      <w:r w:rsidRPr="009969ED">
        <w:rPr>
          <w:rFonts w:hint="eastAsia"/>
          <w:highlight w:val="yellow"/>
        </w:rPr>
        <w:t>占比</w:t>
      </w:r>
    </w:p>
    <w:p w14:paraId="505F1167" w14:textId="77777777" w:rsidR="00840F68" w:rsidRDefault="00840F68" w:rsidP="00D91C75">
      <w:pPr>
        <w:ind w:firstLine="480"/>
      </w:pPr>
    </w:p>
    <w:p w14:paraId="2410895C" w14:textId="5E80FA44" w:rsidR="00840F68" w:rsidRDefault="00CB424A" w:rsidP="00D91C75">
      <w:pPr>
        <w:ind w:firstLine="480"/>
      </w:pPr>
      <w:r>
        <w:rPr>
          <w:rFonts w:hint="eastAsia"/>
        </w:rPr>
        <w:t>我们更加关心短期趋势，也就是三大产业的短期变动幅度。</w:t>
      </w:r>
      <w:r w:rsidR="0017148F">
        <w:rPr>
          <w:rFonts w:hint="eastAsia"/>
        </w:rPr>
        <w:t>统计局没有公布各行业的季调环比</w:t>
      </w:r>
      <w:r w:rsidR="0017148F">
        <w:rPr>
          <w:rFonts w:hint="eastAsia"/>
        </w:rPr>
        <w:t>GDP</w:t>
      </w:r>
      <w:r w:rsidR="0017148F">
        <w:rPr>
          <w:rFonts w:hint="eastAsia"/>
        </w:rPr>
        <w:t>数据，所以我们可以观测</w:t>
      </w:r>
      <w:r w:rsidR="001D1246" w:rsidRPr="001D1246">
        <w:rPr>
          <w:rFonts w:hint="eastAsia"/>
          <w:b/>
          <w:bCs/>
        </w:rPr>
        <w:t>三大产业</w:t>
      </w:r>
      <w:r w:rsidR="0017148F" w:rsidRPr="001D1246">
        <w:rPr>
          <w:rFonts w:hint="eastAsia"/>
          <w:b/>
          <w:bCs/>
        </w:rPr>
        <w:t>不变价</w:t>
      </w:r>
      <w:r w:rsidR="0017148F" w:rsidRPr="001D1246">
        <w:rPr>
          <w:rFonts w:hint="eastAsia"/>
          <w:b/>
          <w:bCs/>
        </w:rPr>
        <w:t>GDP</w:t>
      </w:r>
      <w:r w:rsidR="0017148F" w:rsidRPr="001D1246">
        <w:rPr>
          <w:rFonts w:hint="eastAsia"/>
          <w:b/>
          <w:bCs/>
        </w:rPr>
        <w:t>的同比数据</w:t>
      </w:r>
      <w:r w:rsidR="0017148F">
        <w:rPr>
          <w:rFonts w:hint="eastAsia"/>
        </w:rPr>
        <w:t>。</w:t>
      </w:r>
    </w:p>
    <w:p w14:paraId="63400522" w14:textId="36BB317A" w:rsidR="002A24F0" w:rsidRDefault="002A24F0" w:rsidP="00D91C75">
      <w:pPr>
        <w:ind w:firstLine="480"/>
      </w:pPr>
      <w:r w:rsidRPr="002A24F0">
        <w:t>We are more concerned with short-term trends, that is, the</w:t>
      </w:r>
      <w:r>
        <w:rPr>
          <w:rFonts w:hint="eastAsia"/>
        </w:rPr>
        <w:t xml:space="preserve"> </w:t>
      </w:r>
      <w:r w:rsidRPr="002A24F0">
        <w:t xml:space="preserve">short-term changes in three industries. </w:t>
      </w:r>
      <w:r w:rsidR="007B3724">
        <w:rPr>
          <w:rFonts w:hint="eastAsia"/>
        </w:rPr>
        <w:t>NBS</w:t>
      </w:r>
      <w:r w:rsidRPr="002A24F0">
        <w:t xml:space="preserve"> does not publish quarterly</w:t>
      </w:r>
      <w:r w:rsidR="007B3724">
        <w:rPr>
          <w:rFonts w:hint="eastAsia"/>
        </w:rPr>
        <w:t xml:space="preserve"> adjusted</w:t>
      </w:r>
      <w:r w:rsidRPr="002A24F0">
        <w:t xml:space="preserve"> GDP for </w:t>
      </w:r>
      <w:r w:rsidR="007B3724">
        <w:rPr>
          <w:rFonts w:hint="eastAsia"/>
        </w:rPr>
        <w:t>different</w:t>
      </w:r>
      <w:r w:rsidRPr="002A24F0">
        <w:t xml:space="preserve"> industries, so we can observe the year-on-year</w:t>
      </w:r>
      <w:r w:rsidR="007B3724">
        <w:rPr>
          <w:rFonts w:hint="eastAsia"/>
        </w:rPr>
        <w:t xml:space="preserve"> growth rate of constant</w:t>
      </w:r>
      <w:r w:rsidRPr="002A24F0">
        <w:t xml:space="preserve"> GDP of the three industries.</w:t>
      </w:r>
    </w:p>
    <w:p w14:paraId="26E03509" w14:textId="77777777" w:rsidR="0017148F" w:rsidRDefault="0017148F" w:rsidP="00D91C75">
      <w:pPr>
        <w:ind w:firstLine="480"/>
      </w:pPr>
    </w:p>
    <w:p w14:paraId="1E307ECF" w14:textId="58E7EF12" w:rsidR="0017148F" w:rsidRPr="009969ED" w:rsidRDefault="0017148F" w:rsidP="00D91C75">
      <w:pPr>
        <w:ind w:firstLine="480"/>
        <w:rPr>
          <w:highlight w:val="yellow"/>
        </w:rPr>
      </w:pPr>
      <w:r w:rsidRPr="009969ED">
        <w:rPr>
          <w:rFonts w:hint="eastAsia"/>
          <w:highlight w:val="yellow"/>
        </w:rPr>
        <w:t>图</w:t>
      </w:r>
      <w:r w:rsidR="00031C56">
        <w:rPr>
          <w:rFonts w:hint="eastAsia"/>
          <w:highlight w:val="yellow"/>
        </w:rPr>
        <w:t>3</w:t>
      </w:r>
      <w:r w:rsidRPr="009969ED">
        <w:rPr>
          <w:rFonts w:hint="eastAsia"/>
          <w:highlight w:val="yellow"/>
        </w:rPr>
        <w:t>：三大产业</w:t>
      </w:r>
      <w:r w:rsidRPr="009969ED">
        <w:rPr>
          <w:rFonts w:hint="eastAsia"/>
          <w:highlight w:val="yellow"/>
        </w:rPr>
        <w:t>GDP</w:t>
      </w:r>
      <w:r w:rsidRPr="009969ED">
        <w:rPr>
          <w:rFonts w:hint="eastAsia"/>
          <w:highlight w:val="yellow"/>
        </w:rPr>
        <w:t>同比增速</w:t>
      </w:r>
    </w:p>
    <w:p w14:paraId="45115BB9" w14:textId="77777777" w:rsidR="0017148F" w:rsidRDefault="0017148F" w:rsidP="00D91C75">
      <w:pPr>
        <w:ind w:firstLine="480"/>
      </w:pPr>
    </w:p>
    <w:p w14:paraId="6CD82A44" w14:textId="7DE55971" w:rsidR="0017148F" w:rsidRDefault="003A5014" w:rsidP="00D91C75">
      <w:pPr>
        <w:ind w:firstLine="480"/>
      </w:pPr>
      <w:r>
        <w:rPr>
          <w:rFonts w:hint="eastAsia"/>
        </w:rPr>
        <w:t>另外一个短期指标是</w:t>
      </w:r>
      <w:r w:rsidRPr="0000716E">
        <w:rPr>
          <w:rFonts w:hint="eastAsia"/>
          <w:b/>
          <w:bCs/>
        </w:rPr>
        <w:t>三大产业对</w:t>
      </w:r>
      <w:r w:rsidRPr="0000716E">
        <w:rPr>
          <w:rFonts w:hint="eastAsia"/>
          <w:b/>
          <w:bCs/>
        </w:rPr>
        <w:t>GDP</w:t>
      </w:r>
      <w:r w:rsidRPr="0000716E">
        <w:rPr>
          <w:rFonts w:hint="eastAsia"/>
          <w:b/>
          <w:bCs/>
        </w:rPr>
        <w:t>增速的拉动效果</w:t>
      </w:r>
      <w:r>
        <w:rPr>
          <w:rFonts w:hint="eastAsia"/>
        </w:rPr>
        <w:t>。</w:t>
      </w:r>
      <w:r w:rsidR="00787364">
        <w:rPr>
          <w:rFonts w:hint="eastAsia"/>
        </w:rPr>
        <w:t>拉动效果</w:t>
      </w:r>
      <w:r w:rsidR="00787364">
        <w:rPr>
          <w:rFonts w:hint="eastAsia"/>
        </w:rPr>
        <w:t>=</w:t>
      </w:r>
      <w:r w:rsidR="00787364">
        <w:rPr>
          <w:rFonts w:hint="eastAsia"/>
        </w:rPr>
        <w:t>产业同比增速</w:t>
      </w:r>
      <w:r w:rsidR="00787364">
        <w:rPr>
          <w:rFonts w:hint="eastAsia"/>
        </w:rPr>
        <w:t>*</w:t>
      </w:r>
      <w:r w:rsidR="00787364">
        <w:rPr>
          <w:rFonts w:hint="eastAsia"/>
        </w:rPr>
        <w:t>产业增加值</w:t>
      </w:r>
      <w:r w:rsidR="00787364">
        <w:rPr>
          <w:rFonts w:hint="eastAsia"/>
        </w:rPr>
        <w:t>/GDP</w:t>
      </w:r>
      <w:r w:rsidR="00787364">
        <w:rPr>
          <w:rFonts w:hint="eastAsia"/>
        </w:rPr>
        <w:t>增加值。三大产业的拉动效果之和，等于</w:t>
      </w:r>
      <w:r w:rsidR="00787364">
        <w:rPr>
          <w:rFonts w:hint="eastAsia"/>
        </w:rPr>
        <w:t>GDP</w:t>
      </w:r>
      <w:r w:rsidR="00787364">
        <w:rPr>
          <w:rFonts w:hint="eastAsia"/>
        </w:rPr>
        <w:t>的同比增速。</w:t>
      </w:r>
    </w:p>
    <w:p w14:paraId="3FAF06E9" w14:textId="6FE3E8F2" w:rsidR="00336DFB" w:rsidRDefault="00097D2D" w:rsidP="00D91C75">
      <w:pPr>
        <w:ind w:firstLine="480"/>
      </w:pPr>
      <w:r w:rsidRPr="00097D2D">
        <w:t xml:space="preserve">Another short-term indicator is the </w:t>
      </w:r>
      <w:r>
        <w:rPr>
          <w:rFonts w:hint="eastAsia"/>
        </w:rPr>
        <w:t xml:space="preserve">pull </w:t>
      </w:r>
      <w:r w:rsidRPr="00097D2D">
        <w:t xml:space="preserve">effect of the three industries on GDP growth. </w:t>
      </w:r>
      <w:r w:rsidR="00FE700D">
        <w:rPr>
          <w:rFonts w:hint="eastAsia"/>
        </w:rPr>
        <w:t xml:space="preserve">Here, </w:t>
      </w:r>
      <w:r w:rsidRPr="00097D2D">
        <w:t xml:space="preserve">Pulling effect = </w:t>
      </w:r>
      <w:r w:rsidR="00FE700D">
        <w:rPr>
          <w:rFonts w:hint="eastAsia"/>
        </w:rPr>
        <w:t>I</w:t>
      </w:r>
      <w:r w:rsidRPr="00097D2D">
        <w:t>ndustrial growth rate * Industrial added value /GDP added value. The sum of the pulling effect of the three industries is equal to the year-on-year growth rate of GDP.</w:t>
      </w:r>
    </w:p>
    <w:p w14:paraId="42FE4125" w14:textId="54CB73AF" w:rsidR="00336DFB" w:rsidRPr="009969ED" w:rsidRDefault="00336DFB" w:rsidP="00D91C75">
      <w:pPr>
        <w:ind w:firstLine="480"/>
        <w:rPr>
          <w:highlight w:val="yellow"/>
        </w:rPr>
      </w:pPr>
      <w:r w:rsidRPr="009969ED">
        <w:rPr>
          <w:rFonts w:hint="eastAsia"/>
          <w:highlight w:val="yellow"/>
        </w:rPr>
        <w:t>图</w:t>
      </w:r>
      <w:r w:rsidR="00031C56">
        <w:rPr>
          <w:rFonts w:hint="eastAsia"/>
          <w:highlight w:val="yellow"/>
        </w:rPr>
        <w:t>4</w:t>
      </w:r>
      <w:r w:rsidRPr="009969ED">
        <w:rPr>
          <w:rFonts w:hint="eastAsia"/>
          <w:highlight w:val="yellow"/>
        </w:rPr>
        <w:t>：三大产业对</w:t>
      </w:r>
      <w:r w:rsidRPr="009969ED">
        <w:rPr>
          <w:rFonts w:hint="eastAsia"/>
          <w:highlight w:val="yellow"/>
        </w:rPr>
        <w:t>GDP</w:t>
      </w:r>
      <w:r w:rsidRPr="009969ED">
        <w:rPr>
          <w:rFonts w:hint="eastAsia"/>
          <w:highlight w:val="yellow"/>
        </w:rPr>
        <w:t>拉动效果</w:t>
      </w:r>
    </w:p>
    <w:p w14:paraId="6AEADE84" w14:textId="77777777" w:rsidR="00336DFB" w:rsidRDefault="00336DFB" w:rsidP="00D91C75">
      <w:pPr>
        <w:ind w:firstLine="480"/>
      </w:pPr>
    </w:p>
    <w:p w14:paraId="4DBA891F" w14:textId="2CA3D985" w:rsidR="00336DFB" w:rsidRDefault="003370FD" w:rsidP="00D91C75">
      <w:pPr>
        <w:ind w:firstLine="480"/>
      </w:pPr>
      <w:r>
        <w:rPr>
          <w:rFonts w:hint="eastAsia"/>
        </w:rPr>
        <w:t>进一步地，我们需要一些附注指标来帮助判断</w:t>
      </w:r>
      <w:r>
        <w:rPr>
          <w:rFonts w:hint="eastAsia"/>
        </w:rPr>
        <w:t>GDP</w:t>
      </w:r>
      <w:r>
        <w:rPr>
          <w:rFonts w:hint="eastAsia"/>
        </w:rPr>
        <w:t>的趋势。</w:t>
      </w:r>
    </w:p>
    <w:p w14:paraId="77B59163" w14:textId="77777777" w:rsidR="00C62816" w:rsidRDefault="00E15D69" w:rsidP="00C62816">
      <w:pPr>
        <w:ind w:firstLine="480"/>
      </w:pPr>
      <w:r>
        <w:rPr>
          <w:rFonts w:hint="eastAsia"/>
        </w:rPr>
        <w:t>第一产业的不变价</w:t>
      </w:r>
      <w:r>
        <w:rPr>
          <w:rFonts w:hint="eastAsia"/>
        </w:rPr>
        <w:t>GDP</w:t>
      </w:r>
      <w:r>
        <w:rPr>
          <w:rFonts w:hint="eastAsia"/>
        </w:rPr>
        <w:t>变动较小，主要变动来自于价格走势。第一产业现价</w:t>
      </w:r>
      <w:r>
        <w:rPr>
          <w:rFonts w:hint="eastAsia"/>
        </w:rPr>
        <w:t>GDP</w:t>
      </w:r>
      <w:r>
        <w:rPr>
          <w:rFonts w:hint="eastAsia"/>
        </w:rPr>
        <w:t>同比和</w:t>
      </w:r>
      <w:r>
        <w:rPr>
          <w:rFonts w:hint="eastAsia"/>
        </w:rPr>
        <w:t>GDP</w:t>
      </w:r>
      <w:r>
        <w:rPr>
          <w:rFonts w:hint="eastAsia"/>
        </w:rPr>
        <w:t>平减指数累计同比的趋势是一致的。</w:t>
      </w:r>
      <w:r w:rsidR="00C62816">
        <w:rPr>
          <w:rFonts w:hint="eastAsia"/>
        </w:rPr>
        <w:t>一个例外是，</w:t>
      </w:r>
      <w:r w:rsidR="00C62816">
        <w:rPr>
          <w:rFonts w:hint="eastAsia"/>
        </w:rPr>
        <w:t>2020</w:t>
      </w:r>
      <w:r w:rsidR="00C62816">
        <w:rPr>
          <w:rFonts w:hint="eastAsia"/>
        </w:rPr>
        <w:t>年一季度，新冠疫情下，不变价</w:t>
      </w:r>
      <w:r w:rsidR="00C62816">
        <w:rPr>
          <w:rFonts w:hint="eastAsia"/>
        </w:rPr>
        <w:t>GDP</w:t>
      </w:r>
      <w:r w:rsidR="00C62816">
        <w:rPr>
          <w:rFonts w:hint="eastAsia"/>
        </w:rPr>
        <w:t>大幅降低、同时</w:t>
      </w:r>
      <w:r w:rsidR="00C62816">
        <w:rPr>
          <w:rFonts w:hint="eastAsia"/>
        </w:rPr>
        <w:t>GDP</w:t>
      </w:r>
      <w:r w:rsidR="00C62816">
        <w:rPr>
          <w:rFonts w:hint="eastAsia"/>
        </w:rPr>
        <w:t>平减指数大幅提升。</w:t>
      </w:r>
    </w:p>
    <w:p w14:paraId="1A38DB2B" w14:textId="77777777" w:rsidR="00D5799B" w:rsidRDefault="00D5799B" w:rsidP="00D5799B">
      <w:pPr>
        <w:ind w:firstLine="480"/>
      </w:pPr>
      <w:r>
        <w:t>Further, we need some supplementary indicators to help judge the trend of GDP.</w:t>
      </w:r>
    </w:p>
    <w:p w14:paraId="39FA8DDE" w14:textId="53447B37" w:rsidR="00E15D69" w:rsidRDefault="00793CF1" w:rsidP="00D5799B">
      <w:pPr>
        <w:ind w:firstLine="480"/>
      </w:pPr>
      <w:r>
        <w:rPr>
          <w:rFonts w:hint="eastAsia"/>
        </w:rPr>
        <w:t xml:space="preserve">Volatility of </w:t>
      </w:r>
      <w:r>
        <w:t>primary industry’</w:t>
      </w:r>
      <w:r>
        <w:rPr>
          <w:rFonts w:hint="eastAsia"/>
        </w:rPr>
        <w:t>s</w:t>
      </w:r>
      <w:r>
        <w:t xml:space="preserve"> </w:t>
      </w:r>
      <w:r w:rsidR="00D5799B">
        <w:t xml:space="preserve">constant price GDP </w:t>
      </w:r>
      <w:r>
        <w:rPr>
          <w:rFonts w:hint="eastAsia"/>
        </w:rPr>
        <w:t>is</w:t>
      </w:r>
      <w:r w:rsidR="00D5799B">
        <w:t xml:space="preserve"> little, and the main change comes from the pric</w:t>
      </w:r>
      <w:r>
        <w:rPr>
          <w:rFonts w:hint="eastAsia"/>
        </w:rPr>
        <w:t>e</w:t>
      </w:r>
      <w:r w:rsidR="00D5799B">
        <w:t>. The trend of the year-on-year current price GDP of the primary industry and the year-on-year GDP deflator is consistent. One exception is that in the first quarter of 2020, under the COVID-19 epidemic, constant price GDP fell sharply, while the GDP deflator rose sharply.</w:t>
      </w:r>
    </w:p>
    <w:p w14:paraId="59091168" w14:textId="77777777" w:rsidR="00463732" w:rsidRDefault="00463732" w:rsidP="00D5799B">
      <w:pPr>
        <w:ind w:firstLine="480"/>
      </w:pPr>
    </w:p>
    <w:p w14:paraId="06A4A265" w14:textId="1C21DADE" w:rsidR="00E15D69" w:rsidRPr="009969ED" w:rsidRDefault="00E15D69" w:rsidP="00D91C75">
      <w:pPr>
        <w:ind w:firstLine="480"/>
        <w:rPr>
          <w:highlight w:val="yellow"/>
        </w:rPr>
      </w:pPr>
      <w:r w:rsidRPr="009969ED">
        <w:rPr>
          <w:rFonts w:hint="eastAsia"/>
          <w:highlight w:val="yellow"/>
        </w:rPr>
        <w:t>图</w:t>
      </w:r>
      <w:r w:rsidR="00031C56">
        <w:rPr>
          <w:rFonts w:hint="eastAsia"/>
          <w:highlight w:val="yellow"/>
        </w:rPr>
        <w:t>5</w:t>
      </w:r>
      <w:r w:rsidR="00C62816" w:rsidRPr="009969ED">
        <w:rPr>
          <w:rFonts w:hint="eastAsia"/>
          <w:highlight w:val="yellow"/>
        </w:rPr>
        <w:t>：</w:t>
      </w:r>
      <w:r w:rsidR="00303505">
        <w:rPr>
          <w:rFonts w:hint="eastAsia"/>
          <w:highlight w:val="yellow"/>
        </w:rPr>
        <w:t>第一产业</w:t>
      </w:r>
      <w:r w:rsidR="00C62816" w:rsidRPr="009969ED">
        <w:rPr>
          <w:rFonts w:hint="eastAsia"/>
          <w:highlight w:val="yellow"/>
        </w:rPr>
        <w:t>现价</w:t>
      </w:r>
      <w:r w:rsidR="00C62816" w:rsidRPr="009969ED">
        <w:rPr>
          <w:rFonts w:hint="eastAsia"/>
          <w:highlight w:val="yellow"/>
        </w:rPr>
        <w:t>GDP</w:t>
      </w:r>
      <w:r w:rsidR="00C62816" w:rsidRPr="009969ED">
        <w:rPr>
          <w:rFonts w:hint="eastAsia"/>
          <w:highlight w:val="yellow"/>
        </w:rPr>
        <w:t>、不变价</w:t>
      </w:r>
      <w:r w:rsidR="00C62816" w:rsidRPr="009969ED">
        <w:rPr>
          <w:rFonts w:hint="eastAsia"/>
          <w:highlight w:val="yellow"/>
        </w:rPr>
        <w:t>GDP</w:t>
      </w:r>
      <w:r w:rsidR="00C62816" w:rsidRPr="009969ED">
        <w:rPr>
          <w:rFonts w:hint="eastAsia"/>
          <w:highlight w:val="yellow"/>
        </w:rPr>
        <w:t>、</w:t>
      </w:r>
      <w:r w:rsidR="00C62816" w:rsidRPr="009969ED">
        <w:rPr>
          <w:rFonts w:hint="eastAsia"/>
          <w:highlight w:val="yellow"/>
        </w:rPr>
        <w:t>GDP</w:t>
      </w:r>
      <w:r w:rsidR="00C62816" w:rsidRPr="009969ED">
        <w:rPr>
          <w:rFonts w:hint="eastAsia"/>
          <w:highlight w:val="yellow"/>
        </w:rPr>
        <w:t>平减指数</w:t>
      </w:r>
    </w:p>
    <w:p w14:paraId="784DE27C" w14:textId="77777777" w:rsidR="00C62816" w:rsidRPr="00A54177" w:rsidRDefault="00C62816" w:rsidP="00D91C75">
      <w:pPr>
        <w:ind w:firstLine="480"/>
      </w:pPr>
    </w:p>
    <w:p w14:paraId="571FD99C" w14:textId="282165D9" w:rsidR="00E15D69" w:rsidRPr="00184EFD" w:rsidRDefault="00466139" w:rsidP="00D91C75">
      <w:pPr>
        <w:ind w:firstLine="480"/>
      </w:pPr>
      <w:r>
        <w:rPr>
          <w:rFonts w:hint="eastAsia"/>
        </w:rPr>
        <w:t>常用的观测价格变动的指标是</w:t>
      </w:r>
      <w:r w:rsidRPr="00A54177">
        <w:rPr>
          <w:rFonts w:hint="eastAsia"/>
          <w:b/>
          <w:bCs/>
        </w:rPr>
        <w:t>农产品生产价格指数</w:t>
      </w:r>
      <w:r>
        <w:rPr>
          <w:rFonts w:hint="eastAsia"/>
        </w:rPr>
        <w:t>，它和第一产业</w:t>
      </w:r>
      <w:r>
        <w:rPr>
          <w:rFonts w:hint="eastAsia"/>
        </w:rPr>
        <w:t>GDP</w:t>
      </w:r>
      <w:r>
        <w:rPr>
          <w:rFonts w:hint="eastAsia"/>
        </w:rPr>
        <w:t>平减指数走势基本一致。</w:t>
      </w:r>
      <w:r w:rsidR="00184EFD">
        <w:rPr>
          <w:rFonts w:hint="eastAsia"/>
        </w:rPr>
        <w:t>其中，波动较大的畜牧业产品价格指数，特别是猪肉价格。</w:t>
      </w:r>
    </w:p>
    <w:p w14:paraId="7E2F8861" w14:textId="03A9E777" w:rsidR="00CF1AAC" w:rsidRDefault="00471CF0" w:rsidP="00D91C75">
      <w:pPr>
        <w:ind w:firstLine="480"/>
      </w:pPr>
      <w:r w:rsidRPr="00471CF0">
        <w:t xml:space="preserve">The commonly used </w:t>
      </w:r>
      <w:r>
        <w:rPr>
          <w:rFonts w:hint="eastAsia"/>
        </w:rPr>
        <w:t xml:space="preserve">indicator </w:t>
      </w:r>
      <w:r w:rsidRPr="00471CF0">
        <w:t>to observe price changes is the agricultural production price index, which is basically the same as the GDP deflator of the primary industry</w:t>
      </w:r>
      <w:r w:rsidR="009F1A77">
        <w:rPr>
          <w:rFonts w:hint="eastAsia"/>
        </w:rPr>
        <w:t xml:space="preserve">. </w:t>
      </w:r>
      <w:r w:rsidR="00184EFD" w:rsidRPr="00184EFD">
        <w:t>Among them, the volatile price index of livestock products, especially pork prices</w:t>
      </w:r>
    </w:p>
    <w:p w14:paraId="68C3E8EA" w14:textId="59D62567" w:rsidR="00A54177" w:rsidRPr="009969ED" w:rsidRDefault="00A54177" w:rsidP="00A54177">
      <w:pPr>
        <w:ind w:firstLine="480"/>
        <w:rPr>
          <w:highlight w:val="yellow"/>
        </w:rPr>
      </w:pPr>
      <w:r w:rsidRPr="009969ED">
        <w:rPr>
          <w:rFonts w:hint="eastAsia"/>
          <w:highlight w:val="yellow"/>
        </w:rPr>
        <w:t>图</w:t>
      </w:r>
      <w:r w:rsidR="00031C56">
        <w:rPr>
          <w:rFonts w:hint="eastAsia"/>
          <w:highlight w:val="yellow"/>
        </w:rPr>
        <w:t>6</w:t>
      </w:r>
      <w:r w:rsidRPr="009969ED">
        <w:rPr>
          <w:rFonts w:hint="eastAsia"/>
          <w:highlight w:val="yellow"/>
        </w:rPr>
        <w:t>：农产品价格指数、</w:t>
      </w:r>
      <w:r w:rsidRPr="009969ED">
        <w:rPr>
          <w:rFonts w:hint="eastAsia"/>
          <w:highlight w:val="yellow"/>
        </w:rPr>
        <w:t>GDP</w:t>
      </w:r>
      <w:r w:rsidRPr="009969ED">
        <w:rPr>
          <w:rFonts w:hint="eastAsia"/>
          <w:highlight w:val="yellow"/>
        </w:rPr>
        <w:t>平减指数</w:t>
      </w:r>
    </w:p>
    <w:p w14:paraId="0F9A92E2" w14:textId="77777777" w:rsidR="00FD029B" w:rsidRDefault="00FD029B" w:rsidP="00D91C75">
      <w:pPr>
        <w:ind w:firstLine="480"/>
      </w:pPr>
    </w:p>
    <w:p w14:paraId="0FFC1D37" w14:textId="77777777" w:rsidR="00FD029B" w:rsidRDefault="00FD029B" w:rsidP="00D91C75">
      <w:pPr>
        <w:ind w:firstLine="480"/>
      </w:pPr>
    </w:p>
    <w:p w14:paraId="0544CC21" w14:textId="049B7D6A" w:rsidR="003B2490" w:rsidRDefault="00411CDC" w:rsidP="003B2490">
      <w:pPr>
        <w:ind w:firstLine="480"/>
      </w:pPr>
      <w:r>
        <w:rPr>
          <w:rFonts w:hint="eastAsia"/>
        </w:rPr>
        <w:t>第二产业中，最重要的是工业，占比达到大约</w:t>
      </w:r>
      <w:r>
        <w:rPr>
          <w:rFonts w:hint="eastAsia"/>
        </w:rPr>
        <w:t>85%</w:t>
      </w:r>
      <w:r>
        <w:rPr>
          <w:rFonts w:hint="eastAsia"/>
        </w:rPr>
        <w:t>，剩下建筑业占比</w:t>
      </w:r>
      <w:r>
        <w:rPr>
          <w:rFonts w:hint="eastAsia"/>
        </w:rPr>
        <w:t>15%</w:t>
      </w:r>
      <w:r>
        <w:rPr>
          <w:rFonts w:hint="eastAsia"/>
        </w:rPr>
        <w:t>。工业包括：</w:t>
      </w:r>
      <w:r w:rsidRPr="00411CDC">
        <w:rPr>
          <w:rFonts w:hint="eastAsia"/>
        </w:rPr>
        <w:t>采矿业（不含开采辅助活动），制造业（不含金属制品、机械和设备修理业），电力、热力、燃气及水生产和供应业</w:t>
      </w:r>
      <w:r>
        <w:rPr>
          <w:rFonts w:hint="eastAsia"/>
        </w:rPr>
        <w:t>。</w:t>
      </w:r>
    </w:p>
    <w:p w14:paraId="5E7B61F1" w14:textId="2983C949" w:rsidR="00411CDC" w:rsidRDefault="001E35E6" w:rsidP="003B2490">
      <w:pPr>
        <w:ind w:firstLine="480"/>
      </w:pPr>
      <w:r>
        <w:rPr>
          <w:rFonts w:hint="eastAsia"/>
        </w:rPr>
        <w:t>统计局每个月会公布细分行业的</w:t>
      </w:r>
      <w:r w:rsidRPr="0031206F">
        <w:rPr>
          <w:rFonts w:hint="eastAsia"/>
          <w:b/>
          <w:bCs/>
        </w:rPr>
        <w:t>工业增加值</w:t>
      </w:r>
      <w:r>
        <w:rPr>
          <w:rFonts w:hint="eastAsia"/>
        </w:rPr>
        <w:t>的同比和环比数据，值得我们重点分析。</w:t>
      </w:r>
      <w:r w:rsidR="0031206F">
        <w:rPr>
          <w:rFonts w:hint="eastAsia"/>
        </w:rPr>
        <w:t>相比于工业</w:t>
      </w:r>
      <w:r w:rsidR="0031206F">
        <w:rPr>
          <w:rFonts w:hint="eastAsia"/>
        </w:rPr>
        <w:t>GDP</w:t>
      </w:r>
      <w:r w:rsidR="0031206F">
        <w:rPr>
          <w:rFonts w:hint="eastAsia"/>
        </w:rPr>
        <w:t>，工业增加值只统计了规模以上的工业企业。下一章，会专门分析这个指标。</w:t>
      </w:r>
    </w:p>
    <w:p w14:paraId="63D0679B" w14:textId="77777777" w:rsidR="005708A8" w:rsidRDefault="005738F5" w:rsidP="005738F5">
      <w:pPr>
        <w:ind w:firstLine="480"/>
      </w:pPr>
      <w:r>
        <w:t>In the secondary industry, the most important is industr</w:t>
      </w:r>
      <w:r w:rsidR="005708A8">
        <w:rPr>
          <w:rFonts w:hint="eastAsia"/>
        </w:rPr>
        <w:t>ial industry</w:t>
      </w:r>
      <w:r>
        <w:t>, accounting for about 85%, and the remaining construction industry accounts for 15%.</w:t>
      </w:r>
    </w:p>
    <w:p w14:paraId="303CD8A0" w14:textId="47CE043D" w:rsidR="003B2490" w:rsidRPr="0031206F" w:rsidRDefault="005708A8" w:rsidP="005738F5">
      <w:pPr>
        <w:ind w:firstLine="480"/>
      </w:pPr>
      <w:r>
        <w:rPr>
          <w:rFonts w:hint="eastAsia"/>
        </w:rPr>
        <w:t>NBS</w:t>
      </w:r>
      <w:r w:rsidR="005738F5">
        <w:t xml:space="preserve"> </w:t>
      </w:r>
      <w:r>
        <w:rPr>
          <w:rFonts w:hint="eastAsia"/>
        </w:rPr>
        <w:t>p</w:t>
      </w:r>
      <w:r w:rsidR="005738F5">
        <w:t>ublish</w:t>
      </w:r>
      <w:r>
        <w:rPr>
          <w:rFonts w:hint="eastAsia"/>
        </w:rPr>
        <w:t>es</w:t>
      </w:r>
      <w:r w:rsidR="005738F5">
        <w:t xml:space="preserve"> the year-on-year and month-on-month </w:t>
      </w:r>
      <w:r>
        <w:rPr>
          <w:rFonts w:hint="eastAsia"/>
        </w:rPr>
        <w:t>growth rate</w:t>
      </w:r>
      <w:r w:rsidR="005738F5">
        <w:t xml:space="preserve"> of industrial added value of subsectors every month. Compared with industrial GDP, industrial added value only counts industrial enterprises above designated size. The next chapter will focus on this metric.</w:t>
      </w:r>
      <w:r>
        <w:rPr>
          <w:rFonts w:hint="eastAsia"/>
        </w:rPr>
        <w:t xml:space="preserve"> </w:t>
      </w:r>
    </w:p>
    <w:p w14:paraId="5EBB1B96" w14:textId="0765C773" w:rsidR="003B2490" w:rsidRPr="009969ED" w:rsidRDefault="00FB5AA9" w:rsidP="003B2490">
      <w:pPr>
        <w:ind w:firstLine="480"/>
        <w:rPr>
          <w:highlight w:val="yellow"/>
        </w:rPr>
      </w:pPr>
      <w:r w:rsidRPr="009969ED">
        <w:rPr>
          <w:rFonts w:hint="eastAsia"/>
          <w:highlight w:val="yellow"/>
        </w:rPr>
        <w:t>图</w:t>
      </w:r>
      <w:r w:rsidR="00031C56">
        <w:rPr>
          <w:rFonts w:hint="eastAsia"/>
          <w:highlight w:val="yellow"/>
        </w:rPr>
        <w:t>7</w:t>
      </w:r>
      <w:r w:rsidRPr="009969ED">
        <w:rPr>
          <w:rFonts w:hint="eastAsia"/>
          <w:highlight w:val="yellow"/>
        </w:rPr>
        <w:t>：工业增加值同比和</w:t>
      </w:r>
      <w:r w:rsidRPr="009969ED">
        <w:rPr>
          <w:rFonts w:hint="eastAsia"/>
          <w:highlight w:val="yellow"/>
        </w:rPr>
        <w:t>GDP</w:t>
      </w:r>
      <w:r w:rsidRPr="009969ED">
        <w:rPr>
          <w:rFonts w:hint="eastAsia"/>
          <w:highlight w:val="yellow"/>
        </w:rPr>
        <w:t>工业同比</w:t>
      </w:r>
    </w:p>
    <w:p w14:paraId="36520D90" w14:textId="77777777" w:rsidR="0088598C" w:rsidRDefault="0088598C" w:rsidP="003B2490">
      <w:pPr>
        <w:ind w:firstLine="480"/>
      </w:pPr>
    </w:p>
    <w:p w14:paraId="7CDA3846" w14:textId="70248675" w:rsidR="0088598C" w:rsidRDefault="003976C9" w:rsidP="003B2490">
      <w:pPr>
        <w:ind w:firstLine="480"/>
      </w:pPr>
      <w:r>
        <w:rPr>
          <w:rFonts w:hint="eastAsia"/>
        </w:rPr>
        <w:t>第三产业包含的行业比较广泛，也缺乏类似工业增加值的指标。</w:t>
      </w:r>
    </w:p>
    <w:p w14:paraId="79BFFE4C" w14:textId="4B955D25" w:rsidR="003976C9" w:rsidRDefault="003976C9" w:rsidP="003B2490">
      <w:pPr>
        <w:ind w:firstLine="480"/>
      </w:pPr>
      <w:r>
        <w:rPr>
          <w:rFonts w:hint="eastAsia"/>
        </w:rPr>
        <w:t>统计局从</w:t>
      </w:r>
      <w:r>
        <w:rPr>
          <w:rFonts w:hint="eastAsia"/>
        </w:rPr>
        <w:t>2017</w:t>
      </w:r>
      <w:r>
        <w:rPr>
          <w:rFonts w:hint="eastAsia"/>
        </w:rPr>
        <w:t>年开始发布服务业生产指数同比，但是数据较短，且仅覆盖市场性活动。</w:t>
      </w:r>
    </w:p>
    <w:p w14:paraId="084FCB59" w14:textId="77777777" w:rsidR="00EE6300" w:rsidRDefault="00EE6300" w:rsidP="00EE6300">
      <w:pPr>
        <w:ind w:firstLine="480"/>
      </w:pPr>
      <w:r>
        <w:rPr>
          <w:rFonts w:hint="eastAsia"/>
        </w:rPr>
        <w:t>如果要判断第三产业</w:t>
      </w:r>
      <w:r>
        <w:rPr>
          <w:rFonts w:hint="eastAsia"/>
        </w:rPr>
        <w:t>GDP</w:t>
      </w:r>
      <w:r>
        <w:rPr>
          <w:rFonts w:hint="eastAsia"/>
        </w:rPr>
        <w:t>的走势，需要拆分到细分行业依次去判断，最后加总。</w:t>
      </w:r>
    </w:p>
    <w:p w14:paraId="53308AF5" w14:textId="77777777" w:rsidR="00EE6300" w:rsidRPr="00EE6300" w:rsidRDefault="00EE6300" w:rsidP="003B2490">
      <w:pPr>
        <w:ind w:firstLine="480"/>
      </w:pPr>
    </w:p>
    <w:p w14:paraId="78DFD369" w14:textId="43C49A4B" w:rsidR="003571BE" w:rsidRDefault="003571BE" w:rsidP="003571BE">
      <w:pPr>
        <w:ind w:firstLine="480"/>
      </w:pPr>
      <w:r>
        <w:t xml:space="preserve">The tertiary industry includes a wide range of industries, and </w:t>
      </w:r>
      <w:r>
        <w:rPr>
          <w:rFonts w:hint="eastAsia"/>
        </w:rPr>
        <w:t>there are no</w:t>
      </w:r>
      <w:r>
        <w:t xml:space="preserve"> indicators similar to industrial added value.</w:t>
      </w:r>
    </w:p>
    <w:p w14:paraId="2C3D7722" w14:textId="5BE85BB8" w:rsidR="003976C9" w:rsidRDefault="003571BE" w:rsidP="003571BE">
      <w:pPr>
        <w:ind w:firstLine="480"/>
      </w:pPr>
      <w:r>
        <w:rPr>
          <w:rFonts w:hint="eastAsia"/>
        </w:rPr>
        <w:t>NBS</w:t>
      </w:r>
      <w:r>
        <w:t xml:space="preserve"> began publishing the year-on-year </w:t>
      </w:r>
      <w:r>
        <w:rPr>
          <w:rFonts w:hint="eastAsia"/>
        </w:rPr>
        <w:t xml:space="preserve">growth rate of </w:t>
      </w:r>
      <w:r>
        <w:t xml:space="preserve">services production index </w:t>
      </w:r>
      <w:r>
        <w:rPr>
          <w:rFonts w:hint="eastAsia"/>
        </w:rPr>
        <w:t>since</w:t>
      </w:r>
      <w:r>
        <w:t xml:space="preserve"> 2017, but the data </w:t>
      </w:r>
      <w:r>
        <w:rPr>
          <w:rFonts w:hint="eastAsia"/>
        </w:rPr>
        <w:t xml:space="preserve">range </w:t>
      </w:r>
      <w:r>
        <w:t xml:space="preserve">is </w:t>
      </w:r>
      <w:r>
        <w:rPr>
          <w:rFonts w:hint="eastAsia"/>
        </w:rPr>
        <w:t xml:space="preserve">too </w:t>
      </w:r>
      <w:r>
        <w:t xml:space="preserve">short and </w:t>
      </w:r>
      <w:r>
        <w:rPr>
          <w:rFonts w:hint="eastAsia"/>
        </w:rPr>
        <w:t xml:space="preserve">only </w:t>
      </w:r>
      <w:r>
        <w:t>covers market-based activities.</w:t>
      </w:r>
    </w:p>
    <w:p w14:paraId="368AB2B7" w14:textId="18100A6A" w:rsidR="00EE6300" w:rsidRDefault="00EE6300" w:rsidP="003571BE">
      <w:pPr>
        <w:ind w:firstLine="480"/>
      </w:pPr>
      <w:r w:rsidRPr="00EE6300">
        <w:t xml:space="preserve">If we want to </w:t>
      </w:r>
      <w:r>
        <w:rPr>
          <w:rFonts w:hint="eastAsia"/>
        </w:rPr>
        <w:t>forecast</w:t>
      </w:r>
      <w:r w:rsidRPr="00EE6300">
        <w:t xml:space="preserve"> the trend</w:t>
      </w:r>
      <w:r>
        <w:rPr>
          <w:rFonts w:hint="eastAsia"/>
        </w:rPr>
        <w:t xml:space="preserve"> of </w:t>
      </w:r>
      <w:r w:rsidRPr="00EE6300">
        <w:t>tertiary industry</w:t>
      </w:r>
      <w:r>
        <w:rPr>
          <w:rFonts w:hint="eastAsia"/>
        </w:rPr>
        <w:t xml:space="preserve"> GDP</w:t>
      </w:r>
      <w:r w:rsidRPr="00EE6300">
        <w:t xml:space="preserve">, we need to split into sub-sectors to </w:t>
      </w:r>
      <w:r w:rsidR="000B038A">
        <w:rPr>
          <w:rFonts w:hint="eastAsia"/>
        </w:rPr>
        <w:t>forecast</w:t>
      </w:r>
      <w:r w:rsidR="000B038A" w:rsidRPr="00EE6300">
        <w:t xml:space="preserve"> </w:t>
      </w:r>
      <w:r w:rsidR="000B038A">
        <w:rPr>
          <w:rFonts w:hint="eastAsia"/>
        </w:rPr>
        <w:t xml:space="preserve">them </w:t>
      </w:r>
      <w:r w:rsidRPr="00EE6300">
        <w:t xml:space="preserve">in turn, and </w:t>
      </w:r>
      <w:r w:rsidR="008B470B">
        <w:rPr>
          <w:rFonts w:hint="eastAsia"/>
        </w:rPr>
        <w:t>then</w:t>
      </w:r>
      <w:r w:rsidRPr="00EE6300">
        <w:t xml:space="preserve"> add</w:t>
      </w:r>
      <w:r w:rsidR="008B470B">
        <w:rPr>
          <w:rFonts w:hint="eastAsia"/>
        </w:rPr>
        <w:t xml:space="preserve"> them</w:t>
      </w:r>
      <w:r w:rsidRPr="00EE6300">
        <w:t xml:space="preserve"> up.</w:t>
      </w:r>
    </w:p>
    <w:p w14:paraId="7C38ED47" w14:textId="66A130E3" w:rsidR="003976C9" w:rsidRPr="009969ED" w:rsidRDefault="003976C9" w:rsidP="003B2490">
      <w:pPr>
        <w:ind w:firstLine="480"/>
        <w:rPr>
          <w:highlight w:val="yellow"/>
        </w:rPr>
      </w:pPr>
      <w:r w:rsidRPr="009969ED">
        <w:rPr>
          <w:rFonts w:hint="eastAsia"/>
          <w:highlight w:val="yellow"/>
        </w:rPr>
        <w:t>图</w:t>
      </w:r>
      <w:r w:rsidR="00031C56">
        <w:rPr>
          <w:rFonts w:hint="eastAsia"/>
          <w:highlight w:val="yellow"/>
        </w:rPr>
        <w:t>8</w:t>
      </w:r>
      <w:r w:rsidRPr="009969ED">
        <w:rPr>
          <w:rFonts w:hint="eastAsia"/>
          <w:highlight w:val="yellow"/>
        </w:rPr>
        <w:t>：服务业生产指数同比</w:t>
      </w:r>
      <w:r w:rsidRPr="009969ED">
        <w:rPr>
          <w:rFonts w:hint="eastAsia"/>
          <w:highlight w:val="yellow"/>
        </w:rPr>
        <w:t>&amp;</w:t>
      </w:r>
      <w:r w:rsidRPr="009969ED">
        <w:rPr>
          <w:rFonts w:hint="eastAsia"/>
          <w:highlight w:val="yellow"/>
        </w:rPr>
        <w:t>第三产业</w:t>
      </w:r>
      <w:r w:rsidRPr="009969ED">
        <w:rPr>
          <w:rFonts w:hint="eastAsia"/>
          <w:highlight w:val="yellow"/>
        </w:rPr>
        <w:t>GDP</w:t>
      </w:r>
      <w:r w:rsidRPr="009969ED">
        <w:rPr>
          <w:rFonts w:hint="eastAsia"/>
          <w:highlight w:val="yellow"/>
        </w:rPr>
        <w:t>同比</w:t>
      </w:r>
    </w:p>
    <w:p w14:paraId="40534728" w14:textId="77777777" w:rsidR="003976C9" w:rsidRDefault="003976C9" w:rsidP="003B2490">
      <w:pPr>
        <w:ind w:firstLine="480"/>
      </w:pPr>
    </w:p>
    <w:p w14:paraId="6F888470" w14:textId="77777777" w:rsidR="00851534" w:rsidRDefault="00851534" w:rsidP="003B2490">
      <w:pPr>
        <w:ind w:firstLine="480"/>
      </w:pPr>
    </w:p>
    <w:p w14:paraId="6154C1FC" w14:textId="77777777" w:rsidR="003B2490" w:rsidRPr="003B2490" w:rsidRDefault="003B2490" w:rsidP="003B2490">
      <w:pPr>
        <w:ind w:firstLine="480"/>
      </w:pPr>
    </w:p>
    <w:p w14:paraId="362A9C21" w14:textId="77777777" w:rsidR="0079758B" w:rsidRDefault="0079758B" w:rsidP="00D91C75">
      <w:pPr>
        <w:ind w:firstLine="480"/>
      </w:pPr>
    </w:p>
    <w:p w14:paraId="73B3C536" w14:textId="26718EEA" w:rsidR="0079758B" w:rsidRDefault="0079758B" w:rsidP="0079758B">
      <w:pPr>
        <w:pStyle w:val="2"/>
        <w:rPr>
          <w:rFonts w:hint="eastAsia"/>
        </w:rPr>
      </w:pPr>
      <w:r>
        <w:rPr>
          <w:rFonts w:hint="eastAsia"/>
        </w:rPr>
        <w:lastRenderedPageBreak/>
        <w:t>支出法</w:t>
      </w:r>
    </w:p>
    <w:p w14:paraId="12C34186" w14:textId="77777777" w:rsidR="006A4B0A" w:rsidRDefault="0079758B" w:rsidP="00D91C75">
      <w:pPr>
        <w:ind w:firstLine="480"/>
      </w:pPr>
      <w:r>
        <w:rPr>
          <w:rFonts w:hint="eastAsia"/>
        </w:rPr>
        <w:t>支出法下，</w:t>
      </w:r>
      <w:r w:rsidR="006A4B0A">
        <w:rPr>
          <w:rFonts w:hint="eastAsia"/>
        </w:rPr>
        <w:t>GDP</w:t>
      </w:r>
      <w:r w:rsidR="006A4B0A">
        <w:rPr>
          <w:rFonts w:hint="eastAsia"/>
        </w:rPr>
        <w:t>被分为</w:t>
      </w:r>
      <w:r w:rsidR="006A4B0A">
        <w:rPr>
          <w:rFonts w:hint="eastAsia"/>
        </w:rPr>
        <w:t>3</w:t>
      </w:r>
      <w:r w:rsidR="006A4B0A">
        <w:rPr>
          <w:rFonts w:hint="eastAsia"/>
        </w:rPr>
        <w:t>个部分。</w:t>
      </w:r>
    </w:p>
    <w:p w14:paraId="2009E446" w14:textId="4E078D44" w:rsidR="0079758B" w:rsidRDefault="0079758B" w:rsidP="00D91C75">
      <w:pPr>
        <w:ind w:firstLine="480"/>
      </w:pPr>
      <w:r>
        <w:rPr>
          <w:rFonts w:hint="eastAsia"/>
        </w:rPr>
        <w:t>GDP=</w:t>
      </w:r>
      <w:r>
        <w:rPr>
          <w:rFonts w:hint="eastAsia"/>
        </w:rPr>
        <w:t>最终消费支出</w:t>
      </w:r>
      <w:r>
        <w:rPr>
          <w:rFonts w:hint="eastAsia"/>
        </w:rPr>
        <w:t>+</w:t>
      </w:r>
      <w:r>
        <w:rPr>
          <w:rFonts w:hint="eastAsia"/>
        </w:rPr>
        <w:t>资本形成总额</w:t>
      </w:r>
      <w:r>
        <w:rPr>
          <w:rFonts w:hint="eastAsia"/>
        </w:rPr>
        <w:t>+</w:t>
      </w:r>
      <w:r>
        <w:rPr>
          <w:rFonts w:hint="eastAsia"/>
        </w:rPr>
        <w:t>货物和服务净出口</w:t>
      </w:r>
      <w:r w:rsidR="006A4B0A">
        <w:rPr>
          <w:rFonts w:hint="eastAsia"/>
        </w:rPr>
        <w:t>。</w:t>
      </w:r>
    </w:p>
    <w:p w14:paraId="79C1F12D" w14:textId="3B2B2587" w:rsidR="0079758B" w:rsidRDefault="00005FD1" w:rsidP="00D91C75">
      <w:pPr>
        <w:ind w:firstLine="480"/>
      </w:pPr>
      <w:r>
        <w:rPr>
          <w:rFonts w:hint="eastAsia"/>
        </w:rPr>
        <w:t>目前看，消费对</w:t>
      </w:r>
      <w:r>
        <w:rPr>
          <w:rFonts w:hint="eastAsia"/>
        </w:rPr>
        <w:t>GDP</w:t>
      </w:r>
      <w:r>
        <w:rPr>
          <w:rFonts w:hint="eastAsia"/>
        </w:rPr>
        <w:t>增长的贡献最高，其次是投资和净出口。</w:t>
      </w:r>
    </w:p>
    <w:p w14:paraId="4681E19F" w14:textId="77777777" w:rsidR="00005FD1" w:rsidRDefault="00005FD1" w:rsidP="00D91C75">
      <w:pPr>
        <w:ind w:firstLine="480"/>
      </w:pPr>
    </w:p>
    <w:p w14:paraId="540F08A1" w14:textId="77777777" w:rsidR="001407EF" w:rsidRDefault="001407EF" w:rsidP="001407EF">
      <w:pPr>
        <w:ind w:firstLine="480"/>
      </w:pPr>
      <w:r>
        <w:t>Under the expenditure method, GDP is divided into three parts.</w:t>
      </w:r>
    </w:p>
    <w:p w14:paraId="5FCAF8BB" w14:textId="77777777" w:rsidR="001407EF" w:rsidRDefault="001407EF" w:rsidP="001407EF">
      <w:pPr>
        <w:ind w:firstLine="480"/>
      </w:pPr>
      <w:r>
        <w:t>GDP= final consumption expenditure + gross capital formation + net exports of goods and services.</w:t>
      </w:r>
    </w:p>
    <w:p w14:paraId="6C356F1D" w14:textId="43F44CBC" w:rsidR="001407EF" w:rsidRDefault="001407EF" w:rsidP="001407EF">
      <w:pPr>
        <w:ind w:firstLine="480"/>
      </w:pPr>
      <w:r>
        <w:t>At present, consumption contributes</w:t>
      </w:r>
      <w:r w:rsidR="00972923">
        <w:rPr>
          <w:rFonts w:hint="eastAsia"/>
        </w:rPr>
        <w:t xml:space="preserve"> most</w:t>
      </w:r>
      <w:r>
        <w:t xml:space="preserve"> </w:t>
      </w:r>
      <w:r w:rsidR="00972923">
        <w:rPr>
          <w:rFonts w:hint="eastAsia"/>
        </w:rPr>
        <w:t>t</w:t>
      </w:r>
      <w:r>
        <w:t xml:space="preserve">o GDP growth, </w:t>
      </w:r>
      <w:r w:rsidR="00972923">
        <w:rPr>
          <w:rFonts w:hint="eastAsia"/>
        </w:rPr>
        <w:t xml:space="preserve">the </w:t>
      </w:r>
      <w:r>
        <w:t>follow</w:t>
      </w:r>
      <w:r w:rsidR="00972923">
        <w:rPr>
          <w:rFonts w:hint="eastAsia"/>
        </w:rPr>
        <w:t>ing are</w:t>
      </w:r>
      <w:r>
        <w:t xml:space="preserve"> by investment and net exports.</w:t>
      </w:r>
      <w:r w:rsidR="0036049A">
        <w:rPr>
          <w:rFonts w:hint="eastAsia"/>
        </w:rPr>
        <w:t xml:space="preserve"> </w:t>
      </w:r>
    </w:p>
    <w:p w14:paraId="3A51074E" w14:textId="77777777" w:rsidR="001407EF" w:rsidRDefault="001407EF" w:rsidP="00D91C75">
      <w:pPr>
        <w:ind w:firstLine="480"/>
      </w:pPr>
    </w:p>
    <w:p w14:paraId="08CDE0FB" w14:textId="50DD5173" w:rsidR="00005FD1" w:rsidRPr="009969ED" w:rsidRDefault="00005FD1" w:rsidP="00D91C75">
      <w:pPr>
        <w:ind w:firstLine="480"/>
        <w:rPr>
          <w:highlight w:val="yellow"/>
        </w:rPr>
      </w:pPr>
      <w:r w:rsidRPr="009969ED">
        <w:rPr>
          <w:rFonts w:hint="eastAsia"/>
          <w:highlight w:val="yellow"/>
        </w:rPr>
        <w:t>图</w:t>
      </w:r>
      <w:r w:rsidR="00031C56">
        <w:rPr>
          <w:rFonts w:hint="eastAsia"/>
          <w:highlight w:val="yellow"/>
        </w:rPr>
        <w:t>9</w:t>
      </w:r>
      <w:r w:rsidRPr="009969ED">
        <w:rPr>
          <w:rFonts w:hint="eastAsia"/>
          <w:highlight w:val="yellow"/>
        </w:rPr>
        <w:t>：</w:t>
      </w:r>
      <w:r w:rsidRPr="009969ED">
        <w:rPr>
          <w:rFonts w:hint="eastAsia"/>
          <w:highlight w:val="yellow"/>
        </w:rPr>
        <w:t>GDP</w:t>
      </w:r>
      <w:r w:rsidRPr="009969ED">
        <w:rPr>
          <w:rFonts w:hint="eastAsia"/>
          <w:highlight w:val="yellow"/>
        </w:rPr>
        <w:t>贡献</w:t>
      </w:r>
    </w:p>
    <w:p w14:paraId="68D6D87F" w14:textId="77777777" w:rsidR="00005FD1" w:rsidRDefault="00005FD1" w:rsidP="00D91C75">
      <w:pPr>
        <w:ind w:firstLine="480"/>
      </w:pPr>
    </w:p>
    <w:p w14:paraId="4D22BAA1" w14:textId="6B6F2852" w:rsidR="00005FD1" w:rsidRDefault="00D62435" w:rsidP="00D91C75">
      <w:pPr>
        <w:ind w:firstLine="480"/>
      </w:pPr>
      <w:r>
        <w:rPr>
          <w:rFonts w:hint="eastAsia"/>
        </w:rPr>
        <w:t>我国反映消费的指标主要有三个：</w:t>
      </w:r>
      <w:r>
        <w:rPr>
          <w:rFonts w:hint="eastAsia"/>
        </w:rPr>
        <w:t>1</w:t>
      </w:r>
      <w:r>
        <w:rPr>
          <w:rFonts w:hint="eastAsia"/>
        </w:rPr>
        <w:t>、</w:t>
      </w:r>
      <w:r>
        <w:rPr>
          <w:rFonts w:hint="eastAsia"/>
        </w:rPr>
        <w:t>GDP</w:t>
      </w:r>
      <w:r>
        <w:rPr>
          <w:rFonts w:hint="eastAsia"/>
        </w:rPr>
        <w:t>中的最终消费支出，年度。</w:t>
      </w:r>
      <w:r>
        <w:rPr>
          <w:rFonts w:hint="eastAsia"/>
        </w:rPr>
        <w:t>2</w:t>
      </w:r>
      <w:r>
        <w:rPr>
          <w:rFonts w:hint="eastAsia"/>
        </w:rPr>
        <w:t>、住户调查中的居民消费支出，季度。</w:t>
      </w:r>
      <w:r>
        <w:rPr>
          <w:rFonts w:hint="eastAsia"/>
        </w:rPr>
        <w:t>3</w:t>
      </w:r>
      <w:r>
        <w:rPr>
          <w:rFonts w:hint="eastAsia"/>
        </w:rPr>
        <w:t>、社会消费品零售总额，月度。</w:t>
      </w:r>
    </w:p>
    <w:p w14:paraId="77788CD6" w14:textId="529CF6DA" w:rsidR="00EF273C" w:rsidRDefault="00EF273C" w:rsidP="00D91C75">
      <w:pPr>
        <w:ind w:firstLine="480"/>
      </w:pPr>
      <w:r>
        <w:rPr>
          <w:rFonts w:hint="eastAsia"/>
        </w:rPr>
        <w:t>住户调查的消费数据缺少了政府消费，一般不关注。</w:t>
      </w:r>
    </w:p>
    <w:p w14:paraId="052AE234" w14:textId="4E77C313" w:rsidR="00EF273C" w:rsidRDefault="00EF273C" w:rsidP="00D91C75">
      <w:pPr>
        <w:ind w:firstLine="480"/>
      </w:pPr>
      <w:r>
        <w:rPr>
          <w:rFonts w:hint="eastAsia"/>
        </w:rPr>
        <w:t>我们更加关注月度的社会消费品零售总额。</w:t>
      </w:r>
      <w:r w:rsidR="007B452F">
        <w:rPr>
          <w:rFonts w:hint="eastAsia"/>
        </w:rPr>
        <w:t>相比于</w:t>
      </w:r>
      <w:r w:rsidR="007B452F">
        <w:rPr>
          <w:rFonts w:hint="eastAsia"/>
        </w:rPr>
        <w:t>GDP</w:t>
      </w:r>
      <w:r w:rsidR="007B452F">
        <w:rPr>
          <w:rFonts w:hint="eastAsia"/>
        </w:rPr>
        <w:t>中的消费，二者区别在于：</w:t>
      </w:r>
      <w:r w:rsidR="007B452F">
        <w:rPr>
          <w:rFonts w:hint="eastAsia"/>
        </w:rPr>
        <w:t>1</w:t>
      </w:r>
      <w:r w:rsidR="007B452F">
        <w:rPr>
          <w:rFonts w:hint="eastAsia"/>
        </w:rPr>
        <w:t>、社会消费品零售总额只包括商品零售、餐饮服务，不包含教育、医疗等服务性消费，不包含自住房服务价值等虚拟消费支出。</w:t>
      </w:r>
      <w:r w:rsidR="007B452F">
        <w:rPr>
          <w:rFonts w:hint="eastAsia"/>
        </w:rPr>
        <w:t>2</w:t>
      </w:r>
      <w:r w:rsidR="007B452F">
        <w:rPr>
          <w:rFonts w:hint="eastAsia"/>
        </w:rPr>
        <w:t>、一些社会消费品零售总额的款项，可能被</w:t>
      </w:r>
      <w:r w:rsidR="007B452F">
        <w:rPr>
          <w:rFonts w:hint="eastAsia"/>
        </w:rPr>
        <w:t>GDP</w:t>
      </w:r>
      <w:r w:rsidR="007B452F">
        <w:rPr>
          <w:rFonts w:hint="eastAsia"/>
        </w:rPr>
        <w:t>计入投资，比如居民购买建筑材料。</w:t>
      </w:r>
    </w:p>
    <w:p w14:paraId="156CEB9E" w14:textId="526C5DFF" w:rsidR="00FD1F7D" w:rsidRDefault="00FD1F7D" w:rsidP="00D91C75">
      <w:pPr>
        <w:ind w:firstLine="480"/>
      </w:pPr>
      <w:r>
        <w:rPr>
          <w:rFonts w:hint="eastAsia"/>
        </w:rPr>
        <w:t>后续章节会重点讨论。</w:t>
      </w:r>
    </w:p>
    <w:p w14:paraId="390DC1EF" w14:textId="148F0030" w:rsidR="00750551" w:rsidRDefault="00750551" w:rsidP="00750551">
      <w:pPr>
        <w:ind w:firstLine="480"/>
      </w:pPr>
      <w:r>
        <w:t>There are three</w:t>
      </w:r>
      <w:r w:rsidR="00BC44AB">
        <w:rPr>
          <w:rFonts w:hint="eastAsia"/>
        </w:rPr>
        <w:t xml:space="preserve"> </w:t>
      </w:r>
      <w:r>
        <w:t xml:space="preserve">indicators </w:t>
      </w:r>
      <w:r w:rsidR="00BC44AB">
        <w:rPr>
          <w:rFonts w:hint="eastAsia"/>
        </w:rPr>
        <w:t>about</w:t>
      </w:r>
      <w:r>
        <w:t xml:space="preserve"> consumption in China: 1. Final consumption expenditure in GDP, annual</w:t>
      </w:r>
      <w:r w:rsidR="007C64D5">
        <w:rPr>
          <w:rFonts w:hint="eastAsia"/>
        </w:rPr>
        <w:t>ly</w:t>
      </w:r>
      <w:r>
        <w:t>. 2. Household Consumption expenditure in household survey, quarterly. 3. Total retail sales of consumer goods, monthly.</w:t>
      </w:r>
    </w:p>
    <w:p w14:paraId="5FD5AF63" w14:textId="2F5981C6" w:rsidR="00750551" w:rsidRDefault="00750551" w:rsidP="00750551">
      <w:pPr>
        <w:ind w:firstLine="480"/>
      </w:pPr>
      <w:r>
        <w:t xml:space="preserve">The household survey's consumption data lacks government consumption, </w:t>
      </w:r>
      <w:r w:rsidR="007C64D5">
        <w:rPr>
          <w:rFonts w:hint="eastAsia"/>
        </w:rPr>
        <w:t>so we usually don</w:t>
      </w:r>
      <w:r w:rsidR="007C64D5">
        <w:t>’</w:t>
      </w:r>
      <w:r w:rsidR="007C64D5">
        <w:rPr>
          <w:rFonts w:hint="eastAsia"/>
        </w:rPr>
        <w:t>t care about it</w:t>
      </w:r>
      <w:r>
        <w:t>.</w:t>
      </w:r>
    </w:p>
    <w:p w14:paraId="23B64055" w14:textId="5E69F028" w:rsidR="00750551" w:rsidRDefault="00750551" w:rsidP="00750551">
      <w:pPr>
        <w:ind w:firstLine="480"/>
      </w:pPr>
      <w:r>
        <w:t xml:space="preserve">We pay more attention to the monthly total retail sales of consumer goods. Compared </w:t>
      </w:r>
      <w:r w:rsidR="006D6EB9">
        <w:rPr>
          <w:rFonts w:hint="eastAsia"/>
        </w:rPr>
        <w:t>to</w:t>
      </w:r>
      <w:r>
        <w:t xml:space="preserve"> consumption in GDP, the differences are as follows: 1. Total retail sales of social consumer goods only include retail sales of goods and catering services, excluding service consumption such as education and medical care, and virtual consumption expenditure such as the value of self-housing services. 2</w:t>
      </w:r>
      <w:r w:rsidR="00657729">
        <w:rPr>
          <w:rFonts w:hint="eastAsia"/>
        </w:rPr>
        <w:t>.</w:t>
      </w:r>
      <w:r>
        <w:t xml:space="preserve"> some of the total retail sales of social consumer goods may be included in GDP investment, such </w:t>
      </w:r>
      <w:r>
        <w:lastRenderedPageBreak/>
        <w:t>as the purchase of construction materials by residents.</w:t>
      </w:r>
    </w:p>
    <w:p w14:paraId="6D462474" w14:textId="21CECEC7" w:rsidR="00750551" w:rsidRDefault="00750551" w:rsidP="00750551">
      <w:pPr>
        <w:ind w:firstLine="480"/>
      </w:pPr>
      <w:r>
        <w:t>The following chapters will focus on the discussion.</w:t>
      </w:r>
    </w:p>
    <w:p w14:paraId="479E7753" w14:textId="77777777" w:rsidR="007B452F" w:rsidRDefault="007B452F" w:rsidP="00D91C75">
      <w:pPr>
        <w:ind w:firstLine="480"/>
      </w:pPr>
    </w:p>
    <w:p w14:paraId="385EE059" w14:textId="4025FD86" w:rsidR="007B452F" w:rsidRPr="009969ED" w:rsidRDefault="007B452F" w:rsidP="00D91C75">
      <w:pPr>
        <w:ind w:firstLine="480"/>
        <w:rPr>
          <w:highlight w:val="yellow"/>
        </w:rPr>
      </w:pPr>
      <w:r w:rsidRPr="009969ED">
        <w:rPr>
          <w:rFonts w:hint="eastAsia"/>
          <w:highlight w:val="yellow"/>
        </w:rPr>
        <w:t>图</w:t>
      </w:r>
      <w:r w:rsidR="00031C56">
        <w:rPr>
          <w:rFonts w:hint="eastAsia"/>
          <w:highlight w:val="yellow"/>
        </w:rPr>
        <w:t>10</w:t>
      </w:r>
      <w:r w:rsidRPr="009969ED">
        <w:rPr>
          <w:rFonts w:hint="eastAsia"/>
          <w:highlight w:val="yellow"/>
        </w:rPr>
        <w:t>：</w:t>
      </w:r>
      <w:r w:rsidRPr="009969ED">
        <w:rPr>
          <w:rFonts w:hint="eastAsia"/>
          <w:highlight w:val="yellow"/>
        </w:rPr>
        <w:t>GDP</w:t>
      </w:r>
      <w:r w:rsidRPr="009969ED">
        <w:rPr>
          <w:rFonts w:hint="eastAsia"/>
          <w:highlight w:val="yellow"/>
        </w:rPr>
        <w:t>消费同比</w:t>
      </w:r>
      <w:r w:rsidRPr="009969ED">
        <w:rPr>
          <w:rFonts w:hint="eastAsia"/>
          <w:highlight w:val="yellow"/>
        </w:rPr>
        <w:t>&amp;</w:t>
      </w:r>
      <w:r w:rsidRPr="009969ED">
        <w:rPr>
          <w:rFonts w:hint="eastAsia"/>
          <w:highlight w:val="yellow"/>
        </w:rPr>
        <w:t>社会消费品零售总额同比</w:t>
      </w:r>
    </w:p>
    <w:p w14:paraId="109A893B" w14:textId="77777777" w:rsidR="00BC5DF6" w:rsidRDefault="00BC5DF6" w:rsidP="00D91C75">
      <w:pPr>
        <w:ind w:firstLine="480"/>
      </w:pPr>
    </w:p>
    <w:p w14:paraId="7B417797" w14:textId="521B5C0C" w:rsidR="00BC5DF6" w:rsidRDefault="00BC5DF6" w:rsidP="00D91C75">
      <w:pPr>
        <w:ind w:firstLine="480"/>
      </w:pPr>
      <w:r>
        <w:rPr>
          <w:rFonts w:hint="eastAsia"/>
        </w:rPr>
        <w:t>GDP</w:t>
      </w:r>
      <w:r>
        <w:rPr>
          <w:rFonts w:hint="eastAsia"/>
        </w:rPr>
        <w:t>的资本形成总额，分为固定资本形成总额和存货增加，前者占比超过</w:t>
      </w:r>
      <w:r>
        <w:rPr>
          <w:rFonts w:hint="eastAsia"/>
        </w:rPr>
        <w:t>95%</w:t>
      </w:r>
      <w:r w:rsidR="00AD67CA">
        <w:rPr>
          <w:rFonts w:hint="eastAsia"/>
        </w:rPr>
        <w:t>，所以一般关注前者。</w:t>
      </w:r>
    </w:p>
    <w:p w14:paraId="6B5C9194" w14:textId="392BAE07" w:rsidR="00FD029B" w:rsidRDefault="00174D58" w:rsidP="00D91C75">
      <w:pPr>
        <w:ind w:firstLine="480"/>
      </w:pPr>
      <w:r>
        <w:rPr>
          <w:rFonts w:hint="eastAsia"/>
        </w:rPr>
        <w:t>统计局会每个月会公布固定资产投资完成额，相比于</w:t>
      </w:r>
      <w:r>
        <w:rPr>
          <w:rFonts w:hint="eastAsia"/>
        </w:rPr>
        <w:t>GDP</w:t>
      </w:r>
      <w:r>
        <w:rPr>
          <w:rFonts w:hint="eastAsia"/>
        </w:rPr>
        <w:t>中的固定资本形成总额，二者差别在于：</w:t>
      </w:r>
      <w:r w:rsidR="0068556A">
        <w:rPr>
          <w:rFonts w:hint="eastAsia"/>
        </w:rPr>
        <w:t>1</w:t>
      </w:r>
      <w:r w:rsidR="0068556A">
        <w:rPr>
          <w:rFonts w:hint="eastAsia"/>
        </w:rPr>
        <w:t>、固定资产投资完成额只统计</w:t>
      </w:r>
      <w:r w:rsidR="0068556A">
        <w:rPr>
          <w:rFonts w:hint="eastAsia"/>
        </w:rPr>
        <w:t>500</w:t>
      </w:r>
      <w:r w:rsidR="0068556A">
        <w:rPr>
          <w:rFonts w:hint="eastAsia"/>
        </w:rPr>
        <w:t>万元及以上的非农户项目，而固定资本形成总额没有统计门槛。固定资产投资完成额还包括了土地购置费、旧建筑购置费等土地相关投资，但后者剔除了。</w:t>
      </w:r>
      <w:r w:rsidR="0068556A">
        <w:rPr>
          <w:rFonts w:hint="eastAsia"/>
        </w:rPr>
        <w:t>2</w:t>
      </w:r>
      <w:r w:rsidR="0068556A">
        <w:rPr>
          <w:rFonts w:hint="eastAsia"/>
        </w:rPr>
        <w:t>、后者包括了知识产权等无形资产，而前者不包括。</w:t>
      </w:r>
    </w:p>
    <w:p w14:paraId="495B238A" w14:textId="4AF8BBE8" w:rsidR="00127B32" w:rsidRDefault="00127B32" w:rsidP="00127B32">
      <w:pPr>
        <w:ind w:firstLine="480"/>
        <w:rPr>
          <w:rFonts w:hint="eastAsia"/>
        </w:rPr>
      </w:pPr>
      <w:r>
        <w:rPr>
          <w:rFonts w:hint="eastAsia"/>
        </w:rPr>
        <w:t>C</w:t>
      </w:r>
      <w:r>
        <w:t xml:space="preserve">apital formation of GDP is divided into gross fixed capital formation and inventory increase, the former accounts for more than 95%, so </w:t>
      </w:r>
      <w:r>
        <w:rPr>
          <w:rFonts w:hint="eastAsia"/>
        </w:rPr>
        <w:t xml:space="preserve">we usually </w:t>
      </w:r>
      <w:r>
        <w:t>pay attention to the former.</w:t>
      </w:r>
      <w:r>
        <w:rPr>
          <w:rFonts w:hint="eastAsia"/>
        </w:rPr>
        <w:t xml:space="preserve"> </w:t>
      </w:r>
    </w:p>
    <w:p w14:paraId="150AF39E" w14:textId="7D4B3424" w:rsidR="001F5347" w:rsidRPr="00127B32" w:rsidRDefault="001A1B56" w:rsidP="00127B32">
      <w:pPr>
        <w:ind w:firstLine="480"/>
      </w:pPr>
      <w:r>
        <w:rPr>
          <w:rFonts w:hint="eastAsia"/>
        </w:rPr>
        <w:t>NBS</w:t>
      </w:r>
      <w:r w:rsidR="00127B32">
        <w:t xml:space="preserve"> will announce the completed amount of fixed asset investment every month. Compared </w:t>
      </w:r>
      <w:r w:rsidR="00737A4A">
        <w:rPr>
          <w:rFonts w:hint="eastAsia"/>
        </w:rPr>
        <w:t xml:space="preserve">to </w:t>
      </w:r>
      <w:r w:rsidR="00127B32">
        <w:t>capital formation in GDP, the differences</w:t>
      </w:r>
      <w:r w:rsidR="00555B91">
        <w:rPr>
          <w:rFonts w:hint="eastAsia"/>
        </w:rPr>
        <w:t xml:space="preserve"> are</w:t>
      </w:r>
      <w:r w:rsidR="00127B32">
        <w:t xml:space="preserve"> as follows: 1. The completed amount of fixed asset investment only counts non-rural household projects </w:t>
      </w:r>
      <w:r w:rsidR="007952D1">
        <w:rPr>
          <w:rFonts w:hint="eastAsia"/>
        </w:rPr>
        <w:t>valued larger than</w:t>
      </w:r>
      <w:r w:rsidR="00127B32">
        <w:t xml:space="preserve"> 5 million yuan, while the total amount of fixed capital formation has no statistical threshold. The completed amount of fixed asset investment also includes land-related investment such as land purchase fee and old building purchase fee, but the latter </w:t>
      </w:r>
      <w:r w:rsidR="007952D1">
        <w:t>doesn’t’</w:t>
      </w:r>
      <w:r w:rsidR="007952D1">
        <w:rPr>
          <w:rFonts w:hint="eastAsia"/>
        </w:rPr>
        <w:t xml:space="preserve"> include</w:t>
      </w:r>
      <w:r w:rsidR="00127B32">
        <w:t>. 2. The latter includes intangible assets such as intellectual property, while the former does not.</w:t>
      </w:r>
    </w:p>
    <w:p w14:paraId="7FD57FAF" w14:textId="06A5F3E1" w:rsidR="00FD029B" w:rsidRPr="009969ED" w:rsidRDefault="008E24BE" w:rsidP="00D91C75">
      <w:pPr>
        <w:ind w:firstLine="480"/>
        <w:rPr>
          <w:highlight w:val="yellow"/>
        </w:rPr>
      </w:pPr>
      <w:r w:rsidRPr="009969ED">
        <w:rPr>
          <w:rFonts w:hint="eastAsia"/>
          <w:highlight w:val="yellow"/>
        </w:rPr>
        <w:t>图</w:t>
      </w:r>
      <w:r w:rsidR="00031C56">
        <w:rPr>
          <w:rFonts w:hint="eastAsia"/>
          <w:highlight w:val="yellow"/>
        </w:rPr>
        <w:t>11</w:t>
      </w:r>
      <w:r w:rsidRPr="009969ED">
        <w:rPr>
          <w:rFonts w:hint="eastAsia"/>
          <w:highlight w:val="yellow"/>
        </w:rPr>
        <w:t>：</w:t>
      </w:r>
    </w:p>
    <w:p w14:paraId="1A41670C" w14:textId="77777777" w:rsidR="008E24BE" w:rsidRDefault="008E24BE" w:rsidP="00D91C75">
      <w:pPr>
        <w:ind w:firstLine="480"/>
      </w:pPr>
    </w:p>
    <w:p w14:paraId="564DFE4D" w14:textId="2B412B05" w:rsidR="008E24BE" w:rsidRPr="008E24BE" w:rsidRDefault="008E24BE" w:rsidP="00D91C75">
      <w:pPr>
        <w:ind w:firstLine="480"/>
      </w:pPr>
      <w:r>
        <w:rPr>
          <w:rFonts w:hint="eastAsia"/>
        </w:rPr>
        <w:t>2017</w:t>
      </w:r>
      <w:r>
        <w:rPr>
          <w:rFonts w:hint="eastAsia"/>
        </w:rPr>
        <w:t>年之后，</w:t>
      </w:r>
      <w:r>
        <w:rPr>
          <w:rFonts w:hint="eastAsia"/>
        </w:rPr>
        <w:t>GDP</w:t>
      </w:r>
      <w:r>
        <w:rPr>
          <w:rFonts w:hint="eastAsia"/>
        </w:rPr>
        <w:t>固定资本形成总额纳入了更多无形资产，可能是出现了背离的原因。</w:t>
      </w:r>
    </w:p>
    <w:p w14:paraId="6E7A1D40" w14:textId="77777777" w:rsidR="00FD1F7D" w:rsidRDefault="00FD1F7D" w:rsidP="00FD1F7D">
      <w:pPr>
        <w:ind w:firstLine="480"/>
      </w:pPr>
      <w:r>
        <w:rPr>
          <w:rFonts w:hint="eastAsia"/>
        </w:rPr>
        <w:t>后续章节会重点讨论。</w:t>
      </w:r>
    </w:p>
    <w:p w14:paraId="1E112D34" w14:textId="40FA5D28" w:rsidR="00305378" w:rsidRDefault="00305378" w:rsidP="00305378">
      <w:pPr>
        <w:ind w:firstLine="480"/>
      </w:pPr>
      <w:r>
        <w:t>After 2017, GDP gross fixed capital formation included more intangible assets</w:t>
      </w:r>
      <w:r w:rsidR="003675D3">
        <w:rPr>
          <w:rFonts w:hint="eastAsia"/>
        </w:rPr>
        <w:t xml:space="preserve"> than before</w:t>
      </w:r>
      <w:r>
        <w:t>, which may be the reason for the divergence.</w:t>
      </w:r>
    </w:p>
    <w:p w14:paraId="021F1873" w14:textId="13FFE5C1" w:rsidR="00305378" w:rsidRDefault="00305378" w:rsidP="00305378">
      <w:pPr>
        <w:ind w:firstLine="480"/>
      </w:pPr>
      <w:r>
        <w:t>The following chapters will focus on the discussion.</w:t>
      </w:r>
    </w:p>
    <w:p w14:paraId="25A676B0" w14:textId="77777777" w:rsidR="00305378" w:rsidRDefault="00305378" w:rsidP="00305378">
      <w:pPr>
        <w:ind w:firstLine="480"/>
        <w:rPr>
          <w:rFonts w:hint="eastAsia"/>
        </w:rPr>
      </w:pPr>
    </w:p>
    <w:p w14:paraId="093B705B" w14:textId="77777777" w:rsidR="00FD029B" w:rsidRDefault="00FD029B" w:rsidP="00D91C75">
      <w:pPr>
        <w:ind w:firstLine="480"/>
      </w:pPr>
    </w:p>
    <w:p w14:paraId="014445A8" w14:textId="4CD23A01" w:rsidR="00A150A2" w:rsidRDefault="00A150A2" w:rsidP="00D91C75">
      <w:pPr>
        <w:ind w:firstLine="480"/>
      </w:pPr>
      <w:r>
        <w:rPr>
          <w:rFonts w:hint="eastAsia"/>
        </w:rPr>
        <w:t>进出口方面，我们关心两个指标：</w:t>
      </w:r>
      <w:r>
        <w:rPr>
          <w:rFonts w:hint="eastAsia"/>
        </w:rPr>
        <w:t>1</w:t>
      </w:r>
      <w:r>
        <w:rPr>
          <w:rFonts w:hint="eastAsia"/>
        </w:rPr>
        <w:t>、海关统计的月度进出口贸易差额。</w:t>
      </w:r>
      <w:r>
        <w:rPr>
          <w:rFonts w:hint="eastAsia"/>
        </w:rPr>
        <w:t>2</w:t>
      </w:r>
      <w:r>
        <w:rPr>
          <w:rFonts w:hint="eastAsia"/>
        </w:rPr>
        <w:t>、外管局发布的国际货物和服务贸易进出口月度数据。</w:t>
      </w:r>
    </w:p>
    <w:p w14:paraId="56125636" w14:textId="1A965029" w:rsidR="00A150A2" w:rsidRDefault="00A150A2" w:rsidP="00D91C75">
      <w:pPr>
        <w:ind w:firstLine="480"/>
      </w:pPr>
      <w:r>
        <w:rPr>
          <w:rFonts w:hint="eastAsia"/>
        </w:rPr>
        <w:t>相比于</w:t>
      </w:r>
      <w:r>
        <w:rPr>
          <w:rFonts w:hint="eastAsia"/>
        </w:rPr>
        <w:t>GDP</w:t>
      </w:r>
      <w:r>
        <w:rPr>
          <w:rFonts w:hint="eastAsia"/>
        </w:rPr>
        <w:t>的净出口，月度进出口贸易差额只统计货物贸易，不包含服务贸易，并且按照到岸价计算价格，而</w:t>
      </w:r>
      <w:r>
        <w:rPr>
          <w:rFonts w:hint="eastAsia"/>
        </w:rPr>
        <w:t>GDP</w:t>
      </w:r>
      <w:r>
        <w:rPr>
          <w:rFonts w:hint="eastAsia"/>
        </w:rPr>
        <w:t>按照离岸价计算。</w:t>
      </w:r>
    </w:p>
    <w:p w14:paraId="491AB386" w14:textId="0FFAEE4F" w:rsidR="00A150A2" w:rsidRDefault="00970B68" w:rsidP="00D91C75">
      <w:pPr>
        <w:ind w:firstLine="480"/>
      </w:pPr>
      <w:r>
        <w:rPr>
          <w:rFonts w:hint="eastAsia"/>
        </w:rPr>
        <w:t>国际货物和服务贸易进出口月度数据，包含了货物和服务贸易，但是一般在月底公布，时效性略差。</w:t>
      </w:r>
    </w:p>
    <w:p w14:paraId="76995700" w14:textId="620EEDB9" w:rsidR="00970B68" w:rsidRDefault="00970B68" w:rsidP="00D91C75">
      <w:pPr>
        <w:ind w:firstLine="480"/>
      </w:pPr>
      <w:r>
        <w:rPr>
          <w:rFonts w:hint="eastAsia"/>
        </w:rPr>
        <w:t>相比于进口，我们一般更加关注出口，它反映了海外需求。</w:t>
      </w:r>
    </w:p>
    <w:p w14:paraId="126E4B73" w14:textId="77777777" w:rsidR="003675D3" w:rsidRDefault="003675D3" w:rsidP="003675D3">
      <w:pPr>
        <w:ind w:firstLine="480"/>
      </w:pPr>
      <w:r>
        <w:t>In terms of import and export, we are concerned about two indicators: 1. The monthly balance of import and export trade according to customs statistics. 2. Monthly data on imports and exports of international trade in goods and services released by SAFE.</w:t>
      </w:r>
    </w:p>
    <w:p w14:paraId="2C513692" w14:textId="77777777" w:rsidR="003675D3" w:rsidRDefault="003675D3" w:rsidP="003675D3">
      <w:pPr>
        <w:ind w:firstLine="480"/>
      </w:pPr>
      <w:r>
        <w:t>Compared with net exports of GDP, the monthly balance of import and export trade only counts trade in goods, excluding trade in services, and calculates prices on CIF basis, while GDP is calculated on FOB basis.</w:t>
      </w:r>
    </w:p>
    <w:p w14:paraId="42A756EE" w14:textId="3DA6D29B" w:rsidR="003675D3" w:rsidRDefault="003675D3" w:rsidP="003675D3">
      <w:pPr>
        <w:ind w:firstLine="480"/>
      </w:pPr>
      <w:r>
        <w:t xml:space="preserve">International trade in goods and services monthly data, including trade in goods and services, but </w:t>
      </w:r>
      <w:r w:rsidR="007C148C">
        <w:rPr>
          <w:rFonts w:hint="eastAsia"/>
        </w:rPr>
        <w:t>usually</w:t>
      </w:r>
      <w:r>
        <w:t xml:space="preserve"> published at the end of the month, </w:t>
      </w:r>
      <w:r w:rsidR="007C148C">
        <w:rPr>
          <w:rFonts w:hint="eastAsia"/>
        </w:rPr>
        <w:t>which is not timely</w:t>
      </w:r>
      <w:r>
        <w:t>.</w:t>
      </w:r>
    </w:p>
    <w:p w14:paraId="562C4490" w14:textId="3EF9B41A" w:rsidR="00970B68" w:rsidRDefault="003675D3" w:rsidP="003675D3">
      <w:pPr>
        <w:ind w:firstLine="480"/>
      </w:pPr>
      <w:r>
        <w:t xml:space="preserve">We </w:t>
      </w:r>
      <w:r w:rsidR="003B666D">
        <w:rPr>
          <w:rFonts w:hint="eastAsia"/>
        </w:rPr>
        <w:t>p</w:t>
      </w:r>
      <w:r>
        <w:t xml:space="preserve">ay more attention to exports </w:t>
      </w:r>
      <w:r w:rsidR="003B666D">
        <w:rPr>
          <w:rFonts w:hint="eastAsia"/>
        </w:rPr>
        <w:t xml:space="preserve">rather </w:t>
      </w:r>
      <w:r>
        <w:t xml:space="preserve">than imports, which </w:t>
      </w:r>
      <w:r w:rsidR="00A62B37">
        <w:rPr>
          <w:rFonts w:hint="eastAsia"/>
        </w:rPr>
        <w:t>indicates</w:t>
      </w:r>
      <w:r>
        <w:t xml:space="preserve"> overseas demand.</w:t>
      </w:r>
    </w:p>
    <w:p w14:paraId="03ADF3CD" w14:textId="77777777" w:rsidR="00A150A2" w:rsidRPr="00A62B37" w:rsidRDefault="00A150A2" w:rsidP="00D91C75">
      <w:pPr>
        <w:ind w:firstLine="480"/>
      </w:pPr>
    </w:p>
    <w:p w14:paraId="344A08F7" w14:textId="77777777" w:rsidR="006A4B0A" w:rsidRDefault="006A4B0A" w:rsidP="00D91C75">
      <w:pPr>
        <w:ind w:firstLine="480"/>
      </w:pPr>
    </w:p>
    <w:p w14:paraId="07CC4CA7" w14:textId="445FBF37" w:rsidR="006A4B0A" w:rsidRPr="006A4B0A" w:rsidRDefault="0060789F" w:rsidP="00DA5BAD">
      <w:pPr>
        <w:pStyle w:val="2"/>
        <w:rPr>
          <w:rFonts w:hint="eastAsia"/>
        </w:rPr>
      </w:pPr>
      <w:r>
        <w:rPr>
          <w:rFonts w:hint="eastAsia"/>
        </w:rPr>
        <w:t>GDP</w:t>
      </w:r>
      <w:r>
        <w:rPr>
          <w:rFonts w:hint="eastAsia"/>
        </w:rPr>
        <w:t>的修订</w:t>
      </w:r>
    </w:p>
    <w:p w14:paraId="75BB1D25" w14:textId="77777777" w:rsidR="0079758B" w:rsidRDefault="0079758B" w:rsidP="00D91C75">
      <w:pPr>
        <w:ind w:firstLine="480"/>
      </w:pPr>
    </w:p>
    <w:p w14:paraId="18970D45" w14:textId="77777777" w:rsidR="0026448D" w:rsidRDefault="0026448D" w:rsidP="00D91C75">
      <w:pPr>
        <w:ind w:firstLine="480"/>
      </w:pPr>
    </w:p>
    <w:p w14:paraId="679575FB" w14:textId="77777777" w:rsidR="0026448D" w:rsidRDefault="0026448D" w:rsidP="00D91C75">
      <w:pPr>
        <w:ind w:firstLine="480"/>
      </w:pPr>
    </w:p>
    <w:p w14:paraId="7350729F" w14:textId="77777777" w:rsidR="0026448D" w:rsidRDefault="0026448D" w:rsidP="00D91C75">
      <w:pPr>
        <w:ind w:firstLine="480"/>
        <w:rPr>
          <w:rFonts w:hint="eastAsia"/>
        </w:rPr>
      </w:pPr>
    </w:p>
    <w:p w14:paraId="73E9C66D" w14:textId="77777777" w:rsidR="00DA5BAD" w:rsidRDefault="00DA5BAD" w:rsidP="00D91C75">
      <w:pPr>
        <w:ind w:firstLine="480"/>
      </w:pPr>
    </w:p>
    <w:p w14:paraId="40F8C664" w14:textId="79AB1905" w:rsidR="00557C3A" w:rsidRDefault="00440CCA" w:rsidP="0060789F">
      <w:pPr>
        <w:pStyle w:val="2"/>
        <w:rPr>
          <w:rFonts w:hint="eastAsia"/>
        </w:rPr>
      </w:pPr>
      <w:r>
        <w:rPr>
          <w:rFonts w:hint="eastAsia"/>
        </w:rPr>
        <w:t>参考资料</w:t>
      </w:r>
    </w:p>
    <w:p w14:paraId="60737C95" w14:textId="71B53013" w:rsidR="00440CCA" w:rsidRDefault="00440CCA" w:rsidP="00D91C75">
      <w:pPr>
        <w:ind w:firstLine="480"/>
      </w:pPr>
      <w:r>
        <w:rPr>
          <w:rFonts w:hint="eastAsia"/>
        </w:rPr>
        <w:t>国家统计局：</w:t>
      </w:r>
      <w:hyperlink r:id="rId6" w:history="1">
        <w:r w:rsidRPr="005A0C61">
          <w:rPr>
            <w:rStyle w:val="a4"/>
            <w:rFonts w:hint="eastAsia"/>
          </w:rPr>
          <w:t>https://www.stats.gov.cn/sj/zbjs/202302/t20230202_1897108.html</w:t>
        </w:r>
      </w:hyperlink>
    </w:p>
    <w:p w14:paraId="5D6AE189" w14:textId="77777777" w:rsidR="00440CCA" w:rsidRPr="00440CCA" w:rsidRDefault="00440CCA" w:rsidP="00D91C75">
      <w:pPr>
        <w:ind w:firstLine="480"/>
      </w:pPr>
    </w:p>
    <w:p w14:paraId="7E9AAA19" w14:textId="77777777" w:rsidR="00557C3A" w:rsidRDefault="00557C3A" w:rsidP="00D91C75">
      <w:pPr>
        <w:ind w:firstLine="480"/>
      </w:pPr>
    </w:p>
    <w:p w14:paraId="59A69D32" w14:textId="77777777" w:rsidR="00557C3A" w:rsidRDefault="00557C3A" w:rsidP="00D91C75">
      <w:pPr>
        <w:ind w:firstLine="480"/>
      </w:pPr>
    </w:p>
    <w:p w14:paraId="01D3372A" w14:textId="77777777" w:rsidR="00557C3A" w:rsidRDefault="00557C3A" w:rsidP="00D91C75">
      <w:pPr>
        <w:ind w:firstLine="480"/>
      </w:pPr>
    </w:p>
    <w:p w14:paraId="02D4E48E" w14:textId="77777777" w:rsidR="00001FF2" w:rsidRDefault="00001FF2" w:rsidP="00D91C75">
      <w:pPr>
        <w:ind w:firstLine="480"/>
      </w:pPr>
    </w:p>
    <w:p w14:paraId="05914E8E" w14:textId="0E268844" w:rsidR="00001FF2" w:rsidRDefault="00001FF2" w:rsidP="00266B46">
      <w:pPr>
        <w:pStyle w:val="1"/>
      </w:pPr>
      <w:r>
        <w:rPr>
          <w:rFonts w:hint="eastAsia"/>
        </w:rPr>
        <w:t xml:space="preserve">4. </w:t>
      </w:r>
      <w:r>
        <w:rPr>
          <w:rFonts w:hint="eastAsia"/>
        </w:rPr>
        <w:t>固定资产投资</w:t>
      </w:r>
    </w:p>
    <w:p w14:paraId="3A9A48ED" w14:textId="7E4DE25A" w:rsidR="006D69F7" w:rsidRDefault="006D69F7" w:rsidP="006D69F7">
      <w:pPr>
        <w:pStyle w:val="2"/>
        <w:rPr>
          <w:rFonts w:hint="eastAsia"/>
        </w:rPr>
      </w:pPr>
      <w:r>
        <w:rPr>
          <w:rFonts w:hint="eastAsia"/>
        </w:rPr>
        <w:t xml:space="preserve">4.1 </w:t>
      </w:r>
      <w:r>
        <w:rPr>
          <w:rFonts w:hint="eastAsia"/>
        </w:rPr>
        <w:t>数据来源</w:t>
      </w:r>
      <w:r w:rsidR="003B4DE1">
        <w:rPr>
          <w:rFonts w:hint="eastAsia"/>
        </w:rPr>
        <w:t>和参考资料</w:t>
      </w:r>
    </w:p>
    <w:p w14:paraId="2D674E29" w14:textId="77777777" w:rsidR="003B4DE1" w:rsidRPr="003B4DE1" w:rsidRDefault="003B4DE1" w:rsidP="003B4DE1">
      <w:pPr>
        <w:ind w:firstLine="480"/>
      </w:pPr>
    </w:p>
    <w:p w14:paraId="56E427D2" w14:textId="4CFD5BA2" w:rsidR="00F11892" w:rsidRPr="00F11892" w:rsidRDefault="00F11892" w:rsidP="00F11892">
      <w:pPr>
        <w:ind w:firstLine="480"/>
      </w:pPr>
      <w:r>
        <w:rPr>
          <w:rFonts w:hint="eastAsia"/>
        </w:rPr>
        <w:t>什么是固定资产投资？参见统计局</w:t>
      </w:r>
      <w:r w:rsidR="00FF0D6A">
        <w:rPr>
          <w:rFonts w:hint="eastAsia"/>
        </w:rPr>
        <w:t>对常用指标</w:t>
      </w:r>
      <w:r>
        <w:rPr>
          <w:rFonts w:hint="eastAsia"/>
        </w:rPr>
        <w:t>的解释：</w:t>
      </w:r>
      <w:hyperlink r:id="rId7" w:history="1">
        <w:r w:rsidRPr="00DB19EF">
          <w:rPr>
            <w:rStyle w:val="a4"/>
          </w:rPr>
          <w:t>https://www.stats.gov.cn/sj/zbjs/202302/t20230202_1897101.html</w:t>
        </w:r>
      </w:hyperlink>
    </w:p>
    <w:p w14:paraId="3F4C220D" w14:textId="5F38D2B6" w:rsidR="00001FF2" w:rsidRPr="00E43B2D" w:rsidRDefault="00324970" w:rsidP="00E43B2D">
      <w:pPr>
        <w:ind w:firstLine="480"/>
      </w:pPr>
      <w:r>
        <w:rPr>
          <w:rFonts w:hint="eastAsia"/>
        </w:rPr>
        <w:t>结合</w:t>
      </w:r>
      <w:r w:rsidR="00FF0D6A">
        <w:rPr>
          <w:rFonts w:hint="eastAsia"/>
        </w:rPr>
        <w:t>《</w:t>
      </w:r>
      <w:r w:rsidR="00FF0D6A" w:rsidRPr="00FF0D6A">
        <w:rPr>
          <w:rFonts w:hint="eastAsia"/>
        </w:rPr>
        <w:t>中华人民共和国</w:t>
      </w:r>
      <w:r w:rsidR="00FF0D6A" w:rsidRPr="00FF0D6A">
        <w:t>2023</w:t>
      </w:r>
      <w:r w:rsidR="00FF0D6A" w:rsidRPr="00FF0D6A">
        <w:t>年国民经济和社会发展统计公报</w:t>
      </w:r>
      <w:r w:rsidR="00FF0D6A">
        <w:rPr>
          <w:rFonts w:hint="eastAsia"/>
        </w:rPr>
        <w:t>》</w:t>
      </w:r>
      <w:r w:rsidR="00E43B2D">
        <w:rPr>
          <w:rFonts w:hint="eastAsia"/>
        </w:rPr>
        <w:t>可以找到常用的指标：</w:t>
      </w:r>
    </w:p>
    <w:p w14:paraId="5CC2FB82" w14:textId="2EB132FD" w:rsidR="00F116E9" w:rsidRDefault="00000000" w:rsidP="00FB53B3">
      <w:pPr>
        <w:ind w:firstLineChars="0" w:firstLine="0"/>
      </w:pPr>
      <w:hyperlink r:id="rId8" w:history="1">
        <w:r w:rsidR="00110121" w:rsidRPr="008350D5">
          <w:rPr>
            <w:rStyle w:val="a4"/>
          </w:rPr>
          <w:t>https://www.stats.gov.cn/sj/zxfb/202402/t20240228_1947915.html</w:t>
        </w:r>
      </w:hyperlink>
    </w:p>
    <w:p w14:paraId="518A1E0F" w14:textId="1D5E9F19" w:rsidR="00F116E9" w:rsidRDefault="00F116E9" w:rsidP="00D91C75">
      <w:pPr>
        <w:ind w:firstLine="480"/>
      </w:pPr>
      <w:r>
        <w:rPr>
          <w:rFonts w:hint="eastAsia"/>
        </w:rPr>
        <w:t>每个月公布的固定资产投资数据</w:t>
      </w:r>
      <w:r w:rsidR="00F63427">
        <w:rPr>
          <w:rFonts w:hint="eastAsia"/>
        </w:rPr>
        <w:t>（“</w:t>
      </w:r>
      <w:r w:rsidR="00F63427" w:rsidRPr="00F63427">
        <w:rPr>
          <w:rFonts w:hint="eastAsia"/>
        </w:rPr>
        <w:t>固定资产投资（不含农户）</w:t>
      </w:r>
      <w:r w:rsidR="00F63427">
        <w:rPr>
          <w:rFonts w:hint="eastAsia"/>
        </w:rPr>
        <w:t>”）</w:t>
      </w:r>
      <w:r>
        <w:rPr>
          <w:rFonts w:hint="eastAsia"/>
        </w:rPr>
        <w:t>后面，也附上了指标的解释：</w:t>
      </w:r>
    </w:p>
    <w:p w14:paraId="1ACD2422" w14:textId="1AC057C0" w:rsidR="00F116E9" w:rsidRDefault="00000000" w:rsidP="00F116E9">
      <w:pPr>
        <w:ind w:firstLineChars="0" w:firstLine="0"/>
      </w:pPr>
      <w:hyperlink r:id="rId9" w:history="1">
        <w:r w:rsidR="00F63427" w:rsidRPr="008350D5">
          <w:rPr>
            <w:rStyle w:val="a4"/>
          </w:rPr>
          <w:t>https://www.stats.gov.cn/sj/zxfb/202406/t20240617_1954714.html</w:t>
        </w:r>
      </w:hyperlink>
    </w:p>
    <w:p w14:paraId="44E442EB" w14:textId="77777777" w:rsidR="00001FF2" w:rsidRDefault="00001FF2" w:rsidP="00D91C75">
      <w:pPr>
        <w:ind w:firstLine="480"/>
      </w:pPr>
    </w:p>
    <w:p w14:paraId="65E9A3C9" w14:textId="77777777" w:rsidR="00725FE3" w:rsidRPr="00725FE3" w:rsidRDefault="00725FE3" w:rsidP="00D91C75">
      <w:pPr>
        <w:ind w:firstLine="480"/>
      </w:pPr>
    </w:p>
    <w:p w14:paraId="4D6DBAEF" w14:textId="3C80406F" w:rsidR="00401017" w:rsidRDefault="006D69F7" w:rsidP="006D69F7">
      <w:pPr>
        <w:pStyle w:val="2"/>
        <w:rPr>
          <w:rFonts w:hint="eastAsia"/>
        </w:rPr>
      </w:pPr>
      <w:r>
        <w:rPr>
          <w:rFonts w:hint="eastAsia"/>
        </w:rPr>
        <w:t xml:space="preserve">4.2 </w:t>
      </w:r>
      <w:r>
        <w:rPr>
          <w:rFonts w:hint="eastAsia"/>
        </w:rPr>
        <w:t>总量</w:t>
      </w:r>
    </w:p>
    <w:p w14:paraId="578E1A81" w14:textId="7AFA6888" w:rsidR="00001FF2" w:rsidRDefault="007F0EE6" w:rsidP="00D91C75">
      <w:pPr>
        <w:ind w:firstLine="480"/>
      </w:pPr>
      <w:r>
        <w:rPr>
          <w:rFonts w:hint="eastAsia"/>
        </w:rPr>
        <w:t>国家统计局：</w:t>
      </w:r>
      <w:r w:rsidR="000F78EC">
        <w:rPr>
          <w:rFonts w:hint="eastAsia"/>
        </w:rPr>
        <w:t>“</w:t>
      </w:r>
      <w:r w:rsidR="000F78EC" w:rsidRPr="00BE47DB">
        <w:rPr>
          <w:rFonts w:hint="eastAsia"/>
          <w:b/>
          <w:bCs/>
        </w:rPr>
        <w:t>全社会固定资产投资完成额</w:t>
      </w:r>
      <w:r w:rsidR="00B31D7B">
        <w:rPr>
          <w:rFonts w:hint="eastAsia"/>
        </w:rPr>
        <w:t>，</w:t>
      </w:r>
      <w:r w:rsidR="000F78EC" w:rsidRPr="000F78EC">
        <w:rPr>
          <w:rFonts w:hint="eastAsia"/>
        </w:rPr>
        <w:t>是以货币形式表现的在一定时期内全社会建造和购置固定资产的工作量以及与此有关费用的总称</w:t>
      </w:r>
      <w:r w:rsidR="00B31D7B">
        <w:rPr>
          <w:rFonts w:hint="eastAsia"/>
        </w:rPr>
        <w:t>。”</w:t>
      </w:r>
    </w:p>
    <w:p w14:paraId="3BF37C4D" w14:textId="587B551C" w:rsidR="003A12B9" w:rsidRDefault="003A12B9" w:rsidP="00D91C75">
      <w:pPr>
        <w:ind w:firstLine="480"/>
      </w:pPr>
      <w:r>
        <w:rPr>
          <w:rFonts w:hint="eastAsia"/>
        </w:rPr>
        <w:t>全社会固定资产投资完成额是年度数据</w:t>
      </w:r>
      <w:r w:rsidR="0042089B">
        <w:rPr>
          <w:rFonts w:hint="eastAsia"/>
        </w:rPr>
        <w:t>，所以市场关注较少</w:t>
      </w:r>
      <w:r>
        <w:rPr>
          <w:rFonts w:hint="eastAsia"/>
        </w:rPr>
        <w:t>。</w:t>
      </w:r>
    </w:p>
    <w:p w14:paraId="162FF9C9" w14:textId="240A9EB9" w:rsidR="003A12B9" w:rsidRDefault="003A12B9" w:rsidP="00D91C75">
      <w:pPr>
        <w:ind w:firstLine="480"/>
      </w:pPr>
      <w:r>
        <w:rPr>
          <w:rFonts w:hint="eastAsia"/>
        </w:rPr>
        <w:t>全社会固定资产投资完成额分为两个部分：</w:t>
      </w:r>
      <w:r>
        <w:rPr>
          <w:rFonts w:hint="eastAsia"/>
        </w:rPr>
        <w:t>1</w:t>
      </w:r>
      <w:r>
        <w:rPr>
          <w:rFonts w:hint="eastAsia"/>
        </w:rPr>
        <w:t>、固定资产投资（不含农户）；</w:t>
      </w:r>
      <w:r>
        <w:rPr>
          <w:rFonts w:hint="eastAsia"/>
        </w:rPr>
        <w:t>2</w:t>
      </w:r>
      <w:r>
        <w:rPr>
          <w:rFonts w:hint="eastAsia"/>
        </w:rPr>
        <w:t>、农村住户固定资产投资。其中农村住户固定资产投资占比不足</w:t>
      </w:r>
      <w:r>
        <w:rPr>
          <w:rFonts w:hint="eastAsia"/>
        </w:rPr>
        <w:t>2%</w:t>
      </w:r>
      <w:r>
        <w:rPr>
          <w:rFonts w:hint="eastAsia"/>
        </w:rPr>
        <w:t>，一般不太关注。</w:t>
      </w:r>
    </w:p>
    <w:p w14:paraId="72DC3933" w14:textId="2691D3AB" w:rsidR="00B31D7B" w:rsidRDefault="00B31D7B" w:rsidP="00D91C75">
      <w:pPr>
        <w:ind w:firstLine="482"/>
      </w:pPr>
      <w:r w:rsidRPr="008E5A79">
        <w:rPr>
          <w:rFonts w:hint="eastAsia"/>
          <w:b/>
          <w:bCs/>
        </w:rPr>
        <w:t>固定资产投资（不含农户）</w:t>
      </w:r>
      <w:r>
        <w:rPr>
          <w:rFonts w:hint="eastAsia"/>
        </w:rPr>
        <w:t>是月度数据，也是我们最关注的数据之一。</w:t>
      </w:r>
    </w:p>
    <w:p w14:paraId="0853DDFD" w14:textId="0CFF5497" w:rsidR="00B31D7B" w:rsidRDefault="007F0EE6" w:rsidP="00D91C75">
      <w:pPr>
        <w:ind w:firstLine="480"/>
      </w:pPr>
      <w:r>
        <w:rPr>
          <w:rFonts w:hint="eastAsia"/>
        </w:rPr>
        <w:t>国家统计局：</w:t>
      </w:r>
      <w:r w:rsidR="00B31D7B">
        <w:rPr>
          <w:rFonts w:hint="eastAsia"/>
        </w:rPr>
        <w:t>“</w:t>
      </w:r>
      <w:r w:rsidR="00B31D7B" w:rsidRPr="00B31D7B">
        <w:rPr>
          <w:rFonts w:hint="eastAsia"/>
        </w:rPr>
        <w:t>固定资产投资（不含农户）</w:t>
      </w:r>
      <w:r w:rsidR="00B31D7B">
        <w:rPr>
          <w:rFonts w:hint="eastAsia"/>
        </w:rPr>
        <w:t>，</w:t>
      </w:r>
      <w:r w:rsidR="00B31D7B" w:rsidRPr="00B31D7B">
        <w:rPr>
          <w:rFonts w:hint="eastAsia"/>
        </w:rPr>
        <w:t>指城镇和农村各种登记注册类型的企业、事业、行政单位及城镇个体户进行的计划总投资</w:t>
      </w:r>
      <w:r w:rsidR="00B31D7B" w:rsidRPr="00B31D7B">
        <w:t>500</w:t>
      </w:r>
      <w:r w:rsidR="00B31D7B" w:rsidRPr="00B31D7B">
        <w:rPr>
          <w:rFonts w:hint="eastAsia"/>
        </w:rPr>
        <w:t>万元及以上的建设项目投资和房地产开发投资，包括原口径的城镇固定资产投资加上农村企事业组织项目投资，该口径自</w:t>
      </w:r>
      <w:r w:rsidR="00B31D7B" w:rsidRPr="00B31D7B">
        <w:t>2011</w:t>
      </w:r>
      <w:r w:rsidR="00B31D7B" w:rsidRPr="00B31D7B">
        <w:rPr>
          <w:rFonts w:hint="eastAsia"/>
        </w:rPr>
        <w:t>年起开始使用。</w:t>
      </w:r>
      <w:r w:rsidR="00B31D7B">
        <w:rPr>
          <w:rFonts w:hint="eastAsia"/>
        </w:rPr>
        <w:t>”</w:t>
      </w:r>
    </w:p>
    <w:p w14:paraId="2FBCBE24" w14:textId="21EB42EE" w:rsidR="007F0EE6" w:rsidRDefault="00590A9D" w:rsidP="00D91C75">
      <w:pPr>
        <w:ind w:firstLine="480"/>
      </w:pPr>
      <w:r>
        <w:rPr>
          <w:rFonts w:hint="eastAsia"/>
        </w:rPr>
        <w:lastRenderedPageBreak/>
        <w:t>值得注意的是</w:t>
      </w:r>
      <w:r w:rsidR="002C74AA">
        <w:rPr>
          <w:rFonts w:hint="eastAsia"/>
        </w:rPr>
        <w:t>：</w:t>
      </w:r>
      <w:r w:rsidR="002C74AA">
        <w:rPr>
          <w:rFonts w:hint="eastAsia"/>
        </w:rPr>
        <w:t>1</w:t>
      </w:r>
      <w:r w:rsidR="002C74AA">
        <w:rPr>
          <w:rFonts w:hint="eastAsia"/>
        </w:rPr>
        <w:t>、</w:t>
      </w:r>
      <w:r>
        <w:rPr>
          <w:rFonts w:hint="eastAsia"/>
        </w:rPr>
        <w:t>这个指标中，房地产开发投资并不需要投资额超过</w:t>
      </w:r>
      <w:r>
        <w:rPr>
          <w:rFonts w:hint="eastAsia"/>
        </w:rPr>
        <w:t>500</w:t>
      </w:r>
      <w:r>
        <w:rPr>
          <w:rFonts w:hint="eastAsia"/>
        </w:rPr>
        <w:t>万元这个条件，即统计了房地产开发企业所有项目。</w:t>
      </w:r>
      <w:r w:rsidR="002C74AA">
        <w:rPr>
          <w:rFonts w:hint="eastAsia"/>
        </w:rPr>
        <w:t>2</w:t>
      </w:r>
      <w:r w:rsidR="002C74AA">
        <w:rPr>
          <w:rFonts w:hint="eastAsia"/>
        </w:rPr>
        <w:t>、</w:t>
      </w:r>
      <w:r>
        <w:rPr>
          <w:rFonts w:hint="eastAsia"/>
        </w:rPr>
        <w:t>非房地产开发企业的房地产投资活动，不计入房地产开发投资，比如城市建设公司开发的保障房，不计入。</w:t>
      </w:r>
    </w:p>
    <w:p w14:paraId="7B01E6AC" w14:textId="51489DC7" w:rsidR="00D6375E" w:rsidRDefault="00522764" w:rsidP="00D91C75">
      <w:pPr>
        <w:ind w:firstLine="480"/>
      </w:pPr>
      <w:r>
        <w:rPr>
          <w:noProof/>
        </w:rPr>
        <w:drawing>
          <wp:inline distT="0" distB="0" distL="0" distR="0" wp14:anchorId="69D9B162" wp14:editId="5F76F17D">
            <wp:extent cx="4471670" cy="1591823"/>
            <wp:effectExtent l="0" t="0" r="5080" b="8890"/>
            <wp:docPr id="1474147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649" cy="1595375"/>
                    </a:xfrm>
                    <a:prstGeom prst="rect">
                      <a:avLst/>
                    </a:prstGeom>
                    <a:noFill/>
                  </pic:spPr>
                </pic:pic>
              </a:graphicData>
            </a:graphic>
          </wp:inline>
        </w:drawing>
      </w:r>
    </w:p>
    <w:p w14:paraId="1CC82509" w14:textId="7E31BA05" w:rsidR="00255EF6" w:rsidRDefault="001F2E0D" w:rsidP="00D91C75">
      <w:pPr>
        <w:ind w:firstLine="480"/>
      </w:pPr>
      <w:r>
        <w:rPr>
          <w:rFonts w:hint="eastAsia"/>
        </w:rPr>
        <w:t>每个月统计局公布的是累计数值和</w:t>
      </w:r>
      <w:r w:rsidRPr="00564266">
        <w:rPr>
          <w:rFonts w:hint="eastAsia"/>
          <w:b/>
          <w:bCs/>
        </w:rPr>
        <w:t>累计同比</w:t>
      </w:r>
      <w:r w:rsidR="00564266" w:rsidRPr="00564266">
        <w:rPr>
          <w:rFonts w:hint="eastAsia"/>
          <w:b/>
          <w:bCs/>
        </w:rPr>
        <w:t>增速</w:t>
      </w:r>
      <w:r>
        <w:rPr>
          <w:rFonts w:hint="eastAsia"/>
        </w:rPr>
        <w:t>。</w:t>
      </w:r>
    </w:p>
    <w:p w14:paraId="5BD42207" w14:textId="4D190E61" w:rsidR="008B4444" w:rsidRDefault="008B4444" w:rsidP="00D91C75">
      <w:pPr>
        <w:ind w:firstLine="480"/>
      </w:pPr>
      <w:r>
        <w:rPr>
          <w:rFonts w:hint="eastAsia"/>
        </w:rPr>
        <w:t>国家统计局：“</w:t>
      </w:r>
      <w:r w:rsidRPr="008B4444">
        <w:t>2024</w:t>
      </w:r>
      <w:r w:rsidRPr="008B4444">
        <w:rPr>
          <w:rFonts w:hint="eastAsia"/>
        </w:rPr>
        <w:t>年</w:t>
      </w:r>
      <w:r w:rsidRPr="008B4444">
        <w:t>1</w:t>
      </w:r>
      <w:r w:rsidRPr="008B4444">
        <w:rPr>
          <w:rFonts w:hint="eastAsia"/>
        </w:rPr>
        <w:t>—</w:t>
      </w:r>
      <w:r w:rsidRPr="008B4444">
        <w:t>5</w:t>
      </w:r>
      <w:r w:rsidRPr="008B4444">
        <w:rPr>
          <w:rFonts w:hint="eastAsia"/>
        </w:rPr>
        <w:t>月份，全国固定资产投资（不含农户）</w:t>
      </w:r>
      <w:r w:rsidRPr="008B4444">
        <w:t>188006</w:t>
      </w:r>
      <w:r w:rsidRPr="008B4444">
        <w:rPr>
          <w:rFonts w:hint="eastAsia"/>
        </w:rPr>
        <w:t>亿元，同比增长</w:t>
      </w:r>
      <w:r w:rsidRPr="008B4444">
        <w:t>4.0%</w:t>
      </w:r>
      <w:r w:rsidRPr="008B4444">
        <w:rPr>
          <w:rFonts w:hint="eastAsia"/>
        </w:rPr>
        <w:t>（按可比口径计算，详见附注</w:t>
      </w:r>
      <w:r w:rsidRPr="008B4444">
        <w:t>7</w:t>
      </w:r>
      <w:r w:rsidRPr="008B4444">
        <w:rPr>
          <w:rFonts w:hint="eastAsia"/>
        </w:rPr>
        <w:t>）</w:t>
      </w:r>
      <w:r w:rsidR="00817E95">
        <w:rPr>
          <w:rFonts w:hint="eastAsia"/>
        </w:rPr>
        <w:t>。</w:t>
      </w:r>
      <w:r>
        <w:rPr>
          <w:rFonts w:hint="eastAsia"/>
        </w:rPr>
        <w:t>”</w:t>
      </w:r>
    </w:p>
    <w:p w14:paraId="7E818309" w14:textId="4151D230" w:rsidR="00255EF6" w:rsidRDefault="00236761" w:rsidP="00D91C75">
      <w:pPr>
        <w:ind w:firstLine="480"/>
      </w:pPr>
      <w:r>
        <w:rPr>
          <w:rFonts w:hint="eastAsia"/>
        </w:rPr>
        <w:t>附注</w:t>
      </w:r>
      <w:r>
        <w:rPr>
          <w:rFonts w:hint="eastAsia"/>
        </w:rPr>
        <w:t>7</w:t>
      </w:r>
      <w:r>
        <w:rPr>
          <w:rFonts w:hint="eastAsia"/>
        </w:rPr>
        <w:t>：“</w:t>
      </w:r>
      <w:r w:rsidR="001515E0" w:rsidRPr="001515E0">
        <w:rPr>
          <w:rFonts w:hint="eastAsia"/>
        </w:rPr>
        <w:t>固定资产投资增速按可比口径计算。报告期数据与上年已公布的同期数据之间存在不可比因素，不能直接相比计算增速。主要原因是：（一）加强在库投资项目管理，部分不符合投资统计制度规定的项目退出了调查范围。（二）加强统计执法，对统计执法检查中发现的问题数据，按照相关规定进行了改正。（三）加强数据质量管理，剔除跨地区、跨行业重复统计数据。</w:t>
      </w:r>
      <w:r>
        <w:rPr>
          <w:rFonts w:hint="eastAsia"/>
        </w:rPr>
        <w:t>”</w:t>
      </w:r>
    </w:p>
    <w:p w14:paraId="3E2EAC80" w14:textId="2BD7F122" w:rsidR="00255EF6" w:rsidRDefault="0054465C" w:rsidP="00D91C75">
      <w:pPr>
        <w:ind w:firstLine="480"/>
      </w:pPr>
      <w:r>
        <w:rPr>
          <w:rFonts w:hint="eastAsia"/>
        </w:rPr>
        <w:t>不难发现，用固定资产投资累计值计算的累计同比，和官方公布的累计同比数据存在出入。部分原因由上述附注解释，这个附注从</w:t>
      </w:r>
      <w:r>
        <w:rPr>
          <w:rFonts w:hint="eastAsia"/>
        </w:rPr>
        <w:t>2023</w:t>
      </w:r>
      <w:r>
        <w:rPr>
          <w:rFonts w:hint="eastAsia"/>
        </w:rPr>
        <w:t>年</w:t>
      </w:r>
      <w:r>
        <w:rPr>
          <w:rFonts w:hint="eastAsia"/>
        </w:rPr>
        <w:t>4</w:t>
      </w:r>
      <w:r>
        <w:rPr>
          <w:rFonts w:hint="eastAsia"/>
        </w:rPr>
        <w:t>月首次出现，后来每个月的公告中都有。</w:t>
      </w:r>
    </w:p>
    <w:p w14:paraId="3206F3BA" w14:textId="331EAF9C" w:rsidR="00A02F55" w:rsidRDefault="00A02F55" w:rsidP="00D91C75">
      <w:pPr>
        <w:ind w:firstLine="480"/>
      </w:pPr>
      <w:r>
        <w:rPr>
          <w:rFonts w:hint="eastAsia"/>
        </w:rPr>
        <w:t>从数据来看，有三段存在差异的阶段。</w:t>
      </w:r>
      <w:r>
        <w:rPr>
          <w:rFonts w:hint="eastAsia"/>
        </w:rPr>
        <w:t>2004</w:t>
      </w:r>
      <w:r>
        <w:rPr>
          <w:rFonts w:hint="eastAsia"/>
        </w:rPr>
        <w:t>年，主要是因为统计范围从“基本建设、更新改造和国有其他投资”变成了“城镇固定资产投资”。</w:t>
      </w:r>
      <w:r>
        <w:rPr>
          <w:rFonts w:hint="eastAsia"/>
        </w:rPr>
        <w:t>2011</w:t>
      </w:r>
      <w:r>
        <w:rPr>
          <w:rFonts w:hint="eastAsia"/>
        </w:rPr>
        <w:t>年，主要是因为统计限额从</w:t>
      </w:r>
      <w:r>
        <w:rPr>
          <w:rFonts w:hint="eastAsia"/>
        </w:rPr>
        <w:t>50</w:t>
      </w:r>
      <w:r>
        <w:rPr>
          <w:rFonts w:hint="eastAsia"/>
        </w:rPr>
        <w:t>万元提高到</w:t>
      </w:r>
      <w:r>
        <w:rPr>
          <w:rFonts w:hint="eastAsia"/>
        </w:rPr>
        <w:t>500</w:t>
      </w:r>
      <w:r>
        <w:rPr>
          <w:rFonts w:hint="eastAsia"/>
        </w:rPr>
        <w:t>万元，且新增了农村非农户投资部分。</w:t>
      </w:r>
      <w:r>
        <w:rPr>
          <w:rFonts w:hint="eastAsia"/>
        </w:rPr>
        <w:t>2018</w:t>
      </w:r>
      <w:r>
        <w:rPr>
          <w:rFonts w:hint="eastAsia"/>
        </w:rPr>
        <w:t>年至今，主要是因为统计制度从形象进度法转向了财务支出法，以及地方统计数据挤水分</w:t>
      </w:r>
      <w:r w:rsidR="00FD4ECA">
        <w:rPr>
          <w:rFonts w:hint="eastAsia"/>
        </w:rPr>
        <w:t>，即上面附注解释的内容。</w:t>
      </w:r>
    </w:p>
    <w:p w14:paraId="20C63228" w14:textId="77777777" w:rsidR="0054465C" w:rsidRPr="0054465C" w:rsidRDefault="0054465C" w:rsidP="00D91C75">
      <w:pPr>
        <w:ind w:firstLine="480"/>
      </w:pPr>
    </w:p>
    <w:p w14:paraId="15E77217" w14:textId="0EB6068D" w:rsidR="0054465C" w:rsidRDefault="0054465C" w:rsidP="0054465C">
      <w:pPr>
        <w:ind w:firstLineChars="0" w:firstLine="0"/>
        <w:jc w:val="center"/>
      </w:pPr>
      <w:r>
        <w:rPr>
          <w:noProof/>
        </w:rPr>
        <w:lastRenderedPageBreak/>
        <w:drawing>
          <wp:inline distT="0" distB="0" distL="0" distR="0" wp14:anchorId="782610E5" wp14:editId="7CEB1D15">
            <wp:extent cx="5274310" cy="2491740"/>
            <wp:effectExtent l="0" t="0" r="2540" b="3810"/>
            <wp:docPr id="302924360" name="图表 1">
              <a:extLst xmlns:a="http://schemas.openxmlformats.org/drawingml/2006/main">
                <a:ext uri="{FF2B5EF4-FFF2-40B4-BE49-F238E27FC236}">
                  <a16:creationId xmlns:a16="http://schemas.microsoft.com/office/drawing/2014/main" id="{42A2E5C3-39CD-48B9-A3DC-E6568DF8E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3FBD7F" w14:textId="77777777" w:rsidR="0054465C" w:rsidRDefault="0054465C" w:rsidP="00D91C75">
      <w:pPr>
        <w:ind w:firstLine="480"/>
      </w:pPr>
    </w:p>
    <w:p w14:paraId="7394B800" w14:textId="61EB3B12" w:rsidR="004D40C5" w:rsidRDefault="004D40C5" w:rsidP="00D91C75">
      <w:pPr>
        <w:ind w:firstLine="480"/>
      </w:pPr>
      <w:r>
        <w:rPr>
          <w:rFonts w:hint="eastAsia"/>
        </w:rPr>
        <w:t>从每个月官方公布的累计同比增速，可以倒推出累计绝对值，进而推出每个月的当月值和当月同比增速。</w:t>
      </w:r>
      <w:r w:rsidR="0030726E">
        <w:rPr>
          <w:rFonts w:hint="eastAsia"/>
        </w:rPr>
        <w:t>目前，数据库中常见的做法是直接用累计绝对值相减，得到当月值，再算同比，存在一定的误差。</w:t>
      </w:r>
    </w:p>
    <w:p w14:paraId="2E1CF608" w14:textId="0E0FB8DF" w:rsidR="00C62173" w:rsidRDefault="0030726E" w:rsidP="00D91C75">
      <w:pPr>
        <w:ind w:firstLine="480"/>
      </w:pPr>
      <w:r>
        <w:rPr>
          <w:rFonts w:hint="eastAsia"/>
        </w:rPr>
        <w:t>固定资产投资的当月值有明显的季节性，阶段性高点一般在</w:t>
      </w:r>
      <w:r>
        <w:rPr>
          <w:rFonts w:hint="eastAsia"/>
        </w:rPr>
        <w:t>6</w:t>
      </w:r>
      <w:r>
        <w:rPr>
          <w:rFonts w:hint="eastAsia"/>
        </w:rPr>
        <w:t>月和</w:t>
      </w:r>
      <w:r>
        <w:rPr>
          <w:rFonts w:hint="eastAsia"/>
        </w:rPr>
        <w:t>9</w:t>
      </w:r>
      <w:r>
        <w:rPr>
          <w:rFonts w:hint="eastAsia"/>
        </w:rPr>
        <w:t>月。这可能和信贷投放节奏有关，银行一般在季节末期会信贷冲量，带动投资走强。</w:t>
      </w:r>
    </w:p>
    <w:p w14:paraId="21D4DC30" w14:textId="77777777" w:rsidR="00C62173" w:rsidRDefault="00C62173" w:rsidP="00D91C75">
      <w:pPr>
        <w:ind w:firstLine="480"/>
      </w:pPr>
    </w:p>
    <w:p w14:paraId="40A8E8DA" w14:textId="15E324A9" w:rsidR="00C62173" w:rsidRDefault="00C62173" w:rsidP="00C62173">
      <w:pPr>
        <w:ind w:firstLineChars="0" w:firstLine="0"/>
        <w:jc w:val="center"/>
      </w:pPr>
      <w:r>
        <w:rPr>
          <w:noProof/>
        </w:rPr>
        <w:drawing>
          <wp:inline distT="0" distB="0" distL="0" distR="0" wp14:anchorId="460220A4" wp14:editId="5AAB04B9">
            <wp:extent cx="4572000" cy="2743200"/>
            <wp:effectExtent l="0" t="0" r="0" b="0"/>
            <wp:docPr id="1092370239" name="图表 1">
              <a:extLst xmlns:a="http://schemas.openxmlformats.org/drawingml/2006/main">
                <a:ext uri="{FF2B5EF4-FFF2-40B4-BE49-F238E27FC236}">
                  <a16:creationId xmlns:a16="http://schemas.microsoft.com/office/drawing/2014/main" id="{94B3122D-160B-8A48-D8F6-08B0D0D02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729D7E" w14:textId="77777777" w:rsidR="0054465C" w:rsidRDefault="0054465C" w:rsidP="00D91C75">
      <w:pPr>
        <w:ind w:firstLine="480"/>
      </w:pPr>
    </w:p>
    <w:p w14:paraId="4F889211" w14:textId="77777777" w:rsidR="00255EF6" w:rsidRDefault="00255EF6" w:rsidP="00D91C75">
      <w:pPr>
        <w:ind w:firstLine="480"/>
      </w:pPr>
    </w:p>
    <w:p w14:paraId="4E76DB10" w14:textId="1F9C7030" w:rsidR="00D6375E" w:rsidRDefault="001D1724" w:rsidP="00D91C75">
      <w:pPr>
        <w:ind w:firstLine="480"/>
      </w:pPr>
      <w:r w:rsidRPr="001D1724">
        <w:rPr>
          <w:rFonts w:hint="eastAsia"/>
        </w:rPr>
        <w:t>固定资产投资完成额</w:t>
      </w:r>
      <w:r>
        <w:rPr>
          <w:rFonts w:hint="eastAsia"/>
        </w:rPr>
        <w:t>是名义值，除了受到投资数量的影响，也受价格因素的影响。</w:t>
      </w:r>
      <w:r w:rsidR="00557465">
        <w:rPr>
          <w:rFonts w:hint="eastAsia"/>
        </w:rPr>
        <w:t>所以我们需要关注</w:t>
      </w:r>
      <w:r w:rsidR="00557465" w:rsidRPr="00557465">
        <w:rPr>
          <w:rFonts w:hint="eastAsia"/>
          <w:b/>
          <w:bCs/>
        </w:rPr>
        <w:t>固定资产投资价格指数</w:t>
      </w:r>
      <w:r w:rsidR="00557465">
        <w:rPr>
          <w:rFonts w:hint="eastAsia"/>
        </w:rPr>
        <w:t>。</w:t>
      </w:r>
    </w:p>
    <w:p w14:paraId="76ABA13C" w14:textId="77777777" w:rsidR="00980652" w:rsidRDefault="004626DB" w:rsidP="00D91C75">
      <w:pPr>
        <w:ind w:firstLine="480"/>
      </w:pPr>
      <w:r w:rsidRPr="004626DB">
        <w:rPr>
          <w:rFonts w:hint="eastAsia"/>
        </w:rPr>
        <w:lastRenderedPageBreak/>
        <w:t>固定资产投资价格指数</w:t>
      </w:r>
      <w:r>
        <w:rPr>
          <w:rFonts w:hint="eastAsia"/>
        </w:rPr>
        <w:t>是三方面价格指数的加权：建筑安装工程、设备工器具、其他费用。权重是前三年对应项的均值。</w:t>
      </w:r>
    </w:p>
    <w:p w14:paraId="71A35E81" w14:textId="0A2006E2" w:rsidR="00D6375E" w:rsidRDefault="00980652" w:rsidP="00D91C75">
      <w:pPr>
        <w:ind w:firstLine="480"/>
      </w:pPr>
      <w:r>
        <w:rPr>
          <w:rFonts w:hint="eastAsia"/>
        </w:rPr>
        <w:t>从</w:t>
      </w:r>
      <w:r>
        <w:rPr>
          <w:rFonts w:hint="eastAsia"/>
        </w:rPr>
        <w:t>2020</w:t>
      </w:r>
      <w:r>
        <w:rPr>
          <w:rFonts w:hint="eastAsia"/>
        </w:rPr>
        <w:t>年之后，统计局不再公布该项数据。从历史数据看，固定资产投资价格指数和</w:t>
      </w:r>
      <w:r>
        <w:rPr>
          <w:rFonts w:hint="eastAsia"/>
        </w:rPr>
        <w:t>PPI</w:t>
      </w:r>
      <w:r>
        <w:rPr>
          <w:rFonts w:hint="eastAsia"/>
        </w:rPr>
        <w:t>同比变动周期基本一致。所以，可以用</w:t>
      </w:r>
      <w:r>
        <w:rPr>
          <w:rFonts w:hint="eastAsia"/>
        </w:rPr>
        <w:t>PPI</w:t>
      </w:r>
      <w:r>
        <w:rPr>
          <w:rFonts w:hint="eastAsia"/>
        </w:rPr>
        <w:t>来观察固定资产投资价格指数。</w:t>
      </w:r>
      <w:r w:rsidR="005016C4">
        <w:rPr>
          <w:rFonts w:hint="eastAsia"/>
        </w:rPr>
        <w:t>细分项中，建筑安装工程价格指数波动最大，这是因为钢铁、水泥等建筑材料的价格波动很剧烈。所以，可以用钢铁、水泥价格来观察细分项。</w:t>
      </w:r>
    </w:p>
    <w:p w14:paraId="00000D96" w14:textId="25541C18" w:rsidR="00AC3250" w:rsidRDefault="002D383D" w:rsidP="00D91C75">
      <w:pPr>
        <w:ind w:firstLine="480"/>
      </w:pPr>
      <w:r>
        <w:rPr>
          <w:rFonts w:hint="eastAsia"/>
        </w:rPr>
        <w:t>案例：</w:t>
      </w:r>
      <w:r>
        <w:rPr>
          <w:rFonts w:hint="eastAsia"/>
        </w:rPr>
        <w:t>2017</w:t>
      </w:r>
      <w:r>
        <w:rPr>
          <w:rFonts w:hint="eastAsia"/>
        </w:rPr>
        <w:t>年</w:t>
      </w:r>
      <w:r w:rsidR="00B73529">
        <w:rPr>
          <w:rFonts w:hint="eastAsia"/>
        </w:rPr>
        <w:t>，受到供给侧结构性改革的影响，钢铁、水泥等建筑材料价格迎来上涨，固定资产价格指数表现强势，对固定资产投资完成额影响较大。</w:t>
      </w:r>
      <w:r w:rsidR="00CD3213">
        <w:rPr>
          <w:rFonts w:hint="eastAsia"/>
        </w:rPr>
        <w:t>2018</w:t>
      </w:r>
      <w:r w:rsidR="00CD3213">
        <w:rPr>
          <w:rFonts w:hint="eastAsia"/>
        </w:rPr>
        <w:t>年</w:t>
      </w:r>
      <w:r w:rsidR="00B42C7E">
        <w:rPr>
          <w:rFonts w:hint="eastAsia"/>
        </w:rPr>
        <w:t>9</w:t>
      </w:r>
      <w:r w:rsidR="00B42C7E">
        <w:rPr>
          <w:rFonts w:hint="eastAsia"/>
        </w:rPr>
        <w:t>月</w:t>
      </w:r>
      <w:r w:rsidR="00CD3213">
        <w:rPr>
          <w:rFonts w:hint="eastAsia"/>
        </w:rPr>
        <w:t>，固定资产投资价格指数的同比增速与固定资产实际完成额同比增速基本相同。这意味着，价格影响占比接近</w:t>
      </w:r>
      <w:r w:rsidR="00CD3213">
        <w:rPr>
          <w:rFonts w:hint="eastAsia"/>
        </w:rPr>
        <w:t>100%</w:t>
      </w:r>
      <w:r w:rsidR="00CD3213">
        <w:rPr>
          <w:rFonts w:hint="eastAsia"/>
        </w:rPr>
        <w:t>，剔除价格因素，</w:t>
      </w:r>
      <w:r w:rsidR="008F5061">
        <w:rPr>
          <w:rFonts w:hint="eastAsia"/>
        </w:rPr>
        <w:t>固定资产投资的</w:t>
      </w:r>
      <w:r w:rsidR="00CD3213">
        <w:rPr>
          <w:rFonts w:hint="eastAsia"/>
        </w:rPr>
        <w:t>实际同比增速为</w:t>
      </w:r>
      <w:r w:rsidR="00CD3213">
        <w:rPr>
          <w:rFonts w:hint="eastAsia"/>
        </w:rPr>
        <w:t>0</w:t>
      </w:r>
      <w:r w:rsidR="00CD3213">
        <w:rPr>
          <w:rFonts w:hint="eastAsia"/>
        </w:rPr>
        <w:t>。</w:t>
      </w:r>
      <w:r w:rsidR="00DD6D41">
        <w:rPr>
          <w:rFonts w:hint="eastAsia"/>
        </w:rPr>
        <w:t>其余大多数时间段，价格影响不大。</w:t>
      </w:r>
    </w:p>
    <w:p w14:paraId="6DA939FD" w14:textId="0F82AFEE" w:rsidR="00AC3250" w:rsidRDefault="00930CB1" w:rsidP="00D91C75">
      <w:pPr>
        <w:ind w:firstLine="482"/>
      </w:pPr>
      <w:r w:rsidRPr="00930CB1">
        <w:rPr>
          <w:rFonts w:hint="eastAsia"/>
          <w:b/>
          <w:bCs/>
        </w:rPr>
        <w:t>固定资产形成总额</w:t>
      </w:r>
      <w:r>
        <w:rPr>
          <w:rFonts w:hint="eastAsia"/>
        </w:rPr>
        <w:t>，是一个与固定资产投资完成额看起来很像的指标。</w:t>
      </w:r>
    </w:p>
    <w:p w14:paraId="38D7C3C9" w14:textId="5F1D00ED" w:rsidR="00930CB1" w:rsidRDefault="00637B03" w:rsidP="00D91C75">
      <w:pPr>
        <w:ind w:firstLine="480"/>
      </w:pPr>
      <w:r>
        <w:rPr>
          <w:rFonts w:hint="eastAsia"/>
        </w:rPr>
        <w:t>国家统计局：“</w:t>
      </w:r>
      <w:r w:rsidRPr="00637B03">
        <w:rPr>
          <w:rFonts w:hint="eastAsia"/>
        </w:rPr>
        <w:t>固定资本形成总额</w:t>
      </w:r>
      <w:r>
        <w:rPr>
          <w:rFonts w:hint="eastAsia"/>
        </w:rPr>
        <w:t>，</w:t>
      </w:r>
      <w:r w:rsidRPr="00637B03">
        <w:rPr>
          <w:rFonts w:hint="eastAsia"/>
        </w:rPr>
        <w:t>指常住单位购置、转入和自产自用的固定资产，扣除固定资产的销售和转出后的价值，分有形固定资产形成总额和无形固定资产形成总额。有形固定资产形成总额包括一定时期内完成的建筑工程、安装工程和设备工器具购置（减处置）价值，以及土地改良、新增役、种、奶、毛、娱乐用牲畜和新增经济林木价值。无形固定资产形成总额包括矿藏的勘探、计算机软件、娱乐和文学艺术品原件等获得减处置。</w:t>
      </w:r>
      <w:r>
        <w:rPr>
          <w:rFonts w:hint="eastAsia"/>
        </w:rPr>
        <w:t>”</w:t>
      </w:r>
    </w:p>
    <w:p w14:paraId="401F08F4" w14:textId="1FBF925D" w:rsidR="00930CB1" w:rsidRDefault="00F67673" w:rsidP="00D91C75">
      <w:pPr>
        <w:ind w:firstLine="480"/>
      </w:pPr>
      <w:r w:rsidRPr="00F67673">
        <w:rPr>
          <w:rFonts w:hint="eastAsia"/>
        </w:rPr>
        <w:t>固定资产形成总额和固</w:t>
      </w:r>
      <w:r>
        <w:rPr>
          <w:rFonts w:hint="eastAsia"/>
        </w:rPr>
        <w:t>定资产投资完成额的</w:t>
      </w:r>
      <w:r w:rsidR="00A63708">
        <w:rPr>
          <w:rFonts w:hint="eastAsia"/>
        </w:rPr>
        <w:t>在定义上的</w:t>
      </w:r>
      <w:r>
        <w:rPr>
          <w:rFonts w:hint="eastAsia"/>
        </w:rPr>
        <w:t>区别在于：</w:t>
      </w:r>
      <w:r w:rsidR="00A63708">
        <w:rPr>
          <w:rFonts w:hint="eastAsia"/>
        </w:rPr>
        <w:t>1</w:t>
      </w:r>
      <w:r w:rsidR="00A63708">
        <w:rPr>
          <w:rFonts w:hint="eastAsia"/>
        </w:rPr>
        <w:t>、</w:t>
      </w:r>
      <w:r w:rsidR="00A63708" w:rsidRPr="00F67673">
        <w:rPr>
          <w:rFonts w:hint="eastAsia"/>
        </w:rPr>
        <w:t>固定资产形成总额</w:t>
      </w:r>
      <w:r w:rsidR="00A63708">
        <w:rPr>
          <w:rFonts w:hint="eastAsia"/>
        </w:rPr>
        <w:t>没有</w:t>
      </w:r>
      <w:r w:rsidR="00A63708">
        <w:rPr>
          <w:rFonts w:hint="eastAsia"/>
        </w:rPr>
        <w:t>500</w:t>
      </w:r>
      <w:r w:rsidR="00A63708">
        <w:rPr>
          <w:rFonts w:hint="eastAsia"/>
        </w:rPr>
        <w:t>万的门槛，包含了所有项目；</w:t>
      </w:r>
      <w:r w:rsidR="00A63708">
        <w:rPr>
          <w:rFonts w:hint="eastAsia"/>
        </w:rPr>
        <w:t>2</w:t>
      </w:r>
      <w:r w:rsidR="00A63708">
        <w:rPr>
          <w:rFonts w:hint="eastAsia"/>
        </w:rPr>
        <w:t>、</w:t>
      </w:r>
      <w:r w:rsidR="00A63708" w:rsidRPr="00F67673">
        <w:rPr>
          <w:rFonts w:hint="eastAsia"/>
        </w:rPr>
        <w:t>固定资产形成总额</w:t>
      </w:r>
      <w:r w:rsidR="00A63708">
        <w:rPr>
          <w:rFonts w:hint="eastAsia"/>
        </w:rPr>
        <w:t>包括了无形资产。</w:t>
      </w:r>
    </w:p>
    <w:p w14:paraId="35658FC4" w14:textId="5392A210" w:rsidR="00A63708" w:rsidRDefault="00A63708" w:rsidP="00D91C75">
      <w:pPr>
        <w:ind w:firstLine="480"/>
      </w:pPr>
      <w:r>
        <w:rPr>
          <w:rFonts w:hint="eastAsia"/>
        </w:rPr>
        <w:t>在统计口径上，二者也有差别。</w:t>
      </w:r>
      <w:r w:rsidRPr="00F67673">
        <w:rPr>
          <w:rFonts w:hint="eastAsia"/>
        </w:rPr>
        <w:t>固定资产形成总额</w:t>
      </w:r>
      <w:r>
        <w:rPr>
          <w:rFonts w:hint="eastAsia"/>
        </w:rPr>
        <w:t>由国家统计局核算，相对客观。固定资产投资完成额，地方政府倾向于高估。所以，固定资产投资完成额与固定资产形成总额的比值，</w:t>
      </w:r>
      <w:r>
        <w:rPr>
          <w:rFonts w:hint="eastAsia"/>
        </w:rPr>
        <w:t>2016</w:t>
      </w:r>
      <w:r>
        <w:rPr>
          <w:rFonts w:hint="eastAsia"/>
        </w:rPr>
        <w:t>年达到</w:t>
      </w:r>
      <w:r>
        <w:rPr>
          <w:rFonts w:hint="eastAsia"/>
        </w:rPr>
        <w:t>196%</w:t>
      </w:r>
      <w:r>
        <w:rPr>
          <w:rFonts w:hint="eastAsia"/>
        </w:rPr>
        <w:t>的高点，随后逐步下降。</w:t>
      </w:r>
    </w:p>
    <w:p w14:paraId="36BB9384" w14:textId="77777777" w:rsidR="00D6375E" w:rsidRDefault="00D6375E" w:rsidP="00D91C75">
      <w:pPr>
        <w:ind w:firstLine="480"/>
      </w:pPr>
    </w:p>
    <w:p w14:paraId="24458B15" w14:textId="00C70141" w:rsidR="006445CE" w:rsidRDefault="006445CE" w:rsidP="006445CE">
      <w:pPr>
        <w:pStyle w:val="2"/>
        <w:rPr>
          <w:rFonts w:hint="eastAsia"/>
        </w:rPr>
      </w:pPr>
      <w:r>
        <w:rPr>
          <w:rFonts w:hint="eastAsia"/>
        </w:rPr>
        <w:t xml:space="preserve">4.3 </w:t>
      </w:r>
      <w:r>
        <w:rPr>
          <w:rFonts w:hint="eastAsia"/>
        </w:rPr>
        <w:t>结构</w:t>
      </w:r>
    </w:p>
    <w:p w14:paraId="4512AC77" w14:textId="77777777" w:rsidR="00AD5C60" w:rsidRPr="00F8119F" w:rsidRDefault="00AD5C60" w:rsidP="00AD5C60">
      <w:pPr>
        <w:ind w:firstLine="480"/>
        <w:rPr>
          <w:sz w:val="21"/>
          <w:szCs w:val="20"/>
        </w:rPr>
      </w:pPr>
      <w:r w:rsidRPr="00AD5C60">
        <w:rPr>
          <w:rFonts w:hint="eastAsia"/>
        </w:rPr>
        <w:t>参照：</w:t>
      </w:r>
      <w:hyperlink r:id="rId13" w:history="1">
        <w:r w:rsidRPr="00F8119F">
          <w:rPr>
            <w:rStyle w:val="a4"/>
            <w:sz w:val="21"/>
            <w:szCs w:val="20"/>
          </w:rPr>
          <w:t>https://www.stats.gov.cn/sj/zxfb/202406/t20240617_1954714.html</w:t>
        </w:r>
      </w:hyperlink>
    </w:p>
    <w:p w14:paraId="316A8ABB" w14:textId="0D437B03" w:rsidR="002C0A14" w:rsidRPr="00AD5C60" w:rsidRDefault="00C64642" w:rsidP="002C0A14">
      <w:pPr>
        <w:ind w:firstLine="480"/>
      </w:pPr>
      <w:r w:rsidRPr="00C64642">
        <w:rPr>
          <w:rFonts w:hint="eastAsia"/>
        </w:rPr>
        <w:t>固定资产投资（不含农户）</w:t>
      </w:r>
      <w:r w:rsidR="00D052DC">
        <w:rPr>
          <w:rFonts w:hint="eastAsia"/>
        </w:rPr>
        <w:t>常见的分类标准如下。</w:t>
      </w:r>
    </w:p>
    <w:tbl>
      <w:tblPr>
        <w:tblStyle w:val="a3"/>
        <w:tblW w:w="5000" w:type="pct"/>
        <w:tblLook w:val="04A0" w:firstRow="1" w:lastRow="0" w:firstColumn="1" w:lastColumn="0" w:noHBand="0" w:noVBand="1"/>
      </w:tblPr>
      <w:tblGrid>
        <w:gridCol w:w="8296"/>
      </w:tblGrid>
      <w:tr w:rsidR="006445CE" w:rsidRPr="00345019" w14:paraId="2681082A" w14:textId="77777777" w:rsidTr="002F35B2">
        <w:trPr>
          <w:trHeight w:val="300"/>
        </w:trPr>
        <w:tc>
          <w:tcPr>
            <w:tcW w:w="13200" w:type="dxa"/>
            <w:hideMark/>
          </w:tcPr>
          <w:p w14:paraId="1D858661"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b/>
                <w:bCs/>
                <w:color w:val="000000"/>
                <w:kern w:val="0"/>
                <w:szCs w:val="24"/>
                <w14:ligatures w14:val="none"/>
              </w:rPr>
            </w:pPr>
            <w:r w:rsidRPr="00345019">
              <w:rPr>
                <w:rFonts w:ascii="宋体" w:eastAsia="宋体" w:hAnsi="宋体" w:cs="宋体" w:hint="eastAsia"/>
                <w:b/>
                <w:bCs/>
                <w:color w:val="000000"/>
                <w:kern w:val="0"/>
                <w:szCs w:val="24"/>
                <w14:ligatures w14:val="none"/>
              </w:rPr>
              <w:lastRenderedPageBreak/>
              <w:t>固定资产投资（不含农户）</w:t>
            </w:r>
          </w:p>
        </w:tc>
      </w:tr>
      <w:tr w:rsidR="006445CE" w:rsidRPr="00345019" w14:paraId="39F78097" w14:textId="77777777" w:rsidTr="002F35B2">
        <w:trPr>
          <w:trHeight w:val="300"/>
        </w:trPr>
        <w:tc>
          <w:tcPr>
            <w:tcW w:w="13200" w:type="dxa"/>
            <w:hideMark/>
          </w:tcPr>
          <w:p w14:paraId="3F22ED54"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其中：国有控股</w:t>
            </w:r>
          </w:p>
        </w:tc>
      </w:tr>
      <w:tr w:rsidR="006445CE" w:rsidRPr="00345019" w14:paraId="754E2F1D" w14:textId="77777777" w:rsidTr="002F35B2">
        <w:trPr>
          <w:trHeight w:val="300"/>
        </w:trPr>
        <w:tc>
          <w:tcPr>
            <w:tcW w:w="13200" w:type="dxa"/>
            <w:hideMark/>
          </w:tcPr>
          <w:p w14:paraId="670CE8DC"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其中：民间投资</w:t>
            </w:r>
          </w:p>
        </w:tc>
      </w:tr>
      <w:tr w:rsidR="006445CE" w:rsidRPr="00345019" w14:paraId="650CA0E4" w14:textId="77777777" w:rsidTr="002F35B2">
        <w:trPr>
          <w:trHeight w:val="300"/>
        </w:trPr>
        <w:tc>
          <w:tcPr>
            <w:tcW w:w="13200" w:type="dxa"/>
            <w:hideMark/>
          </w:tcPr>
          <w:p w14:paraId="53725AA7"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按构成分</w:t>
            </w:r>
          </w:p>
        </w:tc>
      </w:tr>
      <w:tr w:rsidR="006445CE" w:rsidRPr="00345019" w14:paraId="02AAF9F5" w14:textId="77777777" w:rsidTr="002F35B2">
        <w:trPr>
          <w:trHeight w:val="300"/>
        </w:trPr>
        <w:tc>
          <w:tcPr>
            <w:tcW w:w="13200" w:type="dxa"/>
            <w:hideMark/>
          </w:tcPr>
          <w:p w14:paraId="30853E12"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建筑安装工程</w:t>
            </w:r>
          </w:p>
        </w:tc>
      </w:tr>
      <w:tr w:rsidR="006445CE" w:rsidRPr="00345019" w14:paraId="686BBFAE" w14:textId="77777777" w:rsidTr="002F35B2">
        <w:trPr>
          <w:trHeight w:val="300"/>
        </w:trPr>
        <w:tc>
          <w:tcPr>
            <w:tcW w:w="13200" w:type="dxa"/>
            <w:hideMark/>
          </w:tcPr>
          <w:p w14:paraId="7443CF11"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设备工器具购置</w:t>
            </w:r>
          </w:p>
        </w:tc>
      </w:tr>
      <w:tr w:rsidR="006445CE" w:rsidRPr="00345019" w14:paraId="49A38CE5" w14:textId="77777777" w:rsidTr="002F35B2">
        <w:trPr>
          <w:trHeight w:val="300"/>
        </w:trPr>
        <w:tc>
          <w:tcPr>
            <w:tcW w:w="13200" w:type="dxa"/>
            <w:hideMark/>
          </w:tcPr>
          <w:p w14:paraId="08A55466"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其他费用</w:t>
            </w:r>
          </w:p>
        </w:tc>
      </w:tr>
      <w:tr w:rsidR="006445CE" w:rsidRPr="00345019" w14:paraId="7DF31F9C" w14:textId="77777777" w:rsidTr="002F35B2">
        <w:trPr>
          <w:trHeight w:val="300"/>
        </w:trPr>
        <w:tc>
          <w:tcPr>
            <w:tcW w:w="13200" w:type="dxa"/>
            <w:hideMark/>
          </w:tcPr>
          <w:p w14:paraId="2260FDBE"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分产业</w:t>
            </w:r>
          </w:p>
        </w:tc>
      </w:tr>
      <w:tr w:rsidR="006445CE" w:rsidRPr="00345019" w14:paraId="6231C5B0" w14:textId="77777777" w:rsidTr="002F35B2">
        <w:trPr>
          <w:trHeight w:val="300"/>
        </w:trPr>
        <w:tc>
          <w:tcPr>
            <w:tcW w:w="13200" w:type="dxa"/>
            <w:hideMark/>
          </w:tcPr>
          <w:p w14:paraId="7310AFB6"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第一产业</w:t>
            </w:r>
          </w:p>
        </w:tc>
      </w:tr>
      <w:tr w:rsidR="006445CE" w:rsidRPr="00345019" w14:paraId="1E8A38C7" w14:textId="77777777" w:rsidTr="002F35B2">
        <w:trPr>
          <w:trHeight w:val="300"/>
        </w:trPr>
        <w:tc>
          <w:tcPr>
            <w:tcW w:w="13200" w:type="dxa"/>
            <w:hideMark/>
          </w:tcPr>
          <w:p w14:paraId="2A79D26C"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第二产业</w:t>
            </w:r>
          </w:p>
        </w:tc>
      </w:tr>
      <w:tr w:rsidR="006445CE" w:rsidRPr="00345019" w14:paraId="17669E2C" w14:textId="77777777" w:rsidTr="002F35B2">
        <w:trPr>
          <w:trHeight w:val="300"/>
        </w:trPr>
        <w:tc>
          <w:tcPr>
            <w:tcW w:w="13200" w:type="dxa"/>
            <w:hideMark/>
          </w:tcPr>
          <w:p w14:paraId="37B0DEF8"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第三产业</w:t>
            </w:r>
          </w:p>
        </w:tc>
      </w:tr>
      <w:tr w:rsidR="006445CE" w:rsidRPr="00345019" w14:paraId="54077BB1" w14:textId="77777777" w:rsidTr="002F35B2">
        <w:trPr>
          <w:trHeight w:val="300"/>
        </w:trPr>
        <w:tc>
          <w:tcPr>
            <w:tcW w:w="13200" w:type="dxa"/>
            <w:hideMark/>
          </w:tcPr>
          <w:p w14:paraId="56CEBBC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分行业</w:t>
            </w:r>
          </w:p>
        </w:tc>
      </w:tr>
      <w:tr w:rsidR="006445CE" w:rsidRPr="00345019" w14:paraId="16401EE4" w14:textId="77777777" w:rsidTr="002F35B2">
        <w:trPr>
          <w:trHeight w:val="300"/>
        </w:trPr>
        <w:tc>
          <w:tcPr>
            <w:tcW w:w="13200" w:type="dxa"/>
            <w:hideMark/>
          </w:tcPr>
          <w:p w14:paraId="3E21156F"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农林牧渔业</w:t>
            </w:r>
          </w:p>
        </w:tc>
      </w:tr>
      <w:tr w:rsidR="006445CE" w:rsidRPr="00345019" w14:paraId="205CF857" w14:textId="77777777" w:rsidTr="002F35B2">
        <w:trPr>
          <w:trHeight w:val="300"/>
        </w:trPr>
        <w:tc>
          <w:tcPr>
            <w:tcW w:w="13200" w:type="dxa"/>
            <w:hideMark/>
          </w:tcPr>
          <w:p w14:paraId="34EDC2F5"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采矿业</w:t>
            </w:r>
          </w:p>
        </w:tc>
      </w:tr>
      <w:tr w:rsidR="006445CE" w:rsidRPr="00345019" w14:paraId="591B5D79" w14:textId="77777777" w:rsidTr="002F35B2">
        <w:trPr>
          <w:trHeight w:val="300"/>
        </w:trPr>
        <w:tc>
          <w:tcPr>
            <w:tcW w:w="13200" w:type="dxa"/>
            <w:hideMark/>
          </w:tcPr>
          <w:p w14:paraId="29AFD216"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制造业</w:t>
            </w:r>
          </w:p>
        </w:tc>
      </w:tr>
      <w:tr w:rsidR="006445CE" w:rsidRPr="00345019" w14:paraId="1D7744E7" w14:textId="77777777" w:rsidTr="002F35B2">
        <w:trPr>
          <w:trHeight w:val="300"/>
        </w:trPr>
        <w:tc>
          <w:tcPr>
            <w:tcW w:w="13200" w:type="dxa"/>
            <w:hideMark/>
          </w:tcPr>
          <w:p w14:paraId="09DDCFB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其中：农副食品加工业</w:t>
            </w:r>
          </w:p>
        </w:tc>
      </w:tr>
      <w:tr w:rsidR="006445CE" w:rsidRPr="00345019" w14:paraId="6EEB3130" w14:textId="77777777" w:rsidTr="002F35B2">
        <w:trPr>
          <w:trHeight w:val="300"/>
        </w:trPr>
        <w:tc>
          <w:tcPr>
            <w:tcW w:w="13200" w:type="dxa"/>
            <w:hideMark/>
          </w:tcPr>
          <w:p w14:paraId="039B1116"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食品制造业</w:t>
            </w:r>
          </w:p>
        </w:tc>
      </w:tr>
      <w:tr w:rsidR="006445CE" w:rsidRPr="00345019" w14:paraId="352B1E48" w14:textId="77777777" w:rsidTr="002F35B2">
        <w:trPr>
          <w:trHeight w:val="300"/>
        </w:trPr>
        <w:tc>
          <w:tcPr>
            <w:tcW w:w="13200" w:type="dxa"/>
            <w:hideMark/>
          </w:tcPr>
          <w:p w14:paraId="4FCAE11E"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纺织业</w:t>
            </w:r>
          </w:p>
        </w:tc>
      </w:tr>
      <w:tr w:rsidR="006445CE" w:rsidRPr="00345019" w14:paraId="68134ECD" w14:textId="77777777" w:rsidTr="002F35B2">
        <w:trPr>
          <w:trHeight w:val="300"/>
        </w:trPr>
        <w:tc>
          <w:tcPr>
            <w:tcW w:w="13200" w:type="dxa"/>
            <w:hideMark/>
          </w:tcPr>
          <w:p w14:paraId="52357697"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化学原料和化学制品制造业</w:t>
            </w:r>
          </w:p>
        </w:tc>
      </w:tr>
      <w:tr w:rsidR="006445CE" w:rsidRPr="00345019" w14:paraId="20000111" w14:textId="77777777" w:rsidTr="002F35B2">
        <w:trPr>
          <w:trHeight w:val="300"/>
        </w:trPr>
        <w:tc>
          <w:tcPr>
            <w:tcW w:w="13200" w:type="dxa"/>
            <w:hideMark/>
          </w:tcPr>
          <w:p w14:paraId="47C30768"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医药制造业</w:t>
            </w:r>
          </w:p>
        </w:tc>
      </w:tr>
      <w:tr w:rsidR="006445CE" w:rsidRPr="00345019" w14:paraId="15204950" w14:textId="77777777" w:rsidTr="002F35B2">
        <w:trPr>
          <w:trHeight w:val="300"/>
        </w:trPr>
        <w:tc>
          <w:tcPr>
            <w:tcW w:w="13200" w:type="dxa"/>
            <w:hideMark/>
          </w:tcPr>
          <w:p w14:paraId="3B35AC50"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有色金属冶炼和压延加工业</w:t>
            </w:r>
          </w:p>
        </w:tc>
      </w:tr>
      <w:tr w:rsidR="006445CE" w:rsidRPr="00345019" w14:paraId="038E3D3E" w14:textId="77777777" w:rsidTr="002F35B2">
        <w:trPr>
          <w:trHeight w:val="300"/>
        </w:trPr>
        <w:tc>
          <w:tcPr>
            <w:tcW w:w="13200" w:type="dxa"/>
            <w:hideMark/>
          </w:tcPr>
          <w:p w14:paraId="12A94A26" w14:textId="77777777" w:rsidR="006445CE" w:rsidRPr="00345019" w:rsidRDefault="006445CE" w:rsidP="002F35B2">
            <w:pPr>
              <w:widowControl/>
              <w:adjustRightInd/>
              <w:snapToGrid/>
              <w:spacing w:line="240" w:lineRule="auto"/>
              <w:ind w:firstLineChars="0" w:firstLine="0"/>
              <w:jc w:val="both"/>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金属制品业</w:t>
            </w:r>
          </w:p>
        </w:tc>
      </w:tr>
      <w:tr w:rsidR="006445CE" w:rsidRPr="00345019" w14:paraId="09073F0F" w14:textId="77777777" w:rsidTr="002F35B2">
        <w:trPr>
          <w:trHeight w:val="300"/>
        </w:trPr>
        <w:tc>
          <w:tcPr>
            <w:tcW w:w="13200" w:type="dxa"/>
            <w:hideMark/>
          </w:tcPr>
          <w:p w14:paraId="02D03829"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通用设备制造业</w:t>
            </w:r>
          </w:p>
        </w:tc>
      </w:tr>
      <w:tr w:rsidR="006445CE" w:rsidRPr="00345019" w14:paraId="1AF9D408" w14:textId="77777777" w:rsidTr="002F35B2">
        <w:trPr>
          <w:trHeight w:val="300"/>
        </w:trPr>
        <w:tc>
          <w:tcPr>
            <w:tcW w:w="13200" w:type="dxa"/>
            <w:hideMark/>
          </w:tcPr>
          <w:p w14:paraId="760AE4D6"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专用设备制造业</w:t>
            </w:r>
          </w:p>
        </w:tc>
      </w:tr>
      <w:tr w:rsidR="006445CE" w:rsidRPr="00345019" w14:paraId="4ADAC491" w14:textId="77777777" w:rsidTr="002F35B2">
        <w:trPr>
          <w:trHeight w:val="300"/>
        </w:trPr>
        <w:tc>
          <w:tcPr>
            <w:tcW w:w="13200" w:type="dxa"/>
            <w:hideMark/>
          </w:tcPr>
          <w:p w14:paraId="7D47E9A1"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汽车制造业</w:t>
            </w:r>
          </w:p>
        </w:tc>
      </w:tr>
      <w:tr w:rsidR="006445CE" w:rsidRPr="00345019" w14:paraId="1D7C3D7D" w14:textId="77777777" w:rsidTr="002F35B2">
        <w:trPr>
          <w:trHeight w:val="300"/>
        </w:trPr>
        <w:tc>
          <w:tcPr>
            <w:tcW w:w="13200" w:type="dxa"/>
            <w:hideMark/>
          </w:tcPr>
          <w:p w14:paraId="45B3CAEA"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铁路、船舶、航空航天和其他运输设备制造业</w:t>
            </w:r>
          </w:p>
        </w:tc>
      </w:tr>
      <w:tr w:rsidR="006445CE" w:rsidRPr="00345019" w14:paraId="05AD4CAC" w14:textId="77777777" w:rsidTr="002F35B2">
        <w:trPr>
          <w:trHeight w:val="300"/>
        </w:trPr>
        <w:tc>
          <w:tcPr>
            <w:tcW w:w="13200" w:type="dxa"/>
            <w:hideMark/>
          </w:tcPr>
          <w:p w14:paraId="424FAD04"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电气机械和器材制造业</w:t>
            </w:r>
          </w:p>
        </w:tc>
      </w:tr>
      <w:tr w:rsidR="006445CE" w:rsidRPr="00345019" w14:paraId="468DE437" w14:textId="77777777" w:rsidTr="002F35B2">
        <w:trPr>
          <w:trHeight w:val="300"/>
        </w:trPr>
        <w:tc>
          <w:tcPr>
            <w:tcW w:w="13200" w:type="dxa"/>
            <w:hideMark/>
          </w:tcPr>
          <w:p w14:paraId="64630A45"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计算机、通信和其他电子设备制造业</w:t>
            </w:r>
          </w:p>
        </w:tc>
      </w:tr>
      <w:tr w:rsidR="006445CE" w:rsidRPr="00345019" w14:paraId="5485F9C6" w14:textId="77777777" w:rsidTr="002F35B2">
        <w:trPr>
          <w:trHeight w:val="300"/>
        </w:trPr>
        <w:tc>
          <w:tcPr>
            <w:tcW w:w="13200" w:type="dxa"/>
            <w:hideMark/>
          </w:tcPr>
          <w:p w14:paraId="4C78E214"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电力、热力、燃气及水生产和供应业</w:t>
            </w:r>
          </w:p>
        </w:tc>
      </w:tr>
      <w:tr w:rsidR="006445CE" w:rsidRPr="00345019" w14:paraId="561B2C57" w14:textId="77777777" w:rsidTr="002F35B2">
        <w:trPr>
          <w:trHeight w:val="300"/>
        </w:trPr>
        <w:tc>
          <w:tcPr>
            <w:tcW w:w="13200" w:type="dxa"/>
            <w:hideMark/>
          </w:tcPr>
          <w:p w14:paraId="32CBF8F9"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交通运输、仓储和邮政业</w:t>
            </w:r>
          </w:p>
        </w:tc>
      </w:tr>
      <w:tr w:rsidR="006445CE" w:rsidRPr="00345019" w14:paraId="4D4A8495" w14:textId="77777777" w:rsidTr="002F35B2">
        <w:trPr>
          <w:trHeight w:val="300"/>
        </w:trPr>
        <w:tc>
          <w:tcPr>
            <w:tcW w:w="13200" w:type="dxa"/>
            <w:hideMark/>
          </w:tcPr>
          <w:p w14:paraId="6B80F52C"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其中：铁路运输业</w:t>
            </w:r>
          </w:p>
        </w:tc>
      </w:tr>
      <w:tr w:rsidR="006445CE" w:rsidRPr="00345019" w14:paraId="5DAB83A1" w14:textId="77777777" w:rsidTr="002F35B2">
        <w:trPr>
          <w:trHeight w:val="300"/>
        </w:trPr>
        <w:tc>
          <w:tcPr>
            <w:tcW w:w="13200" w:type="dxa"/>
            <w:hideMark/>
          </w:tcPr>
          <w:p w14:paraId="3ECD1BA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道路运输业</w:t>
            </w:r>
          </w:p>
        </w:tc>
      </w:tr>
      <w:tr w:rsidR="006445CE" w:rsidRPr="00345019" w14:paraId="5D165469" w14:textId="77777777" w:rsidTr="002F35B2">
        <w:trPr>
          <w:trHeight w:val="300"/>
        </w:trPr>
        <w:tc>
          <w:tcPr>
            <w:tcW w:w="13200" w:type="dxa"/>
            <w:hideMark/>
          </w:tcPr>
          <w:p w14:paraId="17E591C8"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水利、环境和公共设施管理业</w:t>
            </w:r>
          </w:p>
        </w:tc>
      </w:tr>
      <w:tr w:rsidR="006445CE" w:rsidRPr="00345019" w14:paraId="73389374" w14:textId="77777777" w:rsidTr="002F35B2">
        <w:trPr>
          <w:trHeight w:val="300"/>
        </w:trPr>
        <w:tc>
          <w:tcPr>
            <w:tcW w:w="13200" w:type="dxa"/>
            <w:hideMark/>
          </w:tcPr>
          <w:p w14:paraId="3CB1272C"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其中：水利管理业</w:t>
            </w:r>
          </w:p>
        </w:tc>
      </w:tr>
      <w:tr w:rsidR="006445CE" w:rsidRPr="00345019" w14:paraId="611AC148" w14:textId="77777777" w:rsidTr="002F35B2">
        <w:trPr>
          <w:trHeight w:val="300"/>
        </w:trPr>
        <w:tc>
          <w:tcPr>
            <w:tcW w:w="13200" w:type="dxa"/>
            <w:hideMark/>
          </w:tcPr>
          <w:p w14:paraId="5C7DCC7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公共设施管理业</w:t>
            </w:r>
          </w:p>
        </w:tc>
      </w:tr>
      <w:tr w:rsidR="006445CE" w:rsidRPr="00345019" w14:paraId="76427CB9" w14:textId="77777777" w:rsidTr="002F35B2">
        <w:trPr>
          <w:trHeight w:val="300"/>
        </w:trPr>
        <w:tc>
          <w:tcPr>
            <w:tcW w:w="13200" w:type="dxa"/>
            <w:hideMark/>
          </w:tcPr>
          <w:p w14:paraId="5A75DA3F"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教育</w:t>
            </w:r>
          </w:p>
        </w:tc>
      </w:tr>
      <w:tr w:rsidR="006445CE" w:rsidRPr="00345019" w14:paraId="76E3CD0F" w14:textId="77777777" w:rsidTr="002F35B2">
        <w:trPr>
          <w:trHeight w:val="300"/>
        </w:trPr>
        <w:tc>
          <w:tcPr>
            <w:tcW w:w="13200" w:type="dxa"/>
            <w:hideMark/>
          </w:tcPr>
          <w:p w14:paraId="6FB7BD3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卫生和社会工作</w:t>
            </w:r>
          </w:p>
        </w:tc>
      </w:tr>
      <w:tr w:rsidR="006445CE" w:rsidRPr="00345019" w14:paraId="2D9AAC47" w14:textId="77777777" w:rsidTr="002F35B2">
        <w:trPr>
          <w:trHeight w:val="300"/>
        </w:trPr>
        <w:tc>
          <w:tcPr>
            <w:tcW w:w="13200" w:type="dxa"/>
            <w:hideMark/>
          </w:tcPr>
          <w:p w14:paraId="1C3EBB0D"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文化、体育和娱乐业</w:t>
            </w:r>
          </w:p>
        </w:tc>
      </w:tr>
      <w:tr w:rsidR="006445CE" w:rsidRPr="00345019" w14:paraId="411EBF3E" w14:textId="77777777" w:rsidTr="002F35B2">
        <w:trPr>
          <w:trHeight w:val="300"/>
        </w:trPr>
        <w:tc>
          <w:tcPr>
            <w:tcW w:w="13200" w:type="dxa"/>
            <w:hideMark/>
          </w:tcPr>
          <w:p w14:paraId="21CFEF5E"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分注册类型</w:t>
            </w:r>
          </w:p>
        </w:tc>
      </w:tr>
      <w:tr w:rsidR="006445CE" w:rsidRPr="00345019" w14:paraId="0EF2BFFD" w14:textId="77777777" w:rsidTr="002F35B2">
        <w:trPr>
          <w:trHeight w:val="300"/>
        </w:trPr>
        <w:tc>
          <w:tcPr>
            <w:tcW w:w="13200" w:type="dxa"/>
            <w:hideMark/>
          </w:tcPr>
          <w:p w14:paraId="539B7C0C"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其中：内资企业</w:t>
            </w:r>
          </w:p>
        </w:tc>
      </w:tr>
      <w:tr w:rsidR="006445CE" w:rsidRPr="00345019" w14:paraId="759B39CC" w14:textId="77777777" w:rsidTr="002F35B2">
        <w:trPr>
          <w:trHeight w:val="300"/>
        </w:trPr>
        <w:tc>
          <w:tcPr>
            <w:tcW w:w="13200" w:type="dxa"/>
            <w:hideMark/>
          </w:tcPr>
          <w:p w14:paraId="11BC0868"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港澳台商投资企业</w:t>
            </w:r>
          </w:p>
        </w:tc>
      </w:tr>
      <w:tr w:rsidR="006445CE" w:rsidRPr="00345019" w14:paraId="65A51B3A" w14:textId="77777777" w:rsidTr="002F35B2">
        <w:trPr>
          <w:trHeight w:val="300"/>
        </w:trPr>
        <w:tc>
          <w:tcPr>
            <w:tcW w:w="13200" w:type="dxa"/>
            <w:hideMark/>
          </w:tcPr>
          <w:p w14:paraId="5F0533E7" w14:textId="77777777" w:rsidR="006445CE" w:rsidRPr="00345019" w:rsidRDefault="006445CE" w:rsidP="002F35B2">
            <w:pPr>
              <w:widowControl/>
              <w:adjustRightInd/>
              <w:snapToGrid/>
              <w:spacing w:line="240" w:lineRule="auto"/>
              <w:ind w:firstLineChars="0" w:firstLine="0"/>
              <w:rPr>
                <w:rFonts w:ascii="宋体" w:eastAsia="宋体" w:hAnsi="宋体" w:cs="宋体" w:hint="eastAsia"/>
                <w:color w:val="000000"/>
                <w:kern w:val="0"/>
                <w:szCs w:val="24"/>
                <w14:ligatures w14:val="none"/>
              </w:rPr>
            </w:pPr>
            <w:r w:rsidRPr="00345019">
              <w:rPr>
                <w:rFonts w:ascii="宋体" w:eastAsia="宋体" w:hAnsi="宋体" w:cs="宋体" w:hint="eastAsia"/>
                <w:color w:val="000000"/>
                <w:kern w:val="0"/>
                <w:szCs w:val="24"/>
                <w14:ligatures w14:val="none"/>
              </w:rPr>
              <w:t xml:space="preserve">         外商投资企业</w:t>
            </w:r>
          </w:p>
        </w:tc>
      </w:tr>
    </w:tbl>
    <w:p w14:paraId="0E16D8BD" w14:textId="77777777" w:rsidR="006445CE" w:rsidRDefault="006445CE" w:rsidP="00D91C75">
      <w:pPr>
        <w:ind w:firstLine="480"/>
      </w:pPr>
    </w:p>
    <w:p w14:paraId="55DC6075" w14:textId="3EA9B312" w:rsidR="006445CE" w:rsidRDefault="00D33BF3" w:rsidP="00D33BF3">
      <w:pPr>
        <w:pStyle w:val="3"/>
        <w:ind w:firstLine="482"/>
      </w:pPr>
      <w:r>
        <w:rPr>
          <w:rFonts w:hint="eastAsia"/>
        </w:rPr>
        <w:lastRenderedPageBreak/>
        <w:t xml:space="preserve">4.3.1 </w:t>
      </w:r>
      <w:r w:rsidR="003731F8">
        <w:rPr>
          <w:rFonts w:hint="eastAsia"/>
        </w:rPr>
        <w:t>按</w:t>
      </w:r>
      <w:r>
        <w:rPr>
          <w:rFonts w:hint="eastAsia"/>
        </w:rPr>
        <w:t>行业</w:t>
      </w:r>
    </w:p>
    <w:p w14:paraId="1B2D5F1E" w14:textId="15045692" w:rsidR="00091A0B" w:rsidRPr="00333D72" w:rsidRDefault="00333D72" w:rsidP="00333D72">
      <w:pPr>
        <w:ind w:firstLine="480"/>
      </w:pPr>
      <w:r>
        <w:rPr>
          <w:rFonts w:hint="eastAsia"/>
        </w:rPr>
        <w:t>行业分类标准是执行国民经济行业分类标准（</w:t>
      </w:r>
      <w:r>
        <w:t>GB/T 4754-2017</w:t>
      </w:r>
      <w:r>
        <w:t>）</w:t>
      </w:r>
      <w:r>
        <w:rPr>
          <w:rFonts w:hint="eastAsia"/>
        </w:rPr>
        <w:t>（</w:t>
      </w:r>
      <w:hyperlink r:id="rId14" w:history="1">
        <w:r w:rsidRPr="00DF309F">
          <w:rPr>
            <w:rStyle w:val="a4"/>
          </w:rPr>
          <w:t>https://www.mca.gov.cn/images3/www/file/201711/1509495881341.pdf</w:t>
        </w:r>
      </w:hyperlink>
      <w:r>
        <w:rPr>
          <w:rFonts w:hint="eastAsia"/>
        </w:rPr>
        <w:t>）</w:t>
      </w:r>
      <w:r>
        <w:t>。</w:t>
      </w:r>
    </w:p>
    <w:p w14:paraId="71291981" w14:textId="61AE2FB8" w:rsidR="00D33BF3" w:rsidRDefault="008D79C3" w:rsidP="00D91C75">
      <w:pPr>
        <w:ind w:firstLine="480"/>
      </w:pPr>
      <w:r>
        <w:rPr>
          <w:rFonts w:hint="eastAsia"/>
        </w:rPr>
        <w:t>我们比较关心的是制造业投资、基建投资和房地产投资，分别占比</w:t>
      </w:r>
      <w:r>
        <w:rPr>
          <w:rFonts w:hint="eastAsia"/>
        </w:rPr>
        <w:t>30%</w:t>
      </w:r>
      <w:r>
        <w:rPr>
          <w:rFonts w:hint="eastAsia"/>
        </w:rPr>
        <w:t>、</w:t>
      </w:r>
      <w:r>
        <w:rPr>
          <w:rFonts w:hint="eastAsia"/>
        </w:rPr>
        <w:t>25%</w:t>
      </w:r>
      <w:r>
        <w:rPr>
          <w:rFonts w:hint="eastAsia"/>
        </w:rPr>
        <w:t>和</w:t>
      </w:r>
      <w:r>
        <w:rPr>
          <w:rFonts w:hint="eastAsia"/>
        </w:rPr>
        <w:t>20%</w:t>
      </w:r>
      <w:r>
        <w:rPr>
          <w:rFonts w:hint="eastAsia"/>
        </w:rPr>
        <w:t>。</w:t>
      </w:r>
    </w:p>
    <w:p w14:paraId="15E470DD" w14:textId="0E8C6FCA" w:rsidR="00D33BF3" w:rsidRDefault="001708BD" w:rsidP="00D91C75">
      <w:pPr>
        <w:ind w:firstLine="480"/>
      </w:pPr>
      <w:r>
        <w:rPr>
          <w:rFonts w:hint="eastAsia"/>
        </w:rPr>
        <w:t>值得注意的是，房地产行业固定资产投资和房地产开发投资存在差别，因为房地产行业包括了开发、物业管理、中介服务、租赁和其他等，不过总体说二者相差不大。</w:t>
      </w:r>
    </w:p>
    <w:p w14:paraId="118DD759" w14:textId="77777777" w:rsidR="009946A2" w:rsidRDefault="009946A2" w:rsidP="00D91C75">
      <w:pPr>
        <w:ind w:firstLine="480"/>
      </w:pPr>
    </w:p>
    <w:p w14:paraId="3ABC631D" w14:textId="15AE43DC" w:rsidR="009946A2" w:rsidRDefault="009946A2" w:rsidP="009946A2">
      <w:pPr>
        <w:pStyle w:val="3"/>
        <w:ind w:firstLine="482"/>
      </w:pPr>
      <w:r>
        <w:rPr>
          <w:rFonts w:hint="eastAsia"/>
        </w:rPr>
        <w:t xml:space="preserve">4.3.2 </w:t>
      </w:r>
      <w:r>
        <w:rPr>
          <w:rFonts w:hint="eastAsia"/>
        </w:rPr>
        <w:t>按建设性质</w:t>
      </w:r>
    </w:p>
    <w:p w14:paraId="34467F43" w14:textId="54B5C6AB" w:rsidR="006445CE" w:rsidRDefault="00047EAF" w:rsidP="00D91C75">
      <w:pPr>
        <w:ind w:firstLine="480"/>
      </w:pPr>
      <w:r>
        <w:rPr>
          <w:rFonts w:hint="eastAsia"/>
        </w:rPr>
        <w:t>按照建设性质，可以分为新建、扩建</w:t>
      </w:r>
      <w:r w:rsidR="00D61C42">
        <w:rPr>
          <w:rFonts w:hint="eastAsia"/>
        </w:rPr>
        <w:t>、</w:t>
      </w:r>
      <w:r>
        <w:rPr>
          <w:rFonts w:hint="eastAsia"/>
        </w:rPr>
        <w:t>改建</w:t>
      </w:r>
      <w:r w:rsidR="00D61C42">
        <w:rPr>
          <w:rFonts w:hint="eastAsia"/>
        </w:rPr>
        <w:t>和其他，前三者占比分别为</w:t>
      </w:r>
      <w:r w:rsidR="00D61C42">
        <w:rPr>
          <w:rFonts w:hint="eastAsia"/>
        </w:rPr>
        <w:t>50%</w:t>
      </w:r>
      <w:r w:rsidR="00D61C42">
        <w:rPr>
          <w:rFonts w:hint="eastAsia"/>
        </w:rPr>
        <w:t>、</w:t>
      </w:r>
      <w:r w:rsidR="00D61C42">
        <w:rPr>
          <w:rFonts w:hint="eastAsia"/>
        </w:rPr>
        <w:t>11%</w:t>
      </w:r>
      <w:r w:rsidR="00D61C42">
        <w:rPr>
          <w:rFonts w:hint="eastAsia"/>
        </w:rPr>
        <w:t>、</w:t>
      </w:r>
      <w:r w:rsidR="00D61C42">
        <w:rPr>
          <w:rFonts w:hint="eastAsia"/>
        </w:rPr>
        <w:t>15%</w:t>
      </w:r>
      <w:r w:rsidR="00D61C42">
        <w:rPr>
          <w:rFonts w:hint="eastAsia"/>
        </w:rPr>
        <w:t>。</w:t>
      </w:r>
    </w:p>
    <w:p w14:paraId="193DD60B" w14:textId="77777777" w:rsidR="00507479" w:rsidRDefault="00507479" w:rsidP="00D91C75">
      <w:pPr>
        <w:ind w:firstLine="480"/>
      </w:pPr>
    </w:p>
    <w:p w14:paraId="004A6A8A" w14:textId="77777777" w:rsidR="00507479" w:rsidRDefault="00507479" w:rsidP="00D91C75">
      <w:pPr>
        <w:ind w:firstLine="480"/>
      </w:pPr>
    </w:p>
    <w:p w14:paraId="6FD0DD74" w14:textId="77777777" w:rsidR="001522E5" w:rsidRDefault="001522E5" w:rsidP="00D91C75">
      <w:pPr>
        <w:ind w:firstLine="480"/>
      </w:pPr>
    </w:p>
    <w:p w14:paraId="58E47FFE" w14:textId="7F8556A7" w:rsidR="001522E5" w:rsidRDefault="001522E5" w:rsidP="001522E5">
      <w:pPr>
        <w:pStyle w:val="3"/>
        <w:ind w:firstLine="482"/>
      </w:pPr>
      <w:r>
        <w:rPr>
          <w:rFonts w:hint="eastAsia"/>
        </w:rPr>
        <w:t xml:space="preserve">4.3.3 </w:t>
      </w:r>
      <w:r>
        <w:rPr>
          <w:rFonts w:hint="eastAsia"/>
        </w:rPr>
        <w:t>按费用性质</w:t>
      </w:r>
    </w:p>
    <w:p w14:paraId="5644D9DD" w14:textId="61F0B919" w:rsidR="001522E5" w:rsidRDefault="00507479" w:rsidP="001522E5">
      <w:pPr>
        <w:ind w:firstLine="480"/>
      </w:pPr>
      <w:r>
        <w:rPr>
          <w:rFonts w:hint="eastAsia"/>
        </w:rPr>
        <w:t>按照费用性质，可以分为建筑安装工程、设备工器具购置和其他费用，占比分别约</w:t>
      </w:r>
      <w:r>
        <w:rPr>
          <w:rFonts w:hint="eastAsia"/>
        </w:rPr>
        <w:t>70%</w:t>
      </w:r>
      <w:r>
        <w:rPr>
          <w:rFonts w:hint="eastAsia"/>
        </w:rPr>
        <w:t>、</w:t>
      </w:r>
      <w:r>
        <w:rPr>
          <w:rFonts w:hint="eastAsia"/>
        </w:rPr>
        <w:t>16%</w:t>
      </w:r>
      <w:r>
        <w:rPr>
          <w:rFonts w:hint="eastAsia"/>
        </w:rPr>
        <w:t>和</w:t>
      </w:r>
      <w:r>
        <w:rPr>
          <w:rFonts w:hint="eastAsia"/>
        </w:rPr>
        <w:t>14%</w:t>
      </w:r>
      <w:r>
        <w:rPr>
          <w:rFonts w:hint="eastAsia"/>
        </w:rPr>
        <w:t>。</w:t>
      </w:r>
    </w:p>
    <w:p w14:paraId="48618D8F" w14:textId="77777777" w:rsidR="001522E5" w:rsidRDefault="001522E5" w:rsidP="001522E5">
      <w:pPr>
        <w:ind w:firstLine="480"/>
      </w:pPr>
    </w:p>
    <w:p w14:paraId="39952ECA" w14:textId="0CA72F6A" w:rsidR="00507479" w:rsidRDefault="00507479" w:rsidP="00507479">
      <w:pPr>
        <w:pStyle w:val="3"/>
        <w:ind w:firstLine="482"/>
      </w:pPr>
      <w:r>
        <w:rPr>
          <w:rFonts w:hint="eastAsia"/>
        </w:rPr>
        <w:t xml:space="preserve">4.3.4 </w:t>
      </w:r>
      <w:r>
        <w:rPr>
          <w:rFonts w:hint="eastAsia"/>
        </w:rPr>
        <w:t>按注册类型</w:t>
      </w:r>
    </w:p>
    <w:p w14:paraId="1AB6ED19" w14:textId="6943B810" w:rsidR="001522E5" w:rsidRDefault="00507479" w:rsidP="001522E5">
      <w:pPr>
        <w:ind w:firstLine="480"/>
      </w:pPr>
      <w:r>
        <w:rPr>
          <w:rFonts w:hint="eastAsia"/>
        </w:rPr>
        <w:t>按注册类型，可以分为国有企业、集体企业、股份合作企业、联营企业、有限责任公司、股份有限公司、私营企业、其他企业等内资企业，外商和港澳台投资企业，一共</w:t>
      </w:r>
      <w:r>
        <w:rPr>
          <w:rFonts w:hint="eastAsia"/>
        </w:rPr>
        <w:t>9</w:t>
      </w:r>
      <w:r>
        <w:rPr>
          <w:rFonts w:hint="eastAsia"/>
        </w:rPr>
        <w:t>类。</w:t>
      </w:r>
    </w:p>
    <w:p w14:paraId="2614CDE5" w14:textId="2FD9D8EF" w:rsidR="00507479" w:rsidRDefault="00507479" w:rsidP="001522E5">
      <w:pPr>
        <w:ind w:firstLine="480"/>
      </w:pPr>
      <w:r>
        <w:rPr>
          <w:rFonts w:hint="eastAsia"/>
        </w:rPr>
        <w:t>2012</w:t>
      </w:r>
      <w:r>
        <w:rPr>
          <w:rFonts w:hint="eastAsia"/>
        </w:rPr>
        <w:t>年开始，统计局对外公布</w:t>
      </w:r>
      <w:r w:rsidRPr="00507479">
        <w:rPr>
          <w:rFonts w:hint="eastAsia"/>
          <w:b/>
          <w:bCs/>
        </w:rPr>
        <w:t>民间固定资产投资完成额</w:t>
      </w:r>
      <w:r w:rsidR="003F324F">
        <w:rPr>
          <w:rFonts w:hint="eastAsia"/>
        </w:rPr>
        <w:t>，</w:t>
      </w:r>
      <w:r w:rsidR="000F082D">
        <w:rPr>
          <w:rFonts w:hint="eastAsia"/>
        </w:rPr>
        <w:t>占总固定资产投资的比例大约</w:t>
      </w:r>
      <w:r w:rsidR="000F082D">
        <w:rPr>
          <w:rFonts w:hint="eastAsia"/>
        </w:rPr>
        <w:t>60%</w:t>
      </w:r>
      <w:r w:rsidR="000F082D">
        <w:rPr>
          <w:rFonts w:hint="eastAsia"/>
        </w:rPr>
        <w:t>。</w:t>
      </w:r>
    </w:p>
    <w:p w14:paraId="7EA06AB8" w14:textId="28DA8D46" w:rsidR="002F5D0D" w:rsidRPr="003F324F" w:rsidRDefault="003F324F" w:rsidP="001522E5">
      <w:pPr>
        <w:ind w:firstLine="480"/>
      </w:pPr>
      <w:r>
        <w:rPr>
          <w:rFonts w:hint="eastAsia"/>
        </w:rPr>
        <w:t>国家统计局：“</w:t>
      </w:r>
      <w:r w:rsidRPr="003F324F">
        <w:rPr>
          <w:rFonts w:hint="eastAsia"/>
        </w:rPr>
        <w:t>民间固定资产投资</w:t>
      </w:r>
      <w:r>
        <w:rPr>
          <w:rFonts w:hint="eastAsia"/>
        </w:rPr>
        <w:t>，</w:t>
      </w:r>
      <w:r w:rsidRPr="003F324F">
        <w:rPr>
          <w:rFonts w:hint="eastAsia"/>
        </w:rPr>
        <w:t>指具有集体、私营、个人性质的内资企事业单位以及由其控股（包括绝对控股和相对控股）的企业单位在中华人民共和国境内建造或购置固定资产的投资。</w:t>
      </w:r>
      <w:r>
        <w:rPr>
          <w:rFonts w:hint="eastAsia"/>
        </w:rPr>
        <w:t>”</w:t>
      </w:r>
    </w:p>
    <w:p w14:paraId="6D4C50B1" w14:textId="77777777" w:rsidR="002F5D0D" w:rsidRDefault="002F5D0D" w:rsidP="001522E5">
      <w:pPr>
        <w:ind w:firstLine="480"/>
      </w:pPr>
    </w:p>
    <w:p w14:paraId="65E022E0" w14:textId="26E9D9E2" w:rsidR="0048601F" w:rsidRPr="001B3301" w:rsidRDefault="002F5D0D" w:rsidP="002F5D0D">
      <w:pPr>
        <w:pStyle w:val="2"/>
        <w:rPr>
          <w:rFonts w:hint="eastAsia"/>
        </w:rPr>
      </w:pPr>
      <w:r>
        <w:rPr>
          <w:rFonts w:hint="eastAsia"/>
        </w:rPr>
        <w:lastRenderedPageBreak/>
        <w:t xml:space="preserve">4.4 </w:t>
      </w:r>
      <w:r>
        <w:rPr>
          <w:rFonts w:hint="eastAsia"/>
        </w:rPr>
        <w:t>资金来源</w:t>
      </w:r>
    </w:p>
    <w:p w14:paraId="5B90990D" w14:textId="77777777" w:rsidR="00265721" w:rsidRDefault="00265721" w:rsidP="001522E5">
      <w:pPr>
        <w:ind w:firstLine="480"/>
      </w:pPr>
    </w:p>
    <w:p w14:paraId="37AB69D2" w14:textId="3DABDCF3" w:rsidR="0048601F" w:rsidRDefault="00265721" w:rsidP="001522E5">
      <w:pPr>
        <w:ind w:firstLine="480"/>
      </w:pPr>
      <w:r>
        <w:rPr>
          <w:rFonts w:hint="eastAsia"/>
        </w:rPr>
        <w:t>国家统计局：“</w:t>
      </w:r>
      <w:r w:rsidRPr="00265721">
        <w:rPr>
          <w:rFonts w:hint="eastAsia"/>
        </w:rPr>
        <w:t>实际到位资金</w:t>
      </w:r>
      <w:r>
        <w:rPr>
          <w:rFonts w:hint="eastAsia"/>
        </w:rPr>
        <w:t>，</w:t>
      </w:r>
      <w:r w:rsidRPr="00265721">
        <w:rPr>
          <w:rFonts w:hint="eastAsia"/>
        </w:rPr>
        <w:t>指用于固定资产投资的各种货币资金。包括国家预算资金、国内贷款、利用外资、自筹资金和其他资金。</w:t>
      </w:r>
      <w:r>
        <w:rPr>
          <w:rFonts w:hint="eastAsia"/>
        </w:rPr>
        <w:t>”</w:t>
      </w:r>
    </w:p>
    <w:p w14:paraId="49A4FCE2" w14:textId="672BD417" w:rsidR="00016679" w:rsidRDefault="00E44E3B" w:rsidP="001522E5">
      <w:pPr>
        <w:ind w:firstLine="480"/>
      </w:pPr>
      <w:r w:rsidRPr="00265721">
        <w:rPr>
          <w:rFonts w:hint="eastAsia"/>
        </w:rPr>
        <w:t>国家预算资金、国内贷款、利用外资、自筹资金和其他资金</w:t>
      </w:r>
      <w:r>
        <w:rPr>
          <w:rFonts w:hint="eastAsia"/>
        </w:rPr>
        <w:t>分别占比。</w:t>
      </w:r>
    </w:p>
    <w:p w14:paraId="67BBF73A" w14:textId="180EF7D6" w:rsidR="00E44E3B" w:rsidRDefault="00E44E3B" w:rsidP="001522E5">
      <w:pPr>
        <w:ind w:firstLine="480"/>
      </w:pPr>
      <w:r>
        <w:rPr>
          <w:rFonts w:hint="eastAsia"/>
        </w:rPr>
        <w:t>固定资产投资完成额与资金来源基本一致，但也存在差别。这是因为，收到了货币资金，就可以计入固定资产投资资金来源。但是只有形成固定资产，才可以计入固定资产投资完成额。</w:t>
      </w:r>
    </w:p>
    <w:p w14:paraId="0EE9463A" w14:textId="77777777" w:rsidR="00016679" w:rsidRDefault="00016679" w:rsidP="001522E5">
      <w:pPr>
        <w:ind w:firstLine="480"/>
      </w:pPr>
    </w:p>
    <w:p w14:paraId="4683D74F" w14:textId="4DE13110" w:rsidR="00016679" w:rsidRPr="001B3301" w:rsidRDefault="001533AC" w:rsidP="001533AC">
      <w:pPr>
        <w:pStyle w:val="2"/>
        <w:rPr>
          <w:rFonts w:hint="eastAsia"/>
        </w:rPr>
      </w:pPr>
      <w:r>
        <w:rPr>
          <w:rFonts w:hint="eastAsia"/>
        </w:rPr>
        <w:t xml:space="preserve">4.5 </w:t>
      </w:r>
      <w:r>
        <w:rPr>
          <w:rFonts w:hint="eastAsia"/>
        </w:rPr>
        <w:t>形象进度法与财务支出</w:t>
      </w:r>
      <w:r w:rsidR="00A163F7">
        <w:rPr>
          <w:rFonts w:hint="eastAsia"/>
        </w:rPr>
        <w:t>法</w:t>
      </w:r>
    </w:p>
    <w:p w14:paraId="243BE3A6" w14:textId="64F43237" w:rsidR="0048601F" w:rsidRDefault="00A163F7" w:rsidP="001522E5">
      <w:pPr>
        <w:ind w:firstLine="480"/>
      </w:pPr>
      <w:r w:rsidRPr="00A163F7">
        <w:rPr>
          <w:rFonts w:hint="eastAsia"/>
        </w:rPr>
        <w:t>形象进度法与财务支出法</w:t>
      </w:r>
      <w:r>
        <w:rPr>
          <w:rFonts w:hint="eastAsia"/>
        </w:rPr>
        <w:t>是统计固定资产的两种方法。</w:t>
      </w:r>
    </w:p>
    <w:p w14:paraId="7382264C" w14:textId="3590E133" w:rsidR="00A163F7" w:rsidRDefault="00A163F7" w:rsidP="001522E5">
      <w:pPr>
        <w:ind w:firstLine="480"/>
      </w:pPr>
      <w:r>
        <w:rPr>
          <w:rFonts w:hint="eastAsia"/>
        </w:rPr>
        <w:t>形象进度法下，项目投资额和工程施工进度挂钩，即：投资完成额</w:t>
      </w:r>
      <w:r>
        <w:rPr>
          <w:rFonts w:hint="eastAsia"/>
        </w:rPr>
        <w:t>=</w:t>
      </w:r>
      <w:r>
        <w:rPr>
          <w:rFonts w:hint="eastAsia"/>
        </w:rPr>
        <w:t>项目完成进度</w:t>
      </w:r>
      <w:r>
        <w:rPr>
          <w:rFonts w:hint="eastAsia"/>
        </w:rPr>
        <w:t>*</w:t>
      </w:r>
      <w:r>
        <w:rPr>
          <w:rFonts w:hint="eastAsia"/>
        </w:rPr>
        <w:t>总计划投资额。</w:t>
      </w:r>
    </w:p>
    <w:p w14:paraId="12C10F59" w14:textId="7E75595C" w:rsidR="001533AC" w:rsidRDefault="0015535B" w:rsidP="0015535B">
      <w:pPr>
        <w:ind w:firstLine="480"/>
      </w:pPr>
      <w:r>
        <w:rPr>
          <w:rFonts w:hint="eastAsia"/>
        </w:rPr>
        <w:t>这个方法存在一些问题。评估项目进度存在主观性，地方政府倾向于多报数据，一个证据是固定资产投资增速持续高于更为客观的建筑业产值增速。</w:t>
      </w:r>
    </w:p>
    <w:p w14:paraId="41DB4E75" w14:textId="720C6BDC" w:rsidR="0015535B" w:rsidRDefault="0015535B" w:rsidP="0015535B">
      <w:pPr>
        <w:ind w:firstLine="480"/>
      </w:pPr>
      <w:r>
        <w:rPr>
          <w:rFonts w:hint="eastAsia"/>
        </w:rPr>
        <w:t>2013</w:t>
      </w:r>
      <w:r>
        <w:rPr>
          <w:rFonts w:hint="eastAsia"/>
        </w:rPr>
        <w:t>年开始，我国开始逐步过渡到财务支出法。</w:t>
      </w:r>
      <w:r w:rsidR="00AF35B9">
        <w:rPr>
          <w:rFonts w:hint="eastAsia"/>
        </w:rPr>
        <w:t>核算的基础数据从项目进度，变成了财务数据，只有完成会计核算的固定资产投资项目，才能计入固定资产投资完成额。</w:t>
      </w:r>
    </w:p>
    <w:p w14:paraId="3900ACFE" w14:textId="673A12AD" w:rsidR="005D2791" w:rsidRPr="0015535B" w:rsidRDefault="005D2791" w:rsidP="0015535B">
      <w:pPr>
        <w:ind w:firstLine="480"/>
      </w:pPr>
      <w:r>
        <w:rPr>
          <w:rFonts w:hint="eastAsia"/>
        </w:rPr>
        <w:t>财务支出法更加客观，这也是</w:t>
      </w:r>
      <w:r>
        <w:rPr>
          <w:rFonts w:hint="eastAsia"/>
        </w:rPr>
        <w:t>2017</w:t>
      </w:r>
      <w:r>
        <w:rPr>
          <w:rFonts w:hint="eastAsia"/>
        </w:rPr>
        <w:t>年以来我国固定资产投资完成额数据频繁调整的原因。</w:t>
      </w:r>
      <w:r>
        <w:rPr>
          <w:rFonts w:hint="eastAsia"/>
        </w:rPr>
        <w:t>2017</w:t>
      </w:r>
      <w:r>
        <w:rPr>
          <w:rFonts w:hint="eastAsia"/>
        </w:rPr>
        <w:t>年，先行先试区之一的山西省，固定资产投资完成额直接计算同比为</w:t>
      </w:r>
      <w:r>
        <w:rPr>
          <w:rFonts w:hint="eastAsia"/>
        </w:rPr>
        <w:t>-58.7%</w:t>
      </w:r>
      <w:r>
        <w:rPr>
          <w:rFonts w:hint="eastAsia"/>
        </w:rPr>
        <w:t>。</w:t>
      </w:r>
    </w:p>
    <w:p w14:paraId="42431285" w14:textId="77777777" w:rsidR="001533AC" w:rsidRDefault="001533AC" w:rsidP="001522E5">
      <w:pPr>
        <w:ind w:firstLine="480"/>
      </w:pPr>
    </w:p>
    <w:p w14:paraId="4C8A7B1C" w14:textId="77777777" w:rsidR="001533AC" w:rsidRPr="001B3301" w:rsidRDefault="001533AC" w:rsidP="001522E5">
      <w:pPr>
        <w:ind w:firstLine="480"/>
      </w:pPr>
    </w:p>
    <w:p w14:paraId="3EBFAF29" w14:textId="77777777" w:rsidR="001522E5" w:rsidRPr="001B3301" w:rsidRDefault="001522E5" w:rsidP="001522E5">
      <w:pPr>
        <w:ind w:firstLine="480"/>
      </w:pPr>
    </w:p>
    <w:p w14:paraId="4CC3F04B" w14:textId="77777777" w:rsidR="00001FF2" w:rsidRPr="001B3301" w:rsidRDefault="00001FF2" w:rsidP="00D91C75">
      <w:pPr>
        <w:ind w:firstLine="480"/>
      </w:pPr>
    </w:p>
    <w:p w14:paraId="66DD88DB" w14:textId="456A1C8C" w:rsidR="005C7704" w:rsidRPr="00266B46" w:rsidRDefault="005C7704" w:rsidP="00266B46">
      <w:pPr>
        <w:pStyle w:val="1"/>
      </w:pPr>
      <w:r>
        <w:rPr>
          <w:rFonts w:hint="eastAsia"/>
        </w:rPr>
        <w:lastRenderedPageBreak/>
        <w:t xml:space="preserve">5. </w:t>
      </w:r>
      <w:r>
        <w:rPr>
          <w:rFonts w:hint="eastAsia"/>
        </w:rPr>
        <w:t>基建</w:t>
      </w:r>
    </w:p>
    <w:p w14:paraId="3568C07C" w14:textId="28907DC6" w:rsidR="003573A2" w:rsidRDefault="003573A2" w:rsidP="003573A2">
      <w:pPr>
        <w:pStyle w:val="2"/>
        <w:rPr>
          <w:rFonts w:hint="eastAsia"/>
        </w:rPr>
      </w:pPr>
      <w:r>
        <w:rPr>
          <w:rFonts w:hint="eastAsia"/>
        </w:rPr>
        <w:t xml:space="preserve">5.1 </w:t>
      </w:r>
      <w:r>
        <w:rPr>
          <w:rFonts w:hint="eastAsia"/>
        </w:rPr>
        <w:t>指标定义</w:t>
      </w:r>
    </w:p>
    <w:p w14:paraId="4EE162DF" w14:textId="71D5E2BF" w:rsidR="005C7704" w:rsidRDefault="00A64225" w:rsidP="00D91C75">
      <w:pPr>
        <w:ind w:firstLine="480"/>
      </w:pPr>
      <w:r>
        <w:rPr>
          <w:rFonts w:hint="eastAsia"/>
        </w:rPr>
        <w:t>国家统计局：“</w:t>
      </w:r>
      <w:r w:rsidRPr="00A64225">
        <w:rPr>
          <w:rFonts w:hint="eastAsia"/>
        </w:rPr>
        <w:t>基础设施投资</w:t>
      </w:r>
      <w:r w:rsidR="00132E0D">
        <w:rPr>
          <w:rFonts w:hint="eastAsia"/>
        </w:rPr>
        <w:t>，</w:t>
      </w:r>
      <w:r w:rsidRPr="00A64225">
        <w:rPr>
          <w:rFonts w:hint="eastAsia"/>
        </w:rPr>
        <w:t>指为社会生产和生活提供基础性、大众性服务的工程和设施，是社会赖以生存和发展的基本条件。包括以下行业投资：铁路运输业、道路运输业、水上运输业、航空运输业、管道运输业、多式联运和运输代理业、装卸搬运业、邮政业、电信广播电视和卫星传输服务业、互联网和相关服务业、水利管理业、生态保护和环境治理业、公共设施管理业。</w:t>
      </w:r>
      <w:r>
        <w:rPr>
          <w:rFonts w:hint="eastAsia"/>
        </w:rPr>
        <w:t>”</w:t>
      </w:r>
      <w:r w:rsidR="00A75556">
        <w:rPr>
          <w:rFonts w:hint="eastAsia"/>
        </w:rPr>
        <w:t>（</w:t>
      </w:r>
      <w:hyperlink r:id="rId15" w:history="1">
        <w:r w:rsidR="00A75556" w:rsidRPr="00DF309F">
          <w:rPr>
            <w:rStyle w:val="a4"/>
          </w:rPr>
          <w:t>https://www.stats.gov.cn/sj/ndsj/2021/html/zb10.htm</w:t>
        </w:r>
      </w:hyperlink>
      <w:r w:rsidR="00A75556">
        <w:rPr>
          <w:rFonts w:hint="eastAsia"/>
        </w:rPr>
        <w:t>）</w:t>
      </w:r>
    </w:p>
    <w:p w14:paraId="1C9DFDAF" w14:textId="7F427C57" w:rsidR="003A1DA9" w:rsidRPr="00333D72" w:rsidRDefault="003A1DA9" w:rsidP="003A1DA9">
      <w:pPr>
        <w:ind w:firstLine="480"/>
      </w:pPr>
      <w:r>
        <w:rPr>
          <w:rFonts w:hint="eastAsia"/>
        </w:rPr>
        <w:t>参照行业分类标准是执行国民经济行业分类标准（</w:t>
      </w:r>
      <w:r>
        <w:t>GB/T 4754-2017</w:t>
      </w:r>
      <w:r>
        <w:t>）</w:t>
      </w:r>
      <w:r>
        <w:rPr>
          <w:rFonts w:hint="eastAsia"/>
        </w:rPr>
        <w:t>（</w:t>
      </w:r>
      <w:hyperlink r:id="rId16" w:history="1">
        <w:r w:rsidRPr="00DF309F">
          <w:rPr>
            <w:rStyle w:val="a4"/>
          </w:rPr>
          <w:t>https://www.mca.gov.cn/images3/www/file/201711/1509495881341.pdf</w:t>
        </w:r>
      </w:hyperlink>
      <w:r>
        <w:rPr>
          <w:rFonts w:hint="eastAsia"/>
        </w:rPr>
        <w:t>），国家统计局的基础设施投资，包括了</w:t>
      </w:r>
      <w:r>
        <w:rPr>
          <w:rFonts w:hint="eastAsia"/>
        </w:rPr>
        <w:t>3</w:t>
      </w:r>
      <w:r>
        <w:rPr>
          <w:rFonts w:hint="eastAsia"/>
        </w:rPr>
        <w:t>个一级行业</w:t>
      </w:r>
      <w:r w:rsidR="00A45019">
        <w:rPr>
          <w:rFonts w:hint="eastAsia"/>
        </w:rPr>
        <w:t>：</w:t>
      </w:r>
      <w:r w:rsidR="004E043F">
        <w:rPr>
          <w:rFonts w:hint="eastAsia"/>
        </w:rPr>
        <w:t>“</w:t>
      </w:r>
      <w:r w:rsidR="00A45019">
        <w:rPr>
          <w:rFonts w:hint="eastAsia"/>
        </w:rPr>
        <w:t>交通运输、仓储和邮政业</w:t>
      </w:r>
      <w:r w:rsidR="004E043F">
        <w:rPr>
          <w:rFonts w:hint="eastAsia"/>
        </w:rPr>
        <w:t>”</w:t>
      </w:r>
      <w:r w:rsidR="00A45019">
        <w:rPr>
          <w:rFonts w:hint="eastAsia"/>
        </w:rPr>
        <w:t>，</w:t>
      </w:r>
      <w:r w:rsidR="004E043F">
        <w:rPr>
          <w:rFonts w:hint="eastAsia"/>
        </w:rPr>
        <w:t>“</w:t>
      </w:r>
      <w:r w:rsidR="00A45019">
        <w:rPr>
          <w:rFonts w:hint="eastAsia"/>
        </w:rPr>
        <w:t>信息传输、软件和信息技术服务业</w:t>
      </w:r>
      <w:r w:rsidR="004E043F">
        <w:rPr>
          <w:rFonts w:hint="eastAsia"/>
        </w:rPr>
        <w:t>”</w:t>
      </w:r>
      <w:r w:rsidR="00A45019">
        <w:rPr>
          <w:rFonts w:hint="eastAsia"/>
        </w:rPr>
        <w:t>，</w:t>
      </w:r>
      <w:r w:rsidR="004E043F">
        <w:rPr>
          <w:rFonts w:hint="eastAsia"/>
        </w:rPr>
        <w:t>“</w:t>
      </w:r>
      <w:r w:rsidR="00A45019">
        <w:rPr>
          <w:rFonts w:hint="eastAsia"/>
        </w:rPr>
        <w:t>水利、环境和公共设施管理业</w:t>
      </w:r>
      <w:r w:rsidR="004E043F">
        <w:rPr>
          <w:rFonts w:hint="eastAsia"/>
        </w:rPr>
        <w:t>”</w:t>
      </w:r>
      <w:r w:rsidR="00B241C5">
        <w:rPr>
          <w:rFonts w:hint="eastAsia"/>
        </w:rPr>
        <w:t>，但是剔除了</w:t>
      </w:r>
      <w:r w:rsidR="00B241C5">
        <w:rPr>
          <w:rFonts w:hint="eastAsia"/>
        </w:rPr>
        <w:t>1</w:t>
      </w:r>
      <w:r w:rsidR="00B241C5">
        <w:rPr>
          <w:rFonts w:hint="eastAsia"/>
        </w:rPr>
        <w:t>个二级行业，即剔除了</w:t>
      </w:r>
      <w:r w:rsidR="004E043F">
        <w:rPr>
          <w:rFonts w:hint="eastAsia"/>
        </w:rPr>
        <w:t>“</w:t>
      </w:r>
      <w:r w:rsidR="00B241C5">
        <w:rPr>
          <w:rFonts w:hint="eastAsia"/>
        </w:rPr>
        <w:t>信息传输、软件和信息技术服务业</w:t>
      </w:r>
      <w:r w:rsidR="004E043F">
        <w:rPr>
          <w:rFonts w:hint="eastAsia"/>
        </w:rPr>
        <w:t>”</w:t>
      </w:r>
      <w:r w:rsidR="00B241C5">
        <w:rPr>
          <w:rFonts w:hint="eastAsia"/>
        </w:rPr>
        <w:t>下面的</w:t>
      </w:r>
      <w:r w:rsidR="004E043F">
        <w:rPr>
          <w:rFonts w:hint="eastAsia"/>
        </w:rPr>
        <w:t>“</w:t>
      </w:r>
      <w:r w:rsidR="00B241C5">
        <w:rPr>
          <w:rFonts w:hint="eastAsia"/>
        </w:rPr>
        <w:t>软件和信息技术服务业</w:t>
      </w:r>
      <w:r w:rsidR="004E043F">
        <w:rPr>
          <w:rFonts w:hint="eastAsia"/>
        </w:rPr>
        <w:t>”</w:t>
      </w:r>
      <w:r w:rsidR="00B241C5">
        <w:rPr>
          <w:rFonts w:hint="eastAsia"/>
        </w:rPr>
        <w:t>。</w:t>
      </w:r>
    </w:p>
    <w:p w14:paraId="4DD6C6AC" w14:textId="567774D9" w:rsidR="005C7704" w:rsidRPr="003A1DA9" w:rsidRDefault="00683673" w:rsidP="00D91C75">
      <w:pPr>
        <w:ind w:firstLine="480"/>
      </w:pPr>
      <w:r>
        <w:rPr>
          <w:rFonts w:hint="eastAsia"/>
        </w:rPr>
        <w:t>市场关心的基建指标，还包括</w:t>
      </w:r>
      <w:r>
        <w:rPr>
          <w:rFonts w:hint="eastAsia"/>
        </w:rPr>
        <w:t>Wind</w:t>
      </w:r>
      <w:r>
        <w:rPr>
          <w:rFonts w:hint="eastAsia"/>
        </w:rPr>
        <w:t>自行统计的基建投资，这个指标也包括了</w:t>
      </w:r>
      <w:r>
        <w:rPr>
          <w:rFonts w:hint="eastAsia"/>
        </w:rPr>
        <w:t>3</w:t>
      </w:r>
      <w:r>
        <w:rPr>
          <w:rFonts w:hint="eastAsia"/>
        </w:rPr>
        <w:t>个一级行业，相比于统计局的指标，剔除了</w:t>
      </w:r>
      <w:r w:rsidR="004E043F">
        <w:rPr>
          <w:rFonts w:hint="eastAsia"/>
        </w:rPr>
        <w:t>“</w:t>
      </w:r>
      <w:r>
        <w:rPr>
          <w:rFonts w:hint="eastAsia"/>
        </w:rPr>
        <w:t>信息传输、软件和信息技术服务业</w:t>
      </w:r>
      <w:r w:rsidR="004E043F">
        <w:rPr>
          <w:rFonts w:hint="eastAsia"/>
        </w:rPr>
        <w:t>”</w:t>
      </w:r>
      <w:r>
        <w:rPr>
          <w:rFonts w:hint="eastAsia"/>
        </w:rPr>
        <w:t>，增加了</w:t>
      </w:r>
      <w:r w:rsidR="004E043F">
        <w:rPr>
          <w:rFonts w:hint="eastAsia"/>
        </w:rPr>
        <w:t>“</w:t>
      </w:r>
      <w:r>
        <w:rPr>
          <w:rFonts w:hint="eastAsia"/>
        </w:rPr>
        <w:t>电力、热力、燃气及谁的生产和供应业</w:t>
      </w:r>
      <w:r w:rsidR="004E043F">
        <w:rPr>
          <w:rFonts w:hint="eastAsia"/>
        </w:rPr>
        <w:t>”</w:t>
      </w:r>
      <w:r>
        <w:rPr>
          <w:rFonts w:hint="eastAsia"/>
        </w:rPr>
        <w:t>。</w:t>
      </w:r>
    </w:p>
    <w:p w14:paraId="1EF83210" w14:textId="13D9539B" w:rsidR="005C7704" w:rsidRDefault="009E0395" w:rsidP="00D91C75">
      <w:pPr>
        <w:ind w:firstLine="480"/>
      </w:pPr>
      <w:r>
        <w:rPr>
          <w:rFonts w:hint="eastAsia"/>
        </w:rPr>
        <w:t>“电力、热力、燃气及谁的生产和供应业”，“交通运输、仓储和邮政业”，</w:t>
      </w:r>
      <w:r>
        <w:rPr>
          <w:rFonts w:hint="eastAsia"/>
        </w:rPr>
        <w:t xml:space="preserve"> </w:t>
      </w:r>
      <w:r>
        <w:rPr>
          <w:rFonts w:hint="eastAsia"/>
        </w:rPr>
        <w:t>“水利、环境和公共设施管理业”三者占比分别约</w:t>
      </w:r>
      <w:r>
        <w:rPr>
          <w:rFonts w:hint="eastAsia"/>
        </w:rPr>
        <w:t>48%</w:t>
      </w:r>
      <w:r>
        <w:rPr>
          <w:rFonts w:hint="eastAsia"/>
        </w:rPr>
        <w:t>、</w:t>
      </w:r>
      <w:r>
        <w:rPr>
          <w:rFonts w:hint="eastAsia"/>
        </w:rPr>
        <w:t>35%</w:t>
      </w:r>
      <w:r>
        <w:rPr>
          <w:rFonts w:hint="eastAsia"/>
        </w:rPr>
        <w:t>和</w:t>
      </w:r>
      <w:r>
        <w:rPr>
          <w:rFonts w:hint="eastAsia"/>
        </w:rPr>
        <w:t>17%</w:t>
      </w:r>
      <w:r>
        <w:rPr>
          <w:rFonts w:hint="eastAsia"/>
        </w:rPr>
        <w:t>。</w:t>
      </w:r>
      <w:r w:rsidR="00A8093D">
        <w:rPr>
          <w:rFonts w:hint="eastAsia"/>
        </w:rPr>
        <w:t>简单看，就是</w:t>
      </w:r>
      <w:r w:rsidR="00B55982">
        <w:rPr>
          <w:rFonts w:hint="eastAsia"/>
        </w:rPr>
        <w:t>，</w:t>
      </w:r>
      <w:r w:rsidR="00A8093D">
        <w:rPr>
          <w:rFonts w:hint="eastAsia"/>
        </w:rPr>
        <w:t>火</w:t>
      </w:r>
      <w:r w:rsidR="00B55982">
        <w:rPr>
          <w:rFonts w:hint="eastAsia"/>
        </w:rPr>
        <w:t>:</w:t>
      </w:r>
      <w:r w:rsidR="00A8093D">
        <w:rPr>
          <w:rFonts w:hint="eastAsia"/>
        </w:rPr>
        <w:t>路</w:t>
      </w:r>
      <w:r w:rsidR="00B55982">
        <w:rPr>
          <w:rFonts w:hint="eastAsia"/>
        </w:rPr>
        <w:t>:</w:t>
      </w:r>
      <w:r w:rsidR="00A8093D">
        <w:rPr>
          <w:rFonts w:hint="eastAsia"/>
        </w:rPr>
        <w:t>水</w:t>
      </w:r>
      <w:r w:rsidR="00A8093D">
        <w:rPr>
          <w:rFonts w:hint="eastAsia"/>
        </w:rPr>
        <w:t>=3</w:t>
      </w:r>
      <w:r w:rsidR="00B55982">
        <w:rPr>
          <w:rFonts w:hint="eastAsia"/>
        </w:rPr>
        <w:t>:</w:t>
      </w:r>
      <w:r w:rsidR="00A8093D">
        <w:rPr>
          <w:rFonts w:hint="eastAsia"/>
        </w:rPr>
        <w:t>2</w:t>
      </w:r>
      <w:r w:rsidR="00B55982">
        <w:rPr>
          <w:rFonts w:hint="eastAsia"/>
        </w:rPr>
        <w:t>:</w:t>
      </w:r>
      <w:r w:rsidR="00A8093D">
        <w:rPr>
          <w:rFonts w:hint="eastAsia"/>
        </w:rPr>
        <w:t>1</w:t>
      </w:r>
      <w:r w:rsidR="00803CF4">
        <w:rPr>
          <w:rFonts w:hint="eastAsia"/>
        </w:rPr>
        <w:t>。</w:t>
      </w:r>
    </w:p>
    <w:p w14:paraId="0CA5566F" w14:textId="22E5D8CA" w:rsidR="005C7704" w:rsidRDefault="007774A9" w:rsidP="00D91C75">
      <w:pPr>
        <w:ind w:firstLine="480"/>
      </w:pPr>
      <w:r>
        <w:rPr>
          <w:rFonts w:hint="eastAsia"/>
        </w:rPr>
        <w:t>各个二级行业中，比较重要的包括：公共设施管理业、道路运输业、电力热力生产和供应业、水利管理业、铁路运输业。</w:t>
      </w:r>
    </w:p>
    <w:p w14:paraId="60EB24E3" w14:textId="631C3400" w:rsidR="00F00A6D" w:rsidRDefault="00D34B4F" w:rsidP="00D91C75">
      <w:pPr>
        <w:ind w:firstLine="480"/>
      </w:pPr>
      <w:r>
        <w:rPr>
          <w:rFonts w:hint="eastAsia"/>
        </w:rPr>
        <w:t>公共设施管理业，</w:t>
      </w:r>
      <w:r w:rsidR="009B71BE">
        <w:rPr>
          <w:rFonts w:hint="eastAsia"/>
        </w:rPr>
        <w:t>主要包括市政设施管理，比如排水系统、路灯、广场</w:t>
      </w:r>
      <w:r w:rsidR="00F00A6D">
        <w:rPr>
          <w:rFonts w:hint="eastAsia"/>
        </w:rPr>
        <w:t>、城市内部道路</w:t>
      </w:r>
      <w:r w:rsidR="009B71BE">
        <w:rPr>
          <w:rFonts w:hint="eastAsia"/>
        </w:rPr>
        <w:t>等，是典型的政府主导投资的基建项目。</w:t>
      </w:r>
      <w:r w:rsidR="00F00A6D">
        <w:rPr>
          <w:rFonts w:hint="eastAsia"/>
        </w:rPr>
        <w:t>道路运输业，主要包括公路旅客运输、道路货物运输、公共交通运输等。电力热力生产和供应业，主要包括各类电站的建设，比如火电、水电、核电、风电、太阳能等。水利管理业，主要包括防洪排涝工程，比如三峡水利工程、南水北调工程。铁路运输</w:t>
      </w:r>
      <w:r w:rsidR="00F00A6D">
        <w:rPr>
          <w:rFonts w:hint="eastAsia"/>
        </w:rPr>
        <w:lastRenderedPageBreak/>
        <w:t>业，主要包括修铁路、买火车、建火车站等。</w:t>
      </w:r>
    </w:p>
    <w:p w14:paraId="27ECF3E2" w14:textId="2A43EB36" w:rsidR="00407484" w:rsidRDefault="00626336" w:rsidP="00407484">
      <w:pPr>
        <w:ind w:firstLine="480"/>
      </w:pPr>
      <w:r>
        <w:rPr>
          <w:rFonts w:hint="eastAsia"/>
        </w:rPr>
        <w:t>2018</w:t>
      </w:r>
      <w:r>
        <w:rPr>
          <w:rFonts w:hint="eastAsia"/>
        </w:rPr>
        <w:t>年，中央经济工作会议首次提出“新基建”的概念。</w:t>
      </w:r>
      <w:r>
        <w:rPr>
          <w:rFonts w:hint="eastAsia"/>
        </w:rPr>
        <w:t>2020</w:t>
      </w:r>
      <w:r>
        <w:rPr>
          <w:rFonts w:hint="eastAsia"/>
        </w:rPr>
        <w:t>年</w:t>
      </w:r>
      <w:r>
        <w:rPr>
          <w:rFonts w:hint="eastAsia"/>
        </w:rPr>
        <w:t>4</w:t>
      </w:r>
      <w:r>
        <w:rPr>
          <w:rFonts w:hint="eastAsia"/>
        </w:rPr>
        <w:t>月，发改委</w:t>
      </w:r>
      <w:r w:rsidR="00407484">
        <w:rPr>
          <w:rFonts w:hint="eastAsia"/>
        </w:rPr>
        <w:t>在新闻发布会上，</w:t>
      </w:r>
      <w:r>
        <w:rPr>
          <w:rFonts w:hint="eastAsia"/>
        </w:rPr>
        <w:t>首次明确新基建的定义和范围</w:t>
      </w:r>
      <w:r w:rsidR="00407484">
        <w:rPr>
          <w:rFonts w:hint="eastAsia"/>
        </w:rPr>
        <w:t>，包括三类：</w:t>
      </w:r>
      <w:r w:rsidR="00407484">
        <w:rPr>
          <w:rFonts w:hint="eastAsia"/>
        </w:rPr>
        <w:t>1</w:t>
      </w:r>
      <w:r w:rsidR="00407484">
        <w:rPr>
          <w:rFonts w:hint="eastAsia"/>
        </w:rPr>
        <w:t>、信息基础设施，比如</w:t>
      </w:r>
      <w:r w:rsidR="00407484">
        <w:rPr>
          <w:rFonts w:hint="eastAsia"/>
        </w:rPr>
        <w:t>5G</w:t>
      </w:r>
      <w:r w:rsidR="00407484">
        <w:rPr>
          <w:rFonts w:hint="eastAsia"/>
        </w:rPr>
        <w:t>、物联网、人工智能；</w:t>
      </w:r>
      <w:r w:rsidR="00407484">
        <w:rPr>
          <w:rFonts w:hint="eastAsia"/>
        </w:rPr>
        <w:t>2</w:t>
      </w:r>
      <w:r w:rsidR="00407484">
        <w:rPr>
          <w:rFonts w:hint="eastAsia"/>
        </w:rPr>
        <w:t>、</w:t>
      </w:r>
      <w:r w:rsidR="00407484" w:rsidRPr="00407484">
        <w:rPr>
          <w:b/>
          <w:bCs/>
        </w:rPr>
        <w:t>融合基础设施</w:t>
      </w:r>
      <w:r w:rsidR="00407484">
        <w:rPr>
          <w:rFonts w:hint="eastAsia"/>
          <w:b/>
          <w:bCs/>
        </w:rPr>
        <w:t>，</w:t>
      </w:r>
      <w:r w:rsidR="00407484" w:rsidRPr="00407484">
        <w:t>比如智能交通基础设施、智慧能源基础设施等</w:t>
      </w:r>
      <w:r w:rsidR="00407484">
        <w:rPr>
          <w:rFonts w:hint="eastAsia"/>
        </w:rPr>
        <w:t>；</w:t>
      </w:r>
      <w:r w:rsidR="00407484">
        <w:rPr>
          <w:rFonts w:hint="eastAsia"/>
        </w:rPr>
        <w:t>3</w:t>
      </w:r>
      <w:r w:rsidR="00407484">
        <w:rPr>
          <w:rFonts w:hint="eastAsia"/>
        </w:rPr>
        <w:t>、</w:t>
      </w:r>
      <w:r w:rsidR="00407484" w:rsidRPr="00407484">
        <w:rPr>
          <w:b/>
          <w:bCs/>
        </w:rPr>
        <w:t>创新基础设施</w:t>
      </w:r>
      <w:r w:rsidR="00407484">
        <w:rPr>
          <w:rFonts w:hint="eastAsia"/>
          <w:b/>
          <w:bCs/>
        </w:rPr>
        <w:t>，</w:t>
      </w:r>
      <w:r w:rsidR="00407484" w:rsidRPr="00407484">
        <w:t>比如重大科技基础设施、科教基础设施、产业技术创新基础设施等。</w:t>
      </w:r>
    </w:p>
    <w:p w14:paraId="6A55131C" w14:textId="3D614FC3" w:rsidR="00C42E69" w:rsidRPr="00407484" w:rsidRDefault="00C42E69" w:rsidP="00407484">
      <w:pPr>
        <w:ind w:firstLine="480"/>
      </w:pPr>
      <w:r>
        <w:rPr>
          <w:rFonts w:hint="eastAsia"/>
        </w:rPr>
        <w:t>市场一般认为新基建包括</w:t>
      </w:r>
      <w:r>
        <w:rPr>
          <w:rFonts w:hint="eastAsia"/>
        </w:rPr>
        <w:t>7</w:t>
      </w:r>
      <w:r>
        <w:rPr>
          <w:rFonts w:hint="eastAsia"/>
        </w:rPr>
        <w:t>个方向：</w:t>
      </w:r>
      <w:r>
        <w:rPr>
          <w:rFonts w:hint="eastAsia"/>
        </w:rPr>
        <w:t>5G</w:t>
      </w:r>
      <w:r>
        <w:rPr>
          <w:rFonts w:hint="eastAsia"/>
        </w:rPr>
        <w:t>、特高压、城际高铁、新能源汽车充电桩、大数据中心、人工智能、工业互联网。</w:t>
      </w:r>
    </w:p>
    <w:p w14:paraId="55E10079" w14:textId="4854E9BC" w:rsidR="00EA726D" w:rsidRPr="00264717" w:rsidRDefault="00EA726D" w:rsidP="00D91C75">
      <w:pPr>
        <w:ind w:firstLine="480"/>
      </w:pPr>
    </w:p>
    <w:p w14:paraId="701AF65B" w14:textId="6E794878" w:rsidR="005C7704" w:rsidRDefault="004A1D89" w:rsidP="004A1D89">
      <w:pPr>
        <w:pStyle w:val="2"/>
        <w:rPr>
          <w:rFonts w:hint="eastAsia"/>
        </w:rPr>
      </w:pPr>
      <w:r>
        <w:rPr>
          <w:rFonts w:hint="eastAsia"/>
        </w:rPr>
        <w:t xml:space="preserve">5.2 </w:t>
      </w:r>
      <w:r>
        <w:rPr>
          <w:rFonts w:hint="eastAsia"/>
        </w:rPr>
        <w:t>审批</w:t>
      </w:r>
    </w:p>
    <w:p w14:paraId="0D1BD151" w14:textId="72FFACBD" w:rsidR="004A1D89" w:rsidRDefault="00711883" w:rsidP="00D91C75">
      <w:pPr>
        <w:ind w:firstLine="480"/>
      </w:pPr>
      <w:r>
        <w:rPr>
          <w:rFonts w:hint="eastAsia"/>
        </w:rPr>
        <w:t>基建项目一般要经历</w:t>
      </w:r>
      <w:r>
        <w:rPr>
          <w:rFonts w:hint="eastAsia"/>
        </w:rPr>
        <w:t>5</w:t>
      </w:r>
      <w:r>
        <w:rPr>
          <w:rFonts w:hint="eastAsia"/>
        </w:rPr>
        <w:t>个阶段：申报、审批、融资、施工、运营。其中，申报和审批与政府意愿相关，融资与资金来源相关，施工直接反映在基建投资上，运营则长达十几年。</w:t>
      </w:r>
    </w:p>
    <w:p w14:paraId="29297A79" w14:textId="7F56FE94" w:rsidR="00B9446F" w:rsidRDefault="00B9446F" w:rsidP="00D91C75">
      <w:pPr>
        <w:ind w:firstLine="480"/>
      </w:pPr>
      <w:r>
        <w:rPr>
          <w:rFonts w:hint="eastAsia"/>
        </w:rPr>
        <w:t>基础设施投资，一般初期投资金额大、收益率偏低且回收期长，但又有利于老百姓，所以政府往往是基建项目的发起者。</w:t>
      </w:r>
      <w:r w:rsidR="00D9671D">
        <w:rPr>
          <w:rFonts w:hint="eastAsia"/>
        </w:rPr>
        <w:t>所以，政府的基建意愿很重要。</w:t>
      </w:r>
      <w:r w:rsidR="00600E6C">
        <w:rPr>
          <w:rFonts w:hint="eastAsia"/>
        </w:rPr>
        <w:t>我们一般关注重要会议上关于财政政策的表述，来分析政府的基建</w:t>
      </w:r>
      <w:r w:rsidR="00006E6E">
        <w:rPr>
          <w:rFonts w:hint="eastAsia"/>
        </w:rPr>
        <w:t>意愿。</w:t>
      </w:r>
    </w:p>
    <w:p w14:paraId="67A2E3D4" w14:textId="224BB62C" w:rsidR="00006E6E" w:rsidRDefault="00006E6E" w:rsidP="00D91C75">
      <w:pPr>
        <w:ind w:firstLine="480"/>
      </w:pPr>
      <w:r>
        <w:rPr>
          <w:rFonts w:hint="eastAsia"/>
        </w:rPr>
        <w:t>最重要的三个会议是：</w:t>
      </w:r>
      <w:r>
        <w:rPr>
          <w:rFonts w:hint="eastAsia"/>
        </w:rPr>
        <w:t>1</w:t>
      </w:r>
      <w:r>
        <w:rPr>
          <w:rFonts w:hint="eastAsia"/>
        </w:rPr>
        <w:t>、两会及政府工作报告；</w:t>
      </w:r>
      <w:r>
        <w:rPr>
          <w:rFonts w:hint="eastAsia"/>
        </w:rPr>
        <w:t>2</w:t>
      </w:r>
      <w:r>
        <w:rPr>
          <w:rFonts w:hint="eastAsia"/>
        </w:rPr>
        <w:t>、中共中央政治局会议；</w:t>
      </w:r>
      <w:r>
        <w:rPr>
          <w:rFonts w:hint="eastAsia"/>
        </w:rPr>
        <w:t>3</w:t>
      </w:r>
      <w:r>
        <w:rPr>
          <w:rFonts w:hint="eastAsia"/>
        </w:rPr>
        <w:t>、中央经济工作会议。</w:t>
      </w:r>
    </w:p>
    <w:p w14:paraId="0B02E146" w14:textId="72A2F9A4" w:rsidR="00926157" w:rsidRDefault="00926157" w:rsidP="00D91C75">
      <w:pPr>
        <w:ind w:firstLine="480"/>
      </w:pPr>
      <w:r>
        <w:rPr>
          <w:rFonts w:hint="eastAsia"/>
        </w:rPr>
        <w:t>两会是每年召开的全国人民代表大会和全中国人民政治协商会议，一般每年</w:t>
      </w:r>
      <w:r>
        <w:rPr>
          <w:rFonts w:hint="eastAsia"/>
        </w:rPr>
        <w:t>3</w:t>
      </w:r>
      <w:r>
        <w:rPr>
          <w:rFonts w:hint="eastAsia"/>
        </w:rPr>
        <w:t>月召开，持续</w:t>
      </w:r>
      <w:r>
        <w:rPr>
          <w:rFonts w:hint="eastAsia"/>
        </w:rPr>
        <w:t>2</w:t>
      </w:r>
      <w:r>
        <w:rPr>
          <w:rFonts w:hint="eastAsia"/>
        </w:rPr>
        <w:t>周。需要关注两会期间发布的政府工作报告。</w:t>
      </w:r>
    </w:p>
    <w:p w14:paraId="66A46082" w14:textId="75DA84D5" w:rsidR="004A1D89" w:rsidRDefault="00926157" w:rsidP="00D91C75">
      <w:pPr>
        <w:ind w:firstLine="480"/>
      </w:pPr>
      <w:r>
        <w:rPr>
          <w:rFonts w:hint="eastAsia"/>
        </w:rPr>
        <w:t>中共中央政治局会议，于每个月月底召开，其中</w:t>
      </w:r>
      <w:r>
        <w:rPr>
          <w:rFonts w:hint="eastAsia"/>
        </w:rPr>
        <w:t>4</w:t>
      </w:r>
      <w:r>
        <w:rPr>
          <w:rFonts w:hint="eastAsia"/>
        </w:rPr>
        <w:t>月、</w:t>
      </w:r>
      <w:r>
        <w:rPr>
          <w:rFonts w:hint="eastAsia"/>
        </w:rPr>
        <w:t>7</w:t>
      </w:r>
      <w:r>
        <w:rPr>
          <w:rFonts w:hint="eastAsia"/>
        </w:rPr>
        <w:t>月、</w:t>
      </w:r>
      <w:r>
        <w:rPr>
          <w:rFonts w:hint="eastAsia"/>
        </w:rPr>
        <w:t>10</w:t>
      </w:r>
      <w:r>
        <w:rPr>
          <w:rFonts w:hint="eastAsia"/>
        </w:rPr>
        <w:t>月、</w:t>
      </w:r>
      <w:r>
        <w:rPr>
          <w:rFonts w:hint="eastAsia"/>
        </w:rPr>
        <w:t>12</w:t>
      </w:r>
      <w:r>
        <w:rPr>
          <w:rFonts w:hint="eastAsia"/>
        </w:rPr>
        <w:t>月的会议以经济为主题。会议会总结各个季度经济工作，分析当前经济形势，制定下阶段宏观政策。其中，</w:t>
      </w:r>
      <w:r>
        <w:rPr>
          <w:rFonts w:hint="eastAsia"/>
        </w:rPr>
        <w:t>7</w:t>
      </w:r>
      <w:r>
        <w:rPr>
          <w:rFonts w:hint="eastAsia"/>
        </w:rPr>
        <w:t>月底的会议对下半年经济政策尤为重要。</w:t>
      </w:r>
      <w:r w:rsidR="00B05639">
        <w:rPr>
          <w:rFonts w:hint="eastAsia"/>
        </w:rPr>
        <w:t>需要关注对外发布的新闻稿。</w:t>
      </w:r>
    </w:p>
    <w:p w14:paraId="5F963D0D" w14:textId="1B31B605" w:rsidR="00DA6EEA" w:rsidRDefault="00DA6EEA" w:rsidP="00D91C75">
      <w:pPr>
        <w:ind w:firstLine="480"/>
      </w:pPr>
      <w:r>
        <w:rPr>
          <w:rFonts w:hint="eastAsia"/>
        </w:rPr>
        <w:t>中央经济工作会议，每年年底举行，持续</w:t>
      </w:r>
      <w:r>
        <w:rPr>
          <w:rFonts w:hint="eastAsia"/>
        </w:rPr>
        <w:t>3</w:t>
      </w:r>
      <w:r>
        <w:rPr>
          <w:rFonts w:hint="eastAsia"/>
        </w:rPr>
        <w:t>天。会议总结当年经济工作，制定来年规划。</w:t>
      </w:r>
      <w:r w:rsidR="00AF4C8D">
        <w:rPr>
          <w:rFonts w:hint="eastAsia"/>
        </w:rPr>
        <w:t>需要关注对外发布的新闻稿。</w:t>
      </w:r>
    </w:p>
    <w:p w14:paraId="2A2CC69B" w14:textId="1DB59DBC" w:rsidR="006B24BE" w:rsidRPr="00D9671D" w:rsidRDefault="006B24BE" w:rsidP="00D91C75">
      <w:pPr>
        <w:ind w:firstLine="480"/>
      </w:pPr>
      <w:r>
        <w:rPr>
          <w:rFonts w:hint="eastAsia"/>
        </w:rPr>
        <w:t>另外可以定量跟踪政策文件：</w:t>
      </w:r>
      <w:r>
        <w:rPr>
          <w:rFonts w:hint="eastAsia"/>
        </w:rPr>
        <w:t>1</w:t>
      </w:r>
      <w:r>
        <w:rPr>
          <w:rFonts w:hint="eastAsia"/>
        </w:rPr>
        <w:t>、发改委项目批复数据；</w:t>
      </w:r>
      <w:r>
        <w:rPr>
          <w:rFonts w:hint="eastAsia"/>
        </w:rPr>
        <w:t>2</w:t>
      </w:r>
      <w:r>
        <w:rPr>
          <w:rFonts w:hint="eastAsia"/>
        </w:rPr>
        <w:t>、地方政府重大项目计划投资额。</w:t>
      </w:r>
    </w:p>
    <w:p w14:paraId="59C52083" w14:textId="77777777" w:rsidR="004A1D89" w:rsidRPr="00926157" w:rsidRDefault="004A1D89" w:rsidP="00D91C75">
      <w:pPr>
        <w:ind w:firstLine="480"/>
      </w:pPr>
    </w:p>
    <w:p w14:paraId="2DC88EAB" w14:textId="35457CDA" w:rsidR="004A1D89" w:rsidRDefault="004A1D89" w:rsidP="004A1D89">
      <w:pPr>
        <w:pStyle w:val="2"/>
        <w:rPr>
          <w:rFonts w:hint="eastAsia"/>
        </w:rPr>
      </w:pPr>
      <w:r>
        <w:rPr>
          <w:rFonts w:hint="eastAsia"/>
        </w:rPr>
        <w:lastRenderedPageBreak/>
        <w:t xml:space="preserve">5.3 </w:t>
      </w:r>
      <w:r>
        <w:rPr>
          <w:rFonts w:hint="eastAsia"/>
        </w:rPr>
        <w:t>融资</w:t>
      </w:r>
    </w:p>
    <w:p w14:paraId="5FA980DD" w14:textId="77777777" w:rsidR="004A1D89" w:rsidRDefault="004A1D89" w:rsidP="00D91C75">
      <w:pPr>
        <w:ind w:firstLine="480"/>
      </w:pPr>
    </w:p>
    <w:p w14:paraId="0F777ACA" w14:textId="77777777" w:rsidR="004A1D89" w:rsidRDefault="004A1D89" w:rsidP="00D91C75">
      <w:pPr>
        <w:ind w:firstLine="480"/>
      </w:pPr>
    </w:p>
    <w:p w14:paraId="3A49CDCB" w14:textId="77777777" w:rsidR="004A1D89" w:rsidRDefault="004A1D89" w:rsidP="00D91C75">
      <w:pPr>
        <w:ind w:firstLine="480"/>
      </w:pPr>
    </w:p>
    <w:p w14:paraId="18561E53" w14:textId="75B85E2F" w:rsidR="004A1D89" w:rsidRDefault="004A1D89" w:rsidP="004A1D89">
      <w:pPr>
        <w:pStyle w:val="2"/>
        <w:rPr>
          <w:rFonts w:hint="eastAsia"/>
        </w:rPr>
      </w:pPr>
      <w:r>
        <w:rPr>
          <w:rFonts w:hint="eastAsia"/>
        </w:rPr>
        <w:t xml:space="preserve">5.4 </w:t>
      </w:r>
      <w:r>
        <w:rPr>
          <w:rFonts w:hint="eastAsia"/>
        </w:rPr>
        <w:t>施工</w:t>
      </w:r>
    </w:p>
    <w:p w14:paraId="220BEA18" w14:textId="77777777" w:rsidR="00AD2D3C" w:rsidRDefault="00AD2D3C" w:rsidP="00D91C75">
      <w:pPr>
        <w:ind w:firstLine="480"/>
      </w:pPr>
    </w:p>
    <w:p w14:paraId="7AF1287A" w14:textId="77777777" w:rsidR="00AD2D3C" w:rsidRDefault="00AD2D3C" w:rsidP="00D91C75">
      <w:pPr>
        <w:ind w:firstLine="480"/>
      </w:pPr>
    </w:p>
    <w:p w14:paraId="5CEAAE17" w14:textId="77777777" w:rsidR="005C7704" w:rsidRDefault="005C7704" w:rsidP="00D91C75">
      <w:pPr>
        <w:ind w:firstLine="480"/>
      </w:pPr>
    </w:p>
    <w:p w14:paraId="11639874" w14:textId="77777777" w:rsidR="00501D0A" w:rsidRDefault="00501D0A" w:rsidP="00D91C75">
      <w:pPr>
        <w:ind w:firstLine="480"/>
      </w:pPr>
    </w:p>
    <w:p w14:paraId="61B7CB96" w14:textId="77777777" w:rsidR="006321AC" w:rsidRDefault="006321AC" w:rsidP="00D91C75">
      <w:pPr>
        <w:ind w:firstLine="480"/>
      </w:pPr>
    </w:p>
    <w:p w14:paraId="034C97C1" w14:textId="77777777" w:rsidR="00FB53B3" w:rsidRDefault="00FB53B3">
      <w:pPr>
        <w:widowControl/>
        <w:adjustRightInd/>
        <w:snapToGrid/>
        <w:spacing w:line="240" w:lineRule="auto"/>
        <w:ind w:firstLineChars="0" w:firstLine="0"/>
        <w:rPr>
          <w:b/>
          <w:bCs/>
          <w:kern w:val="44"/>
          <w:sz w:val="44"/>
          <w:szCs w:val="44"/>
        </w:rPr>
      </w:pPr>
      <w:r>
        <w:br w:type="page"/>
      </w:r>
    </w:p>
    <w:p w14:paraId="17717493" w14:textId="13717971" w:rsidR="006321AC" w:rsidRPr="00266B46" w:rsidRDefault="005C7704" w:rsidP="00266B46">
      <w:pPr>
        <w:pStyle w:val="1"/>
      </w:pPr>
      <w:r>
        <w:rPr>
          <w:rFonts w:hint="eastAsia"/>
        </w:rPr>
        <w:lastRenderedPageBreak/>
        <w:t xml:space="preserve">6. </w:t>
      </w:r>
      <w:r>
        <w:rPr>
          <w:rFonts w:hint="eastAsia"/>
        </w:rPr>
        <w:t>房地产</w:t>
      </w:r>
    </w:p>
    <w:p w14:paraId="02A5F78F" w14:textId="743E2CC1" w:rsidR="00501D0A" w:rsidRDefault="00501D0A" w:rsidP="00501D0A">
      <w:pPr>
        <w:pStyle w:val="2"/>
        <w:rPr>
          <w:rFonts w:hint="eastAsia"/>
        </w:rPr>
      </w:pPr>
      <w:r>
        <w:rPr>
          <w:rFonts w:hint="eastAsia"/>
        </w:rPr>
        <w:t>重要数据</w:t>
      </w:r>
      <w:r w:rsidR="002C3566">
        <w:rPr>
          <w:rFonts w:hint="eastAsia"/>
        </w:rPr>
        <w:t>列表</w:t>
      </w:r>
    </w:p>
    <w:tbl>
      <w:tblPr>
        <w:tblStyle w:val="a3"/>
        <w:tblW w:w="0" w:type="auto"/>
        <w:tblLook w:val="04A0" w:firstRow="1" w:lastRow="0" w:firstColumn="1" w:lastColumn="0" w:noHBand="0" w:noVBand="1"/>
      </w:tblPr>
      <w:tblGrid>
        <w:gridCol w:w="5807"/>
        <w:gridCol w:w="1276"/>
        <w:gridCol w:w="1213"/>
      </w:tblGrid>
      <w:tr w:rsidR="006321AC" w14:paraId="17762FD6" w14:textId="77777777" w:rsidTr="008F6099">
        <w:tc>
          <w:tcPr>
            <w:tcW w:w="5807" w:type="dxa"/>
          </w:tcPr>
          <w:p w14:paraId="783570E9" w14:textId="0F0DFD51" w:rsidR="006321AC" w:rsidRDefault="006321AC" w:rsidP="00D91C75">
            <w:pPr>
              <w:ind w:firstLineChars="0" w:firstLine="0"/>
            </w:pPr>
            <w:r>
              <w:rPr>
                <w:rFonts w:hint="eastAsia"/>
              </w:rPr>
              <w:t>数据名称</w:t>
            </w:r>
          </w:p>
        </w:tc>
        <w:tc>
          <w:tcPr>
            <w:tcW w:w="1276" w:type="dxa"/>
          </w:tcPr>
          <w:p w14:paraId="3539A09E" w14:textId="126745B6" w:rsidR="006321AC" w:rsidRDefault="006321AC" w:rsidP="00D91C75">
            <w:pPr>
              <w:ind w:firstLineChars="0" w:firstLine="0"/>
            </w:pPr>
            <w:r>
              <w:rPr>
                <w:rFonts w:hint="eastAsia"/>
              </w:rPr>
              <w:t>发布机构</w:t>
            </w:r>
          </w:p>
        </w:tc>
        <w:tc>
          <w:tcPr>
            <w:tcW w:w="1213" w:type="dxa"/>
          </w:tcPr>
          <w:p w14:paraId="7ED39E8B" w14:textId="2A5D12DA" w:rsidR="006321AC" w:rsidRDefault="006321AC" w:rsidP="00D91C75">
            <w:pPr>
              <w:ind w:firstLineChars="0" w:firstLine="0"/>
            </w:pPr>
            <w:r>
              <w:rPr>
                <w:rFonts w:hint="eastAsia"/>
              </w:rPr>
              <w:t>发布时间</w:t>
            </w:r>
          </w:p>
        </w:tc>
      </w:tr>
      <w:tr w:rsidR="006321AC" w14:paraId="16D6E3BD" w14:textId="77777777" w:rsidTr="008F6099">
        <w:tc>
          <w:tcPr>
            <w:tcW w:w="5807" w:type="dxa"/>
          </w:tcPr>
          <w:p w14:paraId="45FB9F37" w14:textId="2FF545B9" w:rsidR="006321AC" w:rsidRDefault="006321AC" w:rsidP="00D91C75">
            <w:pPr>
              <w:ind w:firstLineChars="0" w:firstLine="0"/>
            </w:pPr>
            <w:r>
              <w:rPr>
                <w:rFonts w:hint="eastAsia"/>
              </w:rPr>
              <w:t>房地产开发投资</w:t>
            </w:r>
            <w:r w:rsidR="0087569E">
              <w:rPr>
                <w:rFonts w:hint="eastAsia"/>
              </w:rPr>
              <w:t>完成额</w:t>
            </w:r>
            <w:r w:rsidR="006B4E8A">
              <w:rPr>
                <w:rFonts w:hint="eastAsia"/>
              </w:rPr>
              <w:t>：</w:t>
            </w:r>
          </w:p>
          <w:p w14:paraId="67D0E24C" w14:textId="25B51BB9" w:rsidR="006B4E8A" w:rsidRPr="008F6099" w:rsidRDefault="006B4E8A" w:rsidP="006B4E8A">
            <w:pPr>
              <w:ind w:firstLineChars="0" w:firstLine="480"/>
              <w:rPr>
                <w:sz w:val="22"/>
                <w:szCs w:val="21"/>
              </w:rPr>
            </w:pPr>
            <w:r w:rsidRPr="008F6099">
              <w:rPr>
                <w:rFonts w:hint="eastAsia"/>
                <w:sz w:val="22"/>
                <w:szCs w:val="21"/>
              </w:rPr>
              <w:t>住宅、办公楼、商业；</w:t>
            </w:r>
          </w:p>
          <w:p w14:paraId="025B429D" w14:textId="77777777" w:rsidR="006B4E8A" w:rsidRPr="008F6099" w:rsidRDefault="006B4E8A" w:rsidP="006B4E8A">
            <w:pPr>
              <w:ind w:firstLineChars="0" w:firstLine="480"/>
              <w:rPr>
                <w:sz w:val="22"/>
                <w:szCs w:val="21"/>
              </w:rPr>
            </w:pPr>
            <w:r w:rsidRPr="008F6099">
              <w:rPr>
                <w:rFonts w:hint="eastAsia"/>
                <w:sz w:val="22"/>
                <w:szCs w:val="21"/>
              </w:rPr>
              <w:t>建筑、安装、设备工器具、其他；</w:t>
            </w:r>
          </w:p>
          <w:p w14:paraId="2C15E99A" w14:textId="6301A5D9" w:rsidR="00202EF7" w:rsidRDefault="00202EF7" w:rsidP="006B4E8A">
            <w:pPr>
              <w:ind w:firstLineChars="0" w:firstLine="480"/>
            </w:pPr>
            <w:r w:rsidRPr="008F6099">
              <w:rPr>
                <w:rFonts w:hint="eastAsia"/>
                <w:sz w:val="22"/>
                <w:szCs w:val="21"/>
              </w:rPr>
              <w:t>东部、中部、西部</w:t>
            </w:r>
          </w:p>
        </w:tc>
        <w:tc>
          <w:tcPr>
            <w:tcW w:w="1276" w:type="dxa"/>
          </w:tcPr>
          <w:p w14:paraId="5FAF9003" w14:textId="49D2953F" w:rsidR="006321AC" w:rsidRDefault="006321AC" w:rsidP="00D91C75">
            <w:pPr>
              <w:ind w:firstLineChars="0" w:firstLine="0"/>
            </w:pPr>
            <w:r>
              <w:rPr>
                <w:rFonts w:hint="eastAsia"/>
              </w:rPr>
              <w:t>国家统计局</w:t>
            </w:r>
          </w:p>
        </w:tc>
        <w:tc>
          <w:tcPr>
            <w:tcW w:w="1213" w:type="dxa"/>
          </w:tcPr>
          <w:p w14:paraId="6D349F79" w14:textId="45091478" w:rsidR="006321AC" w:rsidRDefault="006321AC" w:rsidP="00D91C75">
            <w:pPr>
              <w:ind w:firstLineChars="0" w:firstLine="0"/>
            </w:pPr>
            <w:r>
              <w:rPr>
                <w:rFonts w:hint="eastAsia"/>
              </w:rPr>
              <w:t>每月中旬</w:t>
            </w:r>
          </w:p>
        </w:tc>
      </w:tr>
      <w:tr w:rsidR="006321AC" w14:paraId="4FA8E829" w14:textId="77777777" w:rsidTr="008F6099">
        <w:tc>
          <w:tcPr>
            <w:tcW w:w="5807" w:type="dxa"/>
          </w:tcPr>
          <w:p w14:paraId="4CEB8A06" w14:textId="72E4ED68" w:rsidR="006321AC" w:rsidRDefault="00E800A7" w:rsidP="00D91C75">
            <w:pPr>
              <w:ind w:firstLineChars="0" w:firstLine="0"/>
            </w:pPr>
            <w:r>
              <w:rPr>
                <w:rFonts w:hint="eastAsia"/>
              </w:rPr>
              <w:t>房屋施工面积</w:t>
            </w:r>
          </w:p>
        </w:tc>
        <w:tc>
          <w:tcPr>
            <w:tcW w:w="1276" w:type="dxa"/>
          </w:tcPr>
          <w:p w14:paraId="031AE326" w14:textId="77777777" w:rsidR="006321AC" w:rsidRDefault="006321AC" w:rsidP="00D91C75">
            <w:pPr>
              <w:ind w:firstLineChars="0" w:firstLine="0"/>
            </w:pPr>
          </w:p>
        </w:tc>
        <w:tc>
          <w:tcPr>
            <w:tcW w:w="1213" w:type="dxa"/>
          </w:tcPr>
          <w:p w14:paraId="3988C98D" w14:textId="77777777" w:rsidR="006321AC" w:rsidRDefault="006321AC" w:rsidP="00D91C75">
            <w:pPr>
              <w:ind w:firstLineChars="0" w:firstLine="0"/>
            </w:pPr>
          </w:p>
        </w:tc>
      </w:tr>
      <w:tr w:rsidR="006321AC" w14:paraId="646B9B4C" w14:textId="77777777" w:rsidTr="008F6099">
        <w:tc>
          <w:tcPr>
            <w:tcW w:w="5807" w:type="dxa"/>
          </w:tcPr>
          <w:p w14:paraId="1DDF57BF" w14:textId="4608DCD1" w:rsidR="006321AC" w:rsidRDefault="00E800A7" w:rsidP="00D91C75">
            <w:pPr>
              <w:ind w:firstLineChars="0" w:firstLine="0"/>
            </w:pPr>
            <w:r>
              <w:rPr>
                <w:rFonts w:hint="eastAsia"/>
              </w:rPr>
              <w:t>房地产竣工面积</w:t>
            </w:r>
          </w:p>
        </w:tc>
        <w:tc>
          <w:tcPr>
            <w:tcW w:w="1276" w:type="dxa"/>
          </w:tcPr>
          <w:p w14:paraId="1C35EE9D" w14:textId="77777777" w:rsidR="006321AC" w:rsidRDefault="006321AC" w:rsidP="00D91C75">
            <w:pPr>
              <w:ind w:firstLineChars="0" w:firstLine="0"/>
            </w:pPr>
          </w:p>
        </w:tc>
        <w:tc>
          <w:tcPr>
            <w:tcW w:w="1213" w:type="dxa"/>
          </w:tcPr>
          <w:p w14:paraId="5C0FC7AA" w14:textId="77777777" w:rsidR="006321AC" w:rsidRDefault="006321AC" w:rsidP="00D91C75">
            <w:pPr>
              <w:ind w:firstLineChars="0" w:firstLine="0"/>
            </w:pPr>
          </w:p>
        </w:tc>
      </w:tr>
      <w:tr w:rsidR="00AD77AB" w14:paraId="4D73F691" w14:textId="77777777" w:rsidTr="00AD77AB">
        <w:trPr>
          <w:trHeight w:val="171"/>
        </w:trPr>
        <w:tc>
          <w:tcPr>
            <w:tcW w:w="8296" w:type="dxa"/>
            <w:gridSpan w:val="3"/>
          </w:tcPr>
          <w:p w14:paraId="0378D444" w14:textId="77777777" w:rsidR="00AD77AB" w:rsidRPr="00AD77AB" w:rsidRDefault="00AD77AB" w:rsidP="00D91C75">
            <w:pPr>
              <w:ind w:firstLineChars="0" w:firstLine="0"/>
              <w:rPr>
                <w:sz w:val="6"/>
                <w:szCs w:val="4"/>
              </w:rPr>
            </w:pPr>
          </w:p>
        </w:tc>
      </w:tr>
      <w:tr w:rsidR="006321AC" w14:paraId="64818119" w14:textId="77777777" w:rsidTr="008F6099">
        <w:tc>
          <w:tcPr>
            <w:tcW w:w="5807" w:type="dxa"/>
          </w:tcPr>
          <w:p w14:paraId="01E227A3" w14:textId="77777777" w:rsidR="006321AC" w:rsidRDefault="008F6099" w:rsidP="00D91C75">
            <w:pPr>
              <w:ind w:firstLineChars="0" w:firstLine="0"/>
            </w:pPr>
            <w:r>
              <w:rPr>
                <w:rFonts w:hint="eastAsia"/>
              </w:rPr>
              <w:t>房地产开发资金来源</w:t>
            </w:r>
          </w:p>
          <w:p w14:paraId="47617877" w14:textId="69BCF7E0" w:rsidR="008F6099" w:rsidRDefault="008F6099" w:rsidP="00D91C75">
            <w:pPr>
              <w:ind w:firstLineChars="0" w:firstLine="0"/>
            </w:pPr>
            <w:r>
              <w:rPr>
                <w:rFonts w:hint="eastAsia"/>
              </w:rPr>
              <w:t xml:space="preserve">    </w:t>
            </w:r>
            <w:r w:rsidRPr="008F6099">
              <w:rPr>
                <w:rFonts w:hint="eastAsia"/>
                <w:sz w:val="22"/>
                <w:szCs w:val="21"/>
              </w:rPr>
              <w:t>国内贷款、自筹资金、其他资金、外资、</w:t>
            </w:r>
            <w:r w:rsidR="00761EAD">
              <w:rPr>
                <w:rFonts w:hint="eastAsia"/>
                <w:sz w:val="22"/>
                <w:szCs w:val="21"/>
              </w:rPr>
              <w:t>各项</w:t>
            </w:r>
            <w:r w:rsidRPr="008F6099">
              <w:rPr>
                <w:rFonts w:hint="eastAsia"/>
                <w:sz w:val="22"/>
                <w:szCs w:val="21"/>
              </w:rPr>
              <w:t>应付款</w:t>
            </w:r>
          </w:p>
        </w:tc>
        <w:tc>
          <w:tcPr>
            <w:tcW w:w="1276" w:type="dxa"/>
          </w:tcPr>
          <w:p w14:paraId="01574653" w14:textId="77777777" w:rsidR="006321AC" w:rsidRDefault="006321AC" w:rsidP="00D91C75">
            <w:pPr>
              <w:ind w:firstLineChars="0" w:firstLine="0"/>
            </w:pPr>
          </w:p>
        </w:tc>
        <w:tc>
          <w:tcPr>
            <w:tcW w:w="1213" w:type="dxa"/>
          </w:tcPr>
          <w:p w14:paraId="0C319082" w14:textId="77777777" w:rsidR="006321AC" w:rsidRDefault="006321AC" w:rsidP="00D91C75">
            <w:pPr>
              <w:ind w:firstLineChars="0" w:firstLine="0"/>
            </w:pPr>
          </w:p>
        </w:tc>
      </w:tr>
      <w:tr w:rsidR="00AD77AB" w14:paraId="7125B545" w14:textId="77777777" w:rsidTr="00112147">
        <w:trPr>
          <w:trHeight w:val="171"/>
        </w:trPr>
        <w:tc>
          <w:tcPr>
            <w:tcW w:w="8296" w:type="dxa"/>
            <w:gridSpan w:val="3"/>
          </w:tcPr>
          <w:p w14:paraId="4DE8A599" w14:textId="77777777" w:rsidR="00AD77AB" w:rsidRPr="00AD77AB" w:rsidRDefault="00AD77AB" w:rsidP="00112147">
            <w:pPr>
              <w:ind w:firstLineChars="0" w:firstLine="0"/>
              <w:rPr>
                <w:sz w:val="6"/>
                <w:szCs w:val="4"/>
              </w:rPr>
            </w:pPr>
          </w:p>
        </w:tc>
      </w:tr>
      <w:tr w:rsidR="006321AC" w14:paraId="2FC0F9A4" w14:textId="77777777" w:rsidTr="008F6099">
        <w:tc>
          <w:tcPr>
            <w:tcW w:w="5807" w:type="dxa"/>
          </w:tcPr>
          <w:p w14:paraId="5742986D" w14:textId="3FDABD6F" w:rsidR="006321AC" w:rsidRPr="00AD77AB" w:rsidRDefault="00AD77AB" w:rsidP="00D91C75">
            <w:pPr>
              <w:ind w:firstLineChars="0" w:firstLine="0"/>
            </w:pPr>
            <w:r>
              <w:rPr>
                <w:rFonts w:hint="eastAsia"/>
              </w:rPr>
              <w:t>房地产销售面积</w:t>
            </w:r>
          </w:p>
        </w:tc>
        <w:tc>
          <w:tcPr>
            <w:tcW w:w="1276" w:type="dxa"/>
          </w:tcPr>
          <w:p w14:paraId="30DE64D1" w14:textId="77777777" w:rsidR="006321AC" w:rsidRDefault="006321AC" w:rsidP="00D91C75">
            <w:pPr>
              <w:ind w:firstLineChars="0" w:firstLine="0"/>
            </w:pPr>
          </w:p>
        </w:tc>
        <w:tc>
          <w:tcPr>
            <w:tcW w:w="1213" w:type="dxa"/>
          </w:tcPr>
          <w:p w14:paraId="5ECE69E2" w14:textId="77777777" w:rsidR="006321AC" w:rsidRDefault="006321AC" w:rsidP="00D91C75">
            <w:pPr>
              <w:ind w:firstLineChars="0" w:firstLine="0"/>
            </w:pPr>
          </w:p>
        </w:tc>
      </w:tr>
    </w:tbl>
    <w:p w14:paraId="6989707F" w14:textId="77777777" w:rsidR="00501D0A" w:rsidRDefault="00501D0A" w:rsidP="00D91C75">
      <w:pPr>
        <w:ind w:firstLine="480"/>
      </w:pPr>
    </w:p>
    <w:p w14:paraId="599A85C9" w14:textId="77777777" w:rsidR="00B20E9C" w:rsidRDefault="00B20E9C" w:rsidP="00B20E9C">
      <w:pPr>
        <w:pStyle w:val="2"/>
        <w:rPr>
          <w:rFonts w:hint="eastAsia"/>
        </w:rPr>
      </w:pPr>
      <w:r>
        <w:rPr>
          <w:rFonts w:hint="eastAsia"/>
        </w:rPr>
        <w:t>房地产和基建是紧密相关的</w:t>
      </w:r>
    </w:p>
    <w:p w14:paraId="180B613D" w14:textId="77777777" w:rsidR="00B20E9C" w:rsidRDefault="00B20E9C" w:rsidP="00B20E9C">
      <w:pPr>
        <w:ind w:firstLine="480"/>
      </w:pPr>
      <w:r>
        <w:rPr>
          <w:rFonts w:hint="eastAsia"/>
        </w:rPr>
        <w:t>房地产开发企业在拿地环节，将资金交给政府。政府有钱之后，会扩大基建投资。</w:t>
      </w:r>
    </w:p>
    <w:p w14:paraId="079E263F" w14:textId="77777777" w:rsidR="00B20E9C" w:rsidRDefault="00B20E9C" w:rsidP="00B20E9C">
      <w:pPr>
        <w:ind w:firstLine="480"/>
      </w:pPr>
      <w:r>
        <w:rPr>
          <w:rFonts w:hint="eastAsia"/>
        </w:rPr>
        <w:t>另一方面，</w:t>
      </w:r>
      <w:r w:rsidRPr="00CB20FE">
        <w:rPr>
          <w:rFonts w:hint="eastAsia"/>
        </w:rPr>
        <w:t>地方政府投融资平台</w:t>
      </w:r>
      <w:r>
        <w:rPr>
          <w:rFonts w:hint="eastAsia"/>
        </w:rPr>
        <w:t>把土地作为重要的抵押品。房地产市场火爆，土地价格上涨后，城投平台的抵押品价值提高，基建投资增速也会加快。</w:t>
      </w:r>
    </w:p>
    <w:p w14:paraId="2ABBC6A9" w14:textId="77777777" w:rsidR="00055C5C" w:rsidRPr="00B20E9C" w:rsidRDefault="00055C5C" w:rsidP="00D91C75">
      <w:pPr>
        <w:ind w:firstLine="480"/>
      </w:pPr>
    </w:p>
    <w:p w14:paraId="33BD184D" w14:textId="77777777" w:rsidR="00957952" w:rsidRDefault="00957952" w:rsidP="00957952">
      <w:pPr>
        <w:pStyle w:val="2"/>
        <w:rPr>
          <w:rFonts w:hint="eastAsia"/>
        </w:rPr>
      </w:pPr>
      <w:r>
        <w:rPr>
          <w:rFonts w:hint="eastAsia"/>
        </w:rPr>
        <w:t>房地产开发流程</w:t>
      </w:r>
    </w:p>
    <w:p w14:paraId="785A1E6C" w14:textId="071C80DE" w:rsidR="00957952" w:rsidRDefault="00957952" w:rsidP="00957952">
      <w:pPr>
        <w:ind w:firstLine="480"/>
      </w:pPr>
      <w:r>
        <w:rPr>
          <w:rFonts w:hint="eastAsia"/>
        </w:rPr>
        <w:t>房地产开发流程可以分为四个环节：拿地、开工、预售、竣工</w:t>
      </w:r>
      <w:r w:rsidR="00CB0BFC">
        <w:rPr>
          <w:rFonts w:hint="eastAsia"/>
        </w:rPr>
        <w:t>。</w:t>
      </w:r>
    </w:p>
    <w:p w14:paraId="0A58A8D2" w14:textId="77777777" w:rsidR="00055C5C" w:rsidRPr="00957952" w:rsidRDefault="00055C5C" w:rsidP="00D91C75">
      <w:pPr>
        <w:ind w:firstLine="480"/>
      </w:pPr>
    </w:p>
    <w:p w14:paraId="5C2A91C8" w14:textId="741A2BD9" w:rsidR="00E70C3A" w:rsidRDefault="002C3566" w:rsidP="002C3566">
      <w:pPr>
        <w:pStyle w:val="2"/>
        <w:rPr>
          <w:rFonts w:hint="eastAsia"/>
        </w:rPr>
      </w:pPr>
      <w:r>
        <w:rPr>
          <w:rFonts w:hint="eastAsia"/>
        </w:rPr>
        <w:t>数据</w:t>
      </w:r>
      <w:r>
        <w:rPr>
          <w:rFonts w:hint="eastAsia"/>
        </w:rPr>
        <w:t>1</w:t>
      </w:r>
      <w:r>
        <w:rPr>
          <w:rFonts w:hint="eastAsia"/>
        </w:rPr>
        <w:t>：</w:t>
      </w:r>
      <w:r w:rsidR="00BF2E2D" w:rsidRPr="00BF2E2D">
        <w:rPr>
          <w:rFonts w:hint="eastAsia"/>
        </w:rPr>
        <w:t>房地产开发投资</w:t>
      </w:r>
    </w:p>
    <w:p w14:paraId="26518832" w14:textId="2299E850" w:rsidR="003D6FB2" w:rsidRDefault="00E70C3A" w:rsidP="003D6FB2">
      <w:pPr>
        <w:pStyle w:val="3"/>
        <w:ind w:firstLine="482"/>
      </w:pPr>
      <w:r>
        <w:rPr>
          <w:rFonts w:hint="eastAsia"/>
        </w:rPr>
        <w:t>定义</w:t>
      </w:r>
    </w:p>
    <w:p w14:paraId="7454E430" w14:textId="5C2C309B" w:rsidR="00501D0A" w:rsidRDefault="00BF2E2D" w:rsidP="00D91C75">
      <w:pPr>
        <w:ind w:firstLine="480"/>
      </w:pPr>
      <w:r w:rsidRPr="00BF2E2D">
        <w:rPr>
          <w:rFonts w:hint="eastAsia"/>
        </w:rPr>
        <w:t>指房地产开发企业完成的全部用于房屋建设工程、土地开发工程的投资额以及公益性建筑和土地购置费等的投资</w:t>
      </w:r>
      <w:r>
        <w:rPr>
          <w:rFonts w:hint="eastAsia"/>
        </w:rPr>
        <w:t>。</w:t>
      </w:r>
      <w:r w:rsidR="00DF1E49">
        <w:rPr>
          <w:rFonts w:hint="eastAsia"/>
        </w:rPr>
        <w:t>（国家统计局）</w:t>
      </w:r>
    </w:p>
    <w:p w14:paraId="0EFE7EDD" w14:textId="55EA72ED" w:rsidR="00501D0A" w:rsidRDefault="00E70C3A" w:rsidP="00D91C75">
      <w:pPr>
        <w:ind w:firstLine="480"/>
      </w:pPr>
      <w:r>
        <w:rPr>
          <w:rFonts w:hint="eastAsia"/>
        </w:rPr>
        <w:lastRenderedPageBreak/>
        <w:t>注意点：</w:t>
      </w:r>
      <w:r w:rsidR="00B95A8B">
        <w:rPr>
          <w:rFonts w:hint="eastAsia"/>
        </w:rPr>
        <w:t>不包括非房地产开发企业，比如城投公司的老旧小区改造算是基建投资、而不是房地产开发投资；</w:t>
      </w:r>
      <w:r w:rsidR="003600A4">
        <w:rPr>
          <w:rFonts w:hint="eastAsia"/>
        </w:rPr>
        <w:t>不仅包含住宅，还包括商场、办公楼、写字楼、仓库、厂房。</w:t>
      </w:r>
    </w:p>
    <w:p w14:paraId="3399B2CF" w14:textId="0571F7CB" w:rsidR="003D6FB2" w:rsidRDefault="00FD4214" w:rsidP="003D6FB2">
      <w:pPr>
        <w:pStyle w:val="3"/>
        <w:ind w:firstLine="482"/>
      </w:pPr>
      <w:r>
        <w:rPr>
          <w:rFonts w:hint="eastAsia"/>
        </w:rPr>
        <w:t>细分项</w:t>
      </w:r>
    </w:p>
    <w:p w14:paraId="742D142E" w14:textId="1FC27CA8" w:rsidR="00501D0A" w:rsidRDefault="00275638" w:rsidP="00D91C75">
      <w:pPr>
        <w:ind w:firstLine="480"/>
      </w:pPr>
      <w:r>
        <w:rPr>
          <w:rFonts w:hint="eastAsia"/>
        </w:rPr>
        <w:t>房地产开发投资包括了：建筑工程投资、安装工程投资、设备工器具购置投资、其他费用投资</w:t>
      </w:r>
      <w:r w:rsidR="00CE0472">
        <w:rPr>
          <w:rFonts w:hint="eastAsia"/>
        </w:rPr>
        <w:t>，分别占比大约</w:t>
      </w:r>
      <w:r w:rsidR="00CE0472">
        <w:rPr>
          <w:rFonts w:hint="eastAsia"/>
        </w:rPr>
        <w:t>55%</w:t>
      </w:r>
      <w:r w:rsidR="00CE0472">
        <w:rPr>
          <w:rFonts w:hint="eastAsia"/>
        </w:rPr>
        <w:t>、</w:t>
      </w:r>
      <w:r w:rsidR="00CE0472">
        <w:rPr>
          <w:rFonts w:hint="eastAsia"/>
        </w:rPr>
        <w:t>5%</w:t>
      </w:r>
      <w:r w:rsidR="00CE0472">
        <w:rPr>
          <w:rFonts w:hint="eastAsia"/>
        </w:rPr>
        <w:t>、</w:t>
      </w:r>
      <w:r w:rsidR="00CE0472">
        <w:rPr>
          <w:rFonts w:hint="eastAsia"/>
        </w:rPr>
        <w:t>1%</w:t>
      </w:r>
      <w:r w:rsidR="00CE0472">
        <w:rPr>
          <w:rFonts w:hint="eastAsia"/>
        </w:rPr>
        <w:t>、</w:t>
      </w:r>
      <w:r w:rsidR="00CE0472">
        <w:rPr>
          <w:rFonts w:hint="eastAsia"/>
        </w:rPr>
        <w:t>39%</w:t>
      </w:r>
      <w:r w:rsidR="00CE0472">
        <w:rPr>
          <w:rFonts w:hint="eastAsia"/>
        </w:rPr>
        <w:t>。</w:t>
      </w:r>
    </w:p>
    <w:p w14:paraId="447A88B1" w14:textId="686C1329" w:rsidR="009D625F" w:rsidRDefault="00AC3A9D" w:rsidP="00D91C75">
      <w:pPr>
        <w:ind w:firstLine="482"/>
      </w:pPr>
      <w:r w:rsidRPr="00971345">
        <w:rPr>
          <w:rFonts w:hint="eastAsia"/>
          <w:b/>
          <w:bCs/>
        </w:rPr>
        <w:t>建筑工程投资</w:t>
      </w:r>
      <w:r>
        <w:rPr>
          <w:rFonts w:hint="eastAsia"/>
        </w:rPr>
        <w:t>指房屋建筑的建造工程，需要通过施工活动实现。所以，建筑工程投资与房地产施工数据</w:t>
      </w:r>
      <w:r w:rsidR="00D87B02">
        <w:rPr>
          <w:rFonts w:hint="eastAsia"/>
        </w:rPr>
        <w:t>、钢铁建材价格数据</w:t>
      </w:r>
      <w:r>
        <w:rPr>
          <w:rFonts w:hint="eastAsia"/>
        </w:rPr>
        <w:t>走势接近。</w:t>
      </w:r>
    </w:p>
    <w:p w14:paraId="03903B01" w14:textId="220671C4" w:rsidR="009D625F" w:rsidRDefault="00CE0472" w:rsidP="00D91C75">
      <w:pPr>
        <w:ind w:firstLine="482"/>
      </w:pPr>
      <w:r w:rsidRPr="00971345">
        <w:rPr>
          <w:rFonts w:hint="eastAsia"/>
          <w:b/>
          <w:bCs/>
        </w:rPr>
        <w:t>安装工程</w:t>
      </w:r>
      <w:r w:rsidR="00971345">
        <w:rPr>
          <w:rFonts w:hint="eastAsia"/>
          <w:b/>
          <w:bCs/>
        </w:rPr>
        <w:t>投资</w:t>
      </w:r>
      <w:r>
        <w:rPr>
          <w:rFonts w:hint="eastAsia"/>
        </w:rPr>
        <w:t>指设备的安装，一般在房屋建设竣工后开始安装。所以，安装工程与房地产竣工数据趋势接近。</w:t>
      </w:r>
    </w:p>
    <w:p w14:paraId="6CA3FB87" w14:textId="22F2FB86" w:rsidR="00CE0472" w:rsidRDefault="00CE0472" w:rsidP="00D91C75">
      <w:pPr>
        <w:ind w:firstLine="482"/>
      </w:pPr>
      <w:r w:rsidRPr="00971345">
        <w:rPr>
          <w:rFonts w:hint="eastAsia"/>
          <w:b/>
          <w:bCs/>
        </w:rPr>
        <w:t>设备工具器具</w:t>
      </w:r>
      <w:r>
        <w:rPr>
          <w:rFonts w:hint="eastAsia"/>
        </w:rPr>
        <w:t>购置占比很小。</w:t>
      </w:r>
    </w:p>
    <w:p w14:paraId="2BB876C2" w14:textId="77777777" w:rsidR="00CC79BC" w:rsidRDefault="00CE0472" w:rsidP="00D91C75">
      <w:pPr>
        <w:ind w:firstLine="480"/>
      </w:pPr>
      <w:r>
        <w:rPr>
          <w:rFonts w:hint="eastAsia"/>
        </w:rPr>
        <w:t>其他费用中，占比最大的是</w:t>
      </w:r>
      <w:r w:rsidRPr="00971345">
        <w:rPr>
          <w:rFonts w:hint="eastAsia"/>
          <w:b/>
          <w:bCs/>
        </w:rPr>
        <w:t>土地购置费</w:t>
      </w:r>
      <w:r>
        <w:rPr>
          <w:rFonts w:hint="eastAsia"/>
        </w:rPr>
        <w:t>，达到</w:t>
      </w:r>
      <w:r>
        <w:rPr>
          <w:rFonts w:hint="eastAsia"/>
        </w:rPr>
        <w:t>70%-80%</w:t>
      </w:r>
      <w:r>
        <w:rPr>
          <w:rFonts w:hint="eastAsia"/>
        </w:rPr>
        <w:t>。</w:t>
      </w:r>
    </w:p>
    <w:p w14:paraId="3B2C86B1" w14:textId="5C0033A0" w:rsidR="00CC79BC" w:rsidRDefault="00FA1CC0" w:rsidP="00CC79BC">
      <w:pPr>
        <w:pStyle w:val="3"/>
        <w:ind w:firstLine="482"/>
      </w:pPr>
      <w:r>
        <w:rPr>
          <w:rFonts w:hint="eastAsia"/>
        </w:rPr>
        <w:t>数据逻辑</w:t>
      </w:r>
      <w:r w:rsidR="002D7836">
        <w:rPr>
          <w:rFonts w:hint="eastAsia"/>
        </w:rPr>
        <w:t>点</w:t>
      </w:r>
    </w:p>
    <w:p w14:paraId="6D17C752" w14:textId="5EB0AEBE" w:rsidR="00CE0472" w:rsidRPr="00CE0472" w:rsidRDefault="00485AA5" w:rsidP="00D91C75">
      <w:pPr>
        <w:ind w:firstLine="480"/>
      </w:pPr>
      <w:r>
        <w:rPr>
          <w:rFonts w:hint="eastAsia"/>
        </w:rPr>
        <w:t>土地购置费是按照当期的实际发生额计入投资，如果土地购置费是分期付款的，那么应该分期计入房地产开发投资。</w:t>
      </w:r>
      <w:r w:rsidR="00C64F82">
        <w:rPr>
          <w:rFonts w:hint="eastAsia"/>
        </w:rPr>
        <w:t>而</w:t>
      </w:r>
      <w:r w:rsidR="00C64F82" w:rsidRPr="00971345">
        <w:rPr>
          <w:rFonts w:hint="eastAsia"/>
          <w:b/>
          <w:bCs/>
        </w:rPr>
        <w:t>土地成交价款</w:t>
      </w:r>
      <w:r w:rsidR="00C64F82">
        <w:rPr>
          <w:rFonts w:hint="eastAsia"/>
        </w:rPr>
        <w:t>，是按照合同数据来统计的。所以</w:t>
      </w:r>
      <w:r w:rsidR="007730A2">
        <w:rPr>
          <w:rFonts w:hint="eastAsia"/>
        </w:rPr>
        <w:t>土地购置费会滞后</w:t>
      </w:r>
      <w:r w:rsidR="007730A2">
        <w:rPr>
          <w:rFonts w:hint="eastAsia"/>
        </w:rPr>
        <w:t>1</w:t>
      </w:r>
      <w:r w:rsidR="007730A2">
        <w:rPr>
          <w:rFonts w:hint="eastAsia"/>
        </w:rPr>
        <w:t>年。</w:t>
      </w:r>
      <w:r w:rsidR="0020760D" w:rsidRPr="00971345">
        <w:rPr>
          <w:rFonts w:hint="eastAsia"/>
          <w:b/>
          <w:bCs/>
        </w:rPr>
        <w:t>这也导致房地产开发投资这个数据整体上也略显滞后，</w:t>
      </w:r>
      <w:r w:rsidR="00971345">
        <w:rPr>
          <w:rFonts w:hint="eastAsia"/>
          <w:b/>
          <w:bCs/>
        </w:rPr>
        <w:t>有时候</w:t>
      </w:r>
      <w:r w:rsidR="0020760D" w:rsidRPr="00971345">
        <w:rPr>
          <w:rFonts w:hint="eastAsia"/>
          <w:b/>
          <w:bCs/>
        </w:rPr>
        <w:t>并不能实时准确反映经济发展情况。</w:t>
      </w:r>
    </w:p>
    <w:p w14:paraId="23205A30" w14:textId="77777777" w:rsidR="009D625F" w:rsidRDefault="009D625F" w:rsidP="00D91C75">
      <w:pPr>
        <w:ind w:firstLine="480"/>
      </w:pPr>
    </w:p>
    <w:p w14:paraId="2DF5D9F4" w14:textId="150A9EAF" w:rsidR="00DE39E8" w:rsidRDefault="00DE39E8" w:rsidP="00DE39E8">
      <w:pPr>
        <w:pStyle w:val="2"/>
        <w:rPr>
          <w:rFonts w:hint="eastAsia"/>
        </w:rPr>
      </w:pPr>
      <w:r>
        <w:rPr>
          <w:rFonts w:hint="eastAsia"/>
        </w:rPr>
        <w:t>数据</w:t>
      </w:r>
      <w:r>
        <w:rPr>
          <w:rFonts w:hint="eastAsia"/>
        </w:rPr>
        <w:t>2</w:t>
      </w:r>
      <w:r>
        <w:rPr>
          <w:rFonts w:hint="eastAsia"/>
        </w:rPr>
        <w:t>：</w:t>
      </w:r>
      <w:r w:rsidRPr="00BF2E2D">
        <w:rPr>
          <w:rFonts w:hint="eastAsia"/>
        </w:rPr>
        <w:t>房地产开发</w:t>
      </w:r>
      <w:r>
        <w:rPr>
          <w:rFonts w:hint="eastAsia"/>
        </w:rPr>
        <w:t>资金</w:t>
      </w:r>
    </w:p>
    <w:p w14:paraId="28D8F4D8" w14:textId="2E521F95" w:rsidR="007848F2" w:rsidRDefault="007848F2" w:rsidP="007848F2">
      <w:pPr>
        <w:pStyle w:val="3"/>
        <w:ind w:firstLine="482"/>
      </w:pPr>
      <w:r>
        <w:rPr>
          <w:rFonts w:hint="eastAsia"/>
        </w:rPr>
        <w:t>定义</w:t>
      </w:r>
    </w:p>
    <w:p w14:paraId="238F4BC7" w14:textId="2D6578D3" w:rsidR="002D5EC5" w:rsidRDefault="00DE39E8" w:rsidP="00D91C75">
      <w:pPr>
        <w:ind w:firstLine="480"/>
      </w:pPr>
      <w:r>
        <w:rPr>
          <w:rFonts w:hint="eastAsia"/>
        </w:rPr>
        <w:t>房地产开发资金是指房企实际用于房地产开发的各项货币资金，大约领先房地产开发投资</w:t>
      </w:r>
      <w:r>
        <w:rPr>
          <w:rFonts w:hint="eastAsia"/>
        </w:rPr>
        <w:t>3-6</w:t>
      </w:r>
      <w:r>
        <w:rPr>
          <w:rFonts w:hint="eastAsia"/>
        </w:rPr>
        <w:t>个月。</w:t>
      </w:r>
    </w:p>
    <w:p w14:paraId="5CE1513D" w14:textId="5959E460" w:rsidR="00DE39E8" w:rsidRDefault="007848F2" w:rsidP="007848F2">
      <w:pPr>
        <w:pStyle w:val="3"/>
        <w:ind w:firstLine="482"/>
      </w:pPr>
      <w:r>
        <w:rPr>
          <w:rFonts w:hint="eastAsia"/>
        </w:rPr>
        <w:t>细分项</w:t>
      </w:r>
    </w:p>
    <w:p w14:paraId="76C52E02" w14:textId="1C331C4B" w:rsidR="002D5EC5" w:rsidRDefault="00D35F18" w:rsidP="00D91C75">
      <w:pPr>
        <w:ind w:firstLine="480"/>
      </w:pPr>
      <w:r>
        <w:rPr>
          <w:rFonts w:hint="eastAsia"/>
        </w:rPr>
        <w:t>房地产开发资金主要包括国内贷款、自筹资金、其他资金、各项应付款，分别占比大约</w:t>
      </w:r>
      <w:r w:rsidR="006F7CE4">
        <w:rPr>
          <w:rFonts w:hint="eastAsia"/>
        </w:rPr>
        <w:t>10%</w:t>
      </w:r>
      <w:r w:rsidR="006F7CE4">
        <w:rPr>
          <w:rFonts w:hint="eastAsia"/>
        </w:rPr>
        <w:t>、</w:t>
      </w:r>
      <w:r w:rsidR="00524D6C">
        <w:rPr>
          <w:rFonts w:hint="eastAsia"/>
        </w:rPr>
        <w:t>30</w:t>
      </w:r>
      <w:r w:rsidR="006F7CE4">
        <w:rPr>
          <w:rFonts w:hint="eastAsia"/>
        </w:rPr>
        <w:t>%</w:t>
      </w:r>
      <w:r w:rsidR="006F7CE4">
        <w:rPr>
          <w:rFonts w:hint="eastAsia"/>
        </w:rPr>
        <w:t>、</w:t>
      </w:r>
      <w:r w:rsidR="006F7CE4">
        <w:rPr>
          <w:rFonts w:hint="eastAsia"/>
        </w:rPr>
        <w:t>40%</w:t>
      </w:r>
      <w:r w:rsidR="006F7CE4">
        <w:rPr>
          <w:rFonts w:hint="eastAsia"/>
        </w:rPr>
        <w:t>、</w:t>
      </w:r>
      <w:r w:rsidR="006F7CE4">
        <w:rPr>
          <w:rFonts w:hint="eastAsia"/>
        </w:rPr>
        <w:t>20%</w:t>
      </w:r>
      <w:r>
        <w:rPr>
          <w:rFonts w:hint="eastAsia"/>
        </w:rPr>
        <w:t>。</w:t>
      </w:r>
    </w:p>
    <w:p w14:paraId="30D6B70A" w14:textId="164B957B" w:rsidR="005F297D" w:rsidRDefault="002B2F14" w:rsidP="00D91C75">
      <w:pPr>
        <w:ind w:firstLine="480"/>
      </w:pPr>
      <w:r>
        <w:rPr>
          <w:rFonts w:hint="eastAsia"/>
        </w:rPr>
        <w:t>国内贷款包括银行贷款和非银贷款，分别占比</w:t>
      </w:r>
      <w:r>
        <w:rPr>
          <w:rFonts w:hint="eastAsia"/>
        </w:rPr>
        <w:t>80%</w:t>
      </w:r>
      <w:r>
        <w:rPr>
          <w:rFonts w:hint="eastAsia"/>
        </w:rPr>
        <w:t>、</w:t>
      </w:r>
      <w:r>
        <w:rPr>
          <w:rFonts w:hint="eastAsia"/>
        </w:rPr>
        <w:t>20%</w:t>
      </w:r>
      <w:r>
        <w:rPr>
          <w:rFonts w:hint="eastAsia"/>
        </w:rPr>
        <w:t>。</w:t>
      </w:r>
      <w:r w:rsidR="000556E1">
        <w:rPr>
          <w:rFonts w:hint="eastAsia"/>
        </w:rPr>
        <w:t>房企的自筹资金、其他资金部分也会通过信托等渠道从非银机构获得资金。</w:t>
      </w:r>
    </w:p>
    <w:p w14:paraId="43B112A8" w14:textId="7F402C13" w:rsidR="0090355E" w:rsidRDefault="00B210D2" w:rsidP="00D91C75">
      <w:pPr>
        <w:ind w:firstLine="480"/>
      </w:pPr>
      <w:r>
        <w:rPr>
          <w:rFonts w:hint="eastAsia"/>
        </w:rPr>
        <w:t>自筹资金是指报告期内筹集的用于项目建设和购置的资金，包括自有资金、股东资金和借入资金。股东资金和借入资金有可能是明股实债，即会计上记录股权，但是以后要连本带息回购，本质上是债券。</w:t>
      </w:r>
    </w:p>
    <w:p w14:paraId="6A9293EC" w14:textId="3DC5B4C1" w:rsidR="0090355E" w:rsidRDefault="00B210D2" w:rsidP="00D91C75">
      <w:pPr>
        <w:ind w:firstLine="480"/>
      </w:pPr>
      <w:r>
        <w:rPr>
          <w:rFonts w:hint="eastAsia"/>
        </w:rPr>
        <w:lastRenderedPageBreak/>
        <w:t>其他资金主要包括：定金及预付款、个人按揭贷款</w:t>
      </w:r>
      <w:r w:rsidR="00ED113D">
        <w:rPr>
          <w:rFonts w:hint="eastAsia"/>
        </w:rPr>
        <w:t>，也就是销售回款。</w:t>
      </w:r>
    </w:p>
    <w:p w14:paraId="6E21EE2A" w14:textId="1843996E" w:rsidR="00ED113D" w:rsidRDefault="00ED113D" w:rsidP="00D91C75">
      <w:pPr>
        <w:ind w:firstLine="480"/>
      </w:pPr>
      <w:r>
        <w:rPr>
          <w:rFonts w:hint="eastAsia"/>
        </w:rPr>
        <w:t>各项应付款是本年项目建设和购置中应付未付的投资款，主要指应付工程款。这是房企占用上下游的款项。</w:t>
      </w:r>
    </w:p>
    <w:p w14:paraId="50EE66A2" w14:textId="14EB5C1C" w:rsidR="00CC79BC" w:rsidRDefault="00FA1CC0" w:rsidP="00CC79BC">
      <w:pPr>
        <w:pStyle w:val="3"/>
        <w:ind w:firstLine="482"/>
      </w:pPr>
      <w:r>
        <w:rPr>
          <w:rFonts w:hint="eastAsia"/>
        </w:rPr>
        <w:t>数据</w:t>
      </w:r>
      <w:r w:rsidR="00BE26C1">
        <w:rPr>
          <w:rFonts w:hint="eastAsia"/>
        </w:rPr>
        <w:t>逻辑</w:t>
      </w:r>
      <w:r w:rsidR="002D7836">
        <w:rPr>
          <w:rFonts w:hint="eastAsia"/>
        </w:rPr>
        <w:t>点</w:t>
      </w:r>
    </w:p>
    <w:p w14:paraId="20B7CFC9" w14:textId="0FCAE25B" w:rsidR="00CC79BC" w:rsidRDefault="00366185" w:rsidP="00D91C75">
      <w:pPr>
        <w:ind w:firstLine="480"/>
      </w:pPr>
      <w:r>
        <w:rPr>
          <w:rFonts w:hint="eastAsia"/>
        </w:rPr>
        <w:t>房地产的新开工和竣工面积可能出现背离，其原因可能是房企融资难度增加。当房地产销售不景气时，房企会通过加快项目周转、加快预售，来获取资金。短期内，房地产施工会快速增住。但是由于资金不充裕，停工缓建规模上升，导致竣工缓慢。</w:t>
      </w:r>
      <w:r w:rsidR="006A6BAE">
        <w:rPr>
          <w:rFonts w:hint="eastAsia"/>
        </w:rPr>
        <w:t>最终出现新开工和竣工面积的背离。</w:t>
      </w:r>
    </w:p>
    <w:p w14:paraId="2CD30A38" w14:textId="77777777" w:rsidR="00CC79BC" w:rsidRDefault="00CC79BC" w:rsidP="00D91C75">
      <w:pPr>
        <w:ind w:firstLine="480"/>
      </w:pPr>
    </w:p>
    <w:p w14:paraId="61F91D5A" w14:textId="44709A45" w:rsidR="00E74A1E" w:rsidRDefault="00E74A1E" w:rsidP="00E74A1E">
      <w:pPr>
        <w:pStyle w:val="2"/>
        <w:rPr>
          <w:rFonts w:hint="eastAsia"/>
        </w:rPr>
      </w:pPr>
      <w:r>
        <w:rPr>
          <w:rFonts w:hint="eastAsia"/>
        </w:rPr>
        <w:t>数据</w:t>
      </w:r>
      <w:r w:rsidR="00E36D4E">
        <w:rPr>
          <w:rFonts w:hint="eastAsia"/>
        </w:rPr>
        <w:t>3</w:t>
      </w:r>
      <w:r>
        <w:rPr>
          <w:rFonts w:hint="eastAsia"/>
        </w:rPr>
        <w:t>：</w:t>
      </w:r>
      <w:r w:rsidRPr="00BF2E2D">
        <w:rPr>
          <w:rFonts w:hint="eastAsia"/>
        </w:rPr>
        <w:t>房地产</w:t>
      </w:r>
      <w:r>
        <w:rPr>
          <w:rFonts w:hint="eastAsia"/>
        </w:rPr>
        <w:t>销售面积</w:t>
      </w:r>
    </w:p>
    <w:p w14:paraId="7795139E" w14:textId="525957BC" w:rsidR="005F297D" w:rsidRPr="00E74A1E" w:rsidRDefault="00E36D4E" w:rsidP="00D91C75">
      <w:pPr>
        <w:ind w:firstLine="480"/>
      </w:pPr>
      <w:r>
        <w:rPr>
          <w:rFonts w:hint="eastAsia"/>
        </w:rPr>
        <w:t>销售面积决定了销售回款，在高周转模式下，销售面积是整个生产过程中的关键。</w:t>
      </w:r>
    </w:p>
    <w:p w14:paraId="021E7858" w14:textId="2A10118C" w:rsidR="00D91C75" w:rsidRDefault="004931E0" w:rsidP="00D91C75">
      <w:pPr>
        <w:ind w:firstLine="480"/>
      </w:pPr>
      <w:r>
        <w:rPr>
          <w:rFonts w:hint="eastAsia"/>
        </w:rPr>
        <w:t>销售供给端相对稳定，主要看需求端的政策。</w:t>
      </w:r>
    </w:p>
    <w:p w14:paraId="7E117B2F" w14:textId="77777777" w:rsidR="00D91C75" w:rsidRDefault="00D91C75" w:rsidP="00D91C75">
      <w:pPr>
        <w:ind w:firstLine="480"/>
      </w:pPr>
    </w:p>
    <w:p w14:paraId="16EE6035" w14:textId="77777777" w:rsidR="00D91C75" w:rsidRPr="001C3262" w:rsidRDefault="00D91C75" w:rsidP="00D91C75">
      <w:pPr>
        <w:ind w:firstLine="480"/>
      </w:pPr>
    </w:p>
    <w:p w14:paraId="2054883F" w14:textId="77777777" w:rsidR="00D91C75" w:rsidRDefault="00D91C75" w:rsidP="00D91C75">
      <w:pPr>
        <w:ind w:firstLine="480"/>
      </w:pPr>
    </w:p>
    <w:p w14:paraId="7F641085" w14:textId="77777777" w:rsidR="00D91C75" w:rsidRDefault="00D91C75" w:rsidP="00D91C75">
      <w:pPr>
        <w:ind w:firstLine="480"/>
      </w:pPr>
    </w:p>
    <w:p w14:paraId="3035F5C5" w14:textId="77777777" w:rsidR="00D91C75" w:rsidRDefault="00D91C75" w:rsidP="00D91C75">
      <w:pPr>
        <w:ind w:firstLine="480"/>
      </w:pPr>
    </w:p>
    <w:p w14:paraId="152C5788" w14:textId="77777777" w:rsidR="00D91C75" w:rsidRDefault="00D91C75" w:rsidP="00D91C75">
      <w:pPr>
        <w:ind w:firstLine="480"/>
      </w:pPr>
    </w:p>
    <w:p w14:paraId="242DA32A" w14:textId="77777777" w:rsidR="00D91C75" w:rsidRDefault="00D91C75" w:rsidP="00D91C75">
      <w:pPr>
        <w:ind w:firstLine="480"/>
      </w:pPr>
    </w:p>
    <w:p w14:paraId="7AB84A67" w14:textId="77777777" w:rsidR="00D91C75" w:rsidRDefault="00D91C75" w:rsidP="00D91C75">
      <w:pPr>
        <w:ind w:firstLine="480"/>
      </w:pPr>
    </w:p>
    <w:p w14:paraId="4BBFF883" w14:textId="77777777" w:rsidR="00D91C75" w:rsidRDefault="00D91C75" w:rsidP="00D91C75">
      <w:pPr>
        <w:ind w:firstLine="480"/>
      </w:pPr>
    </w:p>
    <w:p w14:paraId="0434522E" w14:textId="77777777" w:rsidR="00D91C75" w:rsidRDefault="00D91C75" w:rsidP="00D91C75">
      <w:pPr>
        <w:ind w:firstLine="480"/>
      </w:pPr>
    </w:p>
    <w:p w14:paraId="75130099" w14:textId="77777777" w:rsidR="00D91C75" w:rsidRDefault="00D91C75" w:rsidP="00D91C75">
      <w:pPr>
        <w:ind w:firstLine="480"/>
      </w:pPr>
    </w:p>
    <w:p w14:paraId="3EAD3137" w14:textId="77777777" w:rsidR="00D91C75" w:rsidRDefault="00D91C75" w:rsidP="00D91C75">
      <w:pPr>
        <w:ind w:firstLine="480"/>
      </w:pPr>
    </w:p>
    <w:p w14:paraId="3265C09F" w14:textId="77777777" w:rsidR="00D91C75" w:rsidRDefault="00D91C75" w:rsidP="00D91C75">
      <w:pPr>
        <w:ind w:firstLine="480"/>
      </w:pPr>
    </w:p>
    <w:p w14:paraId="5880CD5C" w14:textId="77777777" w:rsidR="00D91C75" w:rsidRDefault="00D91C75" w:rsidP="00D91C75">
      <w:pPr>
        <w:ind w:firstLine="480"/>
      </w:pPr>
    </w:p>
    <w:p w14:paraId="70C8F87D" w14:textId="77777777" w:rsidR="00D91C75" w:rsidRDefault="00D91C75" w:rsidP="00D91C75">
      <w:pPr>
        <w:ind w:firstLine="480"/>
      </w:pPr>
    </w:p>
    <w:p w14:paraId="20DFB951" w14:textId="77777777" w:rsidR="00D91C75" w:rsidRDefault="00D91C75" w:rsidP="00D91C75">
      <w:pPr>
        <w:ind w:firstLine="480"/>
      </w:pPr>
    </w:p>
    <w:sectPr w:rsidR="00D91C7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8D9B9" w14:textId="77777777" w:rsidR="00944778" w:rsidRDefault="00944778" w:rsidP="00557C3A">
      <w:pPr>
        <w:spacing w:line="240" w:lineRule="auto"/>
        <w:ind w:firstLine="480"/>
      </w:pPr>
      <w:r>
        <w:separator/>
      </w:r>
    </w:p>
  </w:endnote>
  <w:endnote w:type="continuationSeparator" w:id="0">
    <w:p w14:paraId="25B7939D" w14:textId="77777777" w:rsidR="00944778" w:rsidRDefault="00944778" w:rsidP="00557C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B6514" w14:textId="77777777" w:rsidR="00557C3A" w:rsidRDefault="00557C3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EFEA2" w14:textId="77777777" w:rsidR="00557C3A" w:rsidRDefault="00557C3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6AE67" w14:textId="77777777" w:rsidR="00557C3A" w:rsidRDefault="00557C3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7E5F4" w14:textId="77777777" w:rsidR="00944778" w:rsidRDefault="00944778" w:rsidP="00557C3A">
      <w:pPr>
        <w:spacing w:line="240" w:lineRule="auto"/>
        <w:ind w:firstLine="480"/>
      </w:pPr>
      <w:r>
        <w:separator/>
      </w:r>
    </w:p>
  </w:footnote>
  <w:footnote w:type="continuationSeparator" w:id="0">
    <w:p w14:paraId="7F020EB9" w14:textId="77777777" w:rsidR="00944778" w:rsidRDefault="00944778" w:rsidP="00557C3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EED02" w14:textId="77777777" w:rsidR="00557C3A" w:rsidRDefault="00557C3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22D06" w14:textId="77777777" w:rsidR="00557C3A" w:rsidRDefault="00557C3A">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B5CF" w14:textId="77777777" w:rsidR="00557C3A" w:rsidRDefault="00557C3A">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6C"/>
    <w:rsid w:val="00001FF2"/>
    <w:rsid w:val="00005FD1"/>
    <w:rsid w:val="00006E6E"/>
    <w:rsid w:val="0000716E"/>
    <w:rsid w:val="00016679"/>
    <w:rsid w:val="00031C56"/>
    <w:rsid w:val="00047EAF"/>
    <w:rsid w:val="000556E1"/>
    <w:rsid w:val="00055C5C"/>
    <w:rsid w:val="000639C2"/>
    <w:rsid w:val="0009148A"/>
    <w:rsid w:val="00091A0B"/>
    <w:rsid w:val="00097D2D"/>
    <w:rsid w:val="000A0E80"/>
    <w:rsid w:val="000A530E"/>
    <w:rsid w:val="000B038A"/>
    <w:rsid w:val="000E775E"/>
    <w:rsid w:val="000F082D"/>
    <w:rsid w:val="000F1166"/>
    <w:rsid w:val="000F78EC"/>
    <w:rsid w:val="00110121"/>
    <w:rsid w:val="00111189"/>
    <w:rsid w:val="0011146C"/>
    <w:rsid w:val="00115230"/>
    <w:rsid w:val="00127B32"/>
    <w:rsid w:val="00132E0D"/>
    <w:rsid w:val="001407EF"/>
    <w:rsid w:val="001515E0"/>
    <w:rsid w:val="001522E5"/>
    <w:rsid w:val="001533AC"/>
    <w:rsid w:val="0015535B"/>
    <w:rsid w:val="00156A69"/>
    <w:rsid w:val="001675C3"/>
    <w:rsid w:val="001708BD"/>
    <w:rsid w:val="0017148F"/>
    <w:rsid w:val="00172E86"/>
    <w:rsid w:val="00174D58"/>
    <w:rsid w:val="00184EFD"/>
    <w:rsid w:val="001A1B56"/>
    <w:rsid w:val="001B3301"/>
    <w:rsid w:val="001C3262"/>
    <w:rsid w:val="001D1246"/>
    <w:rsid w:val="001D1724"/>
    <w:rsid w:val="001D4984"/>
    <w:rsid w:val="001E35E6"/>
    <w:rsid w:val="001E659C"/>
    <w:rsid w:val="001F2E0D"/>
    <w:rsid w:val="001F5347"/>
    <w:rsid w:val="0020089E"/>
    <w:rsid w:val="00202EF7"/>
    <w:rsid w:val="0020760D"/>
    <w:rsid w:val="0022458D"/>
    <w:rsid w:val="00231610"/>
    <w:rsid w:val="00236761"/>
    <w:rsid w:val="00246F6A"/>
    <w:rsid w:val="00250FDB"/>
    <w:rsid w:val="00252F16"/>
    <w:rsid w:val="00254F58"/>
    <w:rsid w:val="00255EF6"/>
    <w:rsid w:val="002566DF"/>
    <w:rsid w:val="00257775"/>
    <w:rsid w:val="00263438"/>
    <w:rsid w:val="002639F8"/>
    <w:rsid w:val="0026448D"/>
    <w:rsid w:val="00264717"/>
    <w:rsid w:val="00265721"/>
    <w:rsid w:val="00266B46"/>
    <w:rsid w:val="00271906"/>
    <w:rsid w:val="00274388"/>
    <w:rsid w:val="00275638"/>
    <w:rsid w:val="002A24F0"/>
    <w:rsid w:val="002B2F14"/>
    <w:rsid w:val="002C0A14"/>
    <w:rsid w:val="002C3566"/>
    <w:rsid w:val="002C3C9F"/>
    <w:rsid w:val="002C74AA"/>
    <w:rsid w:val="002D1F1D"/>
    <w:rsid w:val="002D383D"/>
    <w:rsid w:val="002D5EC5"/>
    <w:rsid w:val="002D7836"/>
    <w:rsid w:val="002F5D0D"/>
    <w:rsid w:val="00303505"/>
    <w:rsid w:val="00305378"/>
    <w:rsid w:val="0030726E"/>
    <w:rsid w:val="0031206F"/>
    <w:rsid w:val="0031618C"/>
    <w:rsid w:val="00323635"/>
    <w:rsid w:val="00324970"/>
    <w:rsid w:val="00333D72"/>
    <w:rsid w:val="00336DFB"/>
    <w:rsid w:val="003370FD"/>
    <w:rsid w:val="00342747"/>
    <w:rsid w:val="00345019"/>
    <w:rsid w:val="00352052"/>
    <w:rsid w:val="0035718B"/>
    <w:rsid w:val="003571BE"/>
    <w:rsid w:val="003573A2"/>
    <w:rsid w:val="003600A4"/>
    <w:rsid w:val="003603A0"/>
    <w:rsid w:val="0036049A"/>
    <w:rsid w:val="00361AA0"/>
    <w:rsid w:val="00366185"/>
    <w:rsid w:val="003675D3"/>
    <w:rsid w:val="00372A3D"/>
    <w:rsid w:val="003731F8"/>
    <w:rsid w:val="0038652C"/>
    <w:rsid w:val="00390A62"/>
    <w:rsid w:val="0039404F"/>
    <w:rsid w:val="003976C9"/>
    <w:rsid w:val="003A12B9"/>
    <w:rsid w:val="003A1DA9"/>
    <w:rsid w:val="003A5014"/>
    <w:rsid w:val="003B0752"/>
    <w:rsid w:val="003B2490"/>
    <w:rsid w:val="003B382C"/>
    <w:rsid w:val="003B4DE1"/>
    <w:rsid w:val="003B666D"/>
    <w:rsid w:val="003C6BC2"/>
    <w:rsid w:val="003D4915"/>
    <w:rsid w:val="003D6FB2"/>
    <w:rsid w:val="003D7250"/>
    <w:rsid w:val="003E2AE6"/>
    <w:rsid w:val="003E3F1C"/>
    <w:rsid w:val="003F20B1"/>
    <w:rsid w:val="003F324F"/>
    <w:rsid w:val="003F7878"/>
    <w:rsid w:val="00401017"/>
    <w:rsid w:val="00407484"/>
    <w:rsid w:val="00411CDC"/>
    <w:rsid w:val="00414D9C"/>
    <w:rsid w:val="0042089B"/>
    <w:rsid w:val="0042255B"/>
    <w:rsid w:val="00433FBF"/>
    <w:rsid w:val="00440CCA"/>
    <w:rsid w:val="0044327D"/>
    <w:rsid w:val="00444142"/>
    <w:rsid w:val="00460432"/>
    <w:rsid w:val="004626DB"/>
    <w:rsid w:val="00463732"/>
    <w:rsid w:val="00466139"/>
    <w:rsid w:val="004709F7"/>
    <w:rsid w:val="00471CF0"/>
    <w:rsid w:val="0048496D"/>
    <w:rsid w:val="004851A9"/>
    <w:rsid w:val="00485AA5"/>
    <w:rsid w:val="0048601F"/>
    <w:rsid w:val="00490695"/>
    <w:rsid w:val="004931E0"/>
    <w:rsid w:val="00496282"/>
    <w:rsid w:val="00496428"/>
    <w:rsid w:val="004A1D89"/>
    <w:rsid w:val="004A30C3"/>
    <w:rsid w:val="004B3CF8"/>
    <w:rsid w:val="004B47B1"/>
    <w:rsid w:val="004B6844"/>
    <w:rsid w:val="004D40C5"/>
    <w:rsid w:val="004D6985"/>
    <w:rsid w:val="004E043F"/>
    <w:rsid w:val="004E0ABF"/>
    <w:rsid w:val="004F4D17"/>
    <w:rsid w:val="005016C4"/>
    <w:rsid w:val="00501D0A"/>
    <w:rsid w:val="00506CE4"/>
    <w:rsid w:val="00507479"/>
    <w:rsid w:val="00522764"/>
    <w:rsid w:val="00524D6C"/>
    <w:rsid w:val="005250C5"/>
    <w:rsid w:val="005361CC"/>
    <w:rsid w:val="00542972"/>
    <w:rsid w:val="0054465C"/>
    <w:rsid w:val="00553BED"/>
    <w:rsid w:val="00554129"/>
    <w:rsid w:val="00555B91"/>
    <w:rsid w:val="00557465"/>
    <w:rsid w:val="00557C3A"/>
    <w:rsid w:val="00564058"/>
    <w:rsid w:val="00564266"/>
    <w:rsid w:val="00570885"/>
    <w:rsid w:val="005708A8"/>
    <w:rsid w:val="00571D32"/>
    <w:rsid w:val="005731AC"/>
    <w:rsid w:val="005738F5"/>
    <w:rsid w:val="00582466"/>
    <w:rsid w:val="005836D5"/>
    <w:rsid w:val="00584E39"/>
    <w:rsid w:val="00590085"/>
    <w:rsid w:val="005904F7"/>
    <w:rsid w:val="00590A9D"/>
    <w:rsid w:val="00593F7C"/>
    <w:rsid w:val="005C7704"/>
    <w:rsid w:val="005D2791"/>
    <w:rsid w:val="005F297D"/>
    <w:rsid w:val="005F44FF"/>
    <w:rsid w:val="005F7479"/>
    <w:rsid w:val="00600E6C"/>
    <w:rsid w:val="00603DED"/>
    <w:rsid w:val="0060789F"/>
    <w:rsid w:val="006130C0"/>
    <w:rsid w:val="00626336"/>
    <w:rsid w:val="00626FAE"/>
    <w:rsid w:val="006321AC"/>
    <w:rsid w:val="00637B03"/>
    <w:rsid w:val="00642068"/>
    <w:rsid w:val="006445CE"/>
    <w:rsid w:val="00647AFD"/>
    <w:rsid w:val="0065234D"/>
    <w:rsid w:val="00657729"/>
    <w:rsid w:val="00672EBE"/>
    <w:rsid w:val="006731BD"/>
    <w:rsid w:val="00683673"/>
    <w:rsid w:val="0068556A"/>
    <w:rsid w:val="00694B01"/>
    <w:rsid w:val="006A4B0A"/>
    <w:rsid w:val="006A6BAE"/>
    <w:rsid w:val="006B24BE"/>
    <w:rsid w:val="006B3D41"/>
    <w:rsid w:val="006B4E8A"/>
    <w:rsid w:val="006B4F41"/>
    <w:rsid w:val="006B58CE"/>
    <w:rsid w:val="006C06FB"/>
    <w:rsid w:val="006C2DBF"/>
    <w:rsid w:val="006C5581"/>
    <w:rsid w:val="006D2ADC"/>
    <w:rsid w:val="006D31E4"/>
    <w:rsid w:val="006D33A8"/>
    <w:rsid w:val="006D69F7"/>
    <w:rsid w:val="006D6EB9"/>
    <w:rsid w:val="006F3557"/>
    <w:rsid w:val="006F7CE4"/>
    <w:rsid w:val="00711883"/>
    <w:rsid w:val="00717C6B"/>
    <w:rsid w:val="00725FE3"/>
    <w:rsid w:val="00737A4A"/>
    <w:rsid w:val="00750551"/>
    <w:rsid w:val="00761EAD"/>
    <w:rsid w:val="007730A2"/>
    <w:rsid w:val="007774A9"/>
    <w:rsid w:val="007848F2"/>
    <w:rsid w:val="007862A9"/>
    <w:rsid w:val="00787364"/>
    <w:rsid w:val="00793CF1"/>
    <w:rsid w:val="007952D1"/>
    <w:rsid w:val="0079758B"/>
    <w:rsid w:val="007B0A62"/>
    <w:rsid w:val="007B0BBF"/>
    <w:rsid w:val="007B3724"/>
    <w:rsid w:val="007B452F"/>
    <w:rsid w:val="007C148C"/>
    <w:rsid w:val="007C64D5"/>
    <w:rsid w:val="007D34F6"/>
    <w:rsid w:val="007D5281"/>
    <w:rsid w:val="007F00D3"/>
    <w:rsid w:val="007F0EE6"/>
    <w:rsid w:val="00803CF4"/>
    <w:rsid w:val="00810697"/>
    <w:rsid w:val="00813860"/>
    <w:rsid w:val="00817E95"/>
    <w:rsid w:val="00824F6B"/>
    <w:rsid w:val="00825120"/>
    <w:rsid w:val="008337A6"/>
    <w:rsid w:val="00840F68"/>
    <w:rsid w:val="00841D8B"/>
    <w:rsid w:val="00851534"/>
    <w:rsid w:val="00853EB9"/>
    <w:rsid w:val="00856534"/>
    <w:rsid w:val="0087162B"/>
    <w:rsid w:val="0087569E"/>
    <w:rsid w:val="008806F6"/>
    <w:rsid w:val="0088391C"/>
    <w:rsid w:val="0088598C"/>
    <w:rsid w:val="00895371"/>
    <w:rsid w:val="008A4F5F"/>
    <w:rsid w:val="008A6D7A"/>
    <w:rsid w:val="008B4444"/>
    <w:rsid w:val="008B470B"/>
    <w:rsid w:val="008B78CC"/>
    <w:rsid w:val="008C1CC7"/>
    <w:rsid w:val="008D1ECB"/>
    <w:rsid w:val="008D27F2"/>
    <w:rsid w:val="008D53A2"/>
    <w:rsid w:val="008D79C3"/>
    <w:rsid w:val="008E24BE"/>
    <w:rsid w:val="008E5A79"/>
    <w:rsid w:val="008F5061"/>
    <w:rsid w:val="008F6099"/>
    <w:rsid w:val="0090355E"/>
    <w:rsid w:val="00905403"/>
    <w:rsid w:val="00921E92"/>
    <w:rsid w:val="00926157"/>
    <w:rsid w:val="00930CB1"/>
    <w:rsid w:val="009363FA"/>
    <w:rsid w:val="00944778"/>
    <w:rsid w:val="00957952"/>
    <w:rsid w:val="00970B68"/>
    <w:rsid w:val="00971345"/>
    <w:rsid w:val="00972923"/>
    <w:rsid w:val="00980652"/>
    <w:rsid w:val="009946A2"/>
    <w:rsid w:val="00995CC8"/>
    <w:rsid w:val="009969ED"/>
    <w:rsid w:val="009A7979"/>
    <w:rsid w:val="009B71BE"/>
    <w:rsid w:val="009D625F"/>
    <w:rsid w:val="009E0395"/>
    <w:rsid w:val="009E5794"/>
    <w:rsid w:val="009F1A77"/>
    <w:rsid w:val="009F5872"/>
    <w:rsid w:val="00A02F55"/>
    <w:rsid w:val="00A04327"/>
    <w:rsid w:val="00A10C62"/>
    <w:rsid w:val="00A150A2"/>
    <w:rsid w:val="00A163F7"/>
    <w:rsid w:val="00A324F2"/>
    <w:rsid w:val="00A45019"/>
    <w:rsid w:val="00A54177"/>
    <w:rsid w:val="00A609B0"/>
    <w:rsid w:val="00A61457"/>
    <w:rsid w:val="00A62B37"/>
    <w:rsid w:val="00A63708"/>
    <w:rsid w:val="00A64225"/>
    <w:rsid w:val="00A67ADA"/>
    <w:rsid w:val="00A67BDD"/>
    <w:rsid w:val="00A75556"/>
    <w:rsid w:val="00A8093D"/>
    <w:rsid w:val="00A906D6"/>
    <w:rsid w:val="00AC3250"/>
    <w:rsid w:val="00AC3A9D"/>
    <w:rsid w:val="00AD2D3C"/>
    <w:rsid w:val="00AD45C8"/>
    <w:rsid w:val="00AD5C60"/>
    <w:rsid w:val="00AD67CA"/>
    <w:rsid w:val="00AD77AB"/>
    <w:rsid w:val="00AF35B9"/>
    <w:rsid w:val="00AF4C8D"/>
    <w:rsid w:val="00AF7A0F"/>
    <w:rsid w:val="00B0184B"/>
    <w:rsid w:val="00B05639"/>
    <w:rsid w:val="00B145E5"/>
    <w:rsid w:val="00B20E9C"/>
    <w:rsid w:val="00B210D2"/>
    <w:rsid w:val="00B241C5"/>
    <w:rsid w:val="00B31D7B"/>
    <w:rsid w:val="00B33E45"/>
    <w:rsid w:val="00B42C7E"/>
    <w:rsid w:val="00B54523"/>
    <w:rsid w:val="00B55982"/>
    <w:rsid w:val="00B73529"/>
    <w:rsid w:val="00B932AE"/>
    <w:rsid w:val="00B9446F"/>
    <w:rsid w:val="00B95A8B"/>
    <w:rsid w:val="00BC44AB"/>
    <w:rsid w:val="00BC5DF6"/>
    <w:rsid w:val="00BD649E"/>
    <w:rsid w:val="00BE2202"/>
    <w:rsid w:val="00BE26C1"/>
    <w:rsid w:val="00BE47DB"/>
    <w:rsid w:val="00BF2013"/>
    <w:rsid w:val="00BF2E2D"/>
    <w:rsid w:val="00BF53EE"/>
    <w:rsid w:val="00C14810"/>
    <w:rsid w:val="00C210F9"/>
    <w:rsid w:val="00C329F0"/>
    <w:rsid w:val="00C42E69"/>
    <w:rsid w:val="00C46BC2"/>
    <w:rsid w:val="00C545AA"/>
    <w:rsid w:val="00C54D63"/>
    <w:rsid w:val="00C62173"/>
    <w:rsid w:val="00C62816"/>
    <w:rsid w:val="00C64642"/>
    <w:rsid w:val="00C64F82"/>
    <w:rsid w:val="00C6676E"/>
    <w:rsid w:val="00C8245E"/>
    <w:rsid w:val="00C90F9F"/>
    <w:rsid w:val="00C962ED"/>
    <w:rsid w:val="00CA08AA"/>
    <w:rsid w:val="00CA3407"/>
    <w:rsid w:val="00CB0BFC"/>
    <w:rsid w:val="00CB20FE"/>
    <w:rsid w:val="00CB424A"/>
    <w:rsid w:val="00CC79BC"/>
    <w:rsid w:val="00CD3213"/>
    <w:rsid w:val="00CE0472"/>
    <w:rsid w:val="00CF1AAC"/>
    <w:rsid w:val="00CF5E6A"/>
    <w:rsid w:val="00D052DC"/>
    <w:rsid w:val="00D2564F"/>
    <w:rsid w:val="00D33BF3"/>
    <w:rsid w:val="00D34B4F"/>
    <w:rsid w:val="00D35F18"/>
    <w:rsid w:val="00D4511E"/>
    <w:rsid w:val="00D4784C"/>
    <w:rsid w:val="00D5799B"/>
    <w:rsid w:val="00D61C42"/>
    <w:rsid w:val="00D62435"/>
    <w:rsid w:val="00D6375E"/>
    <w:rsid w:val="00D74FAE"/>
    <w:rsid w:val="00D77BB4"/>
    <w:rsid w:val="00D87B02"/>
    <w:rsid w:val="00D91C75"/>
    <w:rsid w:val="00D9671D"/>
    <w:rsid w:val="00D975F7"/>
    <w:rsid w:val="00DA1E14"/>
    <w:rsid w:val="00DA5BAD"/>
    <w:rsid w:val="00DA6EEA"/>
    <w:rsid w:val="00DD6D41"/>
    <w:rsid w:val="00DE39E8"/>
    <w:rsid w:val="00DE5453"/>
    <w:rsid w:val="00DF1E49"/>
    <w:rsid w:val="00DF6B1A"/>
    <w:rsid w:val="00E007EC"/>
    <w:rsid w:val="00E02354"/>
    <w:rsid w:val="00E07A65"/>
    <w:rsid w:val="00E15D69"/>
    <w:rsid w:val="00E36D4E"/>
    <w:rsid w:val="00E43B2D"/>
    <w:rsid w:val="00E44E3B"/>
    <w:rsid w:val="00E572BB"/>
    <w:rsid w:val="00E61212"/>
    <w:rsid w:val="00E67D69"/>
    <w:rsid w:val="00E70C3A"/>
    <w:rsid w:val="00E73850"/>
    <w:rsid w:val="00E74A1E"/>
    <w:rsid w:val="00E800A7"/>
    <w:rsid w:val="00E93BE0"/>
    <w:rsid w:val="00E967F6"/>
    <w:rsid w:val="00EA02A1"/>
    <w:rsid w:val="00EA726D"/>
    <w:rsid w:val="00EB1DFE"/>
    <w:rsid w:val="00ED113D"/>
    <w:rsid w:val="00EE6300"/>
    <w:rsid w:val="00EF273C"/>
    <w:rsid w:val="00F00A6D"/>
    <w:rsid w:val="00F00F9B"/>
    <w:rsid w:val="00F116E9"/>
    <w:rsid w:val="00F11892"/>
    <w:rsid w:val="00F16DCB"/>
    <w:rsid w:val="00F45297"/>
    <w:rsid w:val="00F45E24"/>
    <w:rsid w:val="00F50928"/>
    <w:rsid w:val="00F5248C"/>
    <w:rsid w:val="00F55E2A"/>
    <w:rsid w:val="00F63427"/>
    <w:rsid w:val="00F63535"/>
    <w:rsid w:val="00F67673"/>
    <w:rsid w:val="00F8119F"/>
    <w:rsid w:val="00FA1CC0"/>
    <w:rsid w:val="00FA5C41"/>
    <w:rsid w:val="00FB53B3"/>
    <w:rsid w:val="00FB5AA9"/>
    <w:rsid w:val="00FD029B"/>
    <w:rsid w:val="00FD1F7D"/>
    <w:rsid w:val="00FD4214"/>
    <w:rsid w:val="00FD4ECA"/>
    <w:rsid w:val="00FE3F5F"/>
    <w:rsid w:val="00FE700D"/>
    <w:rsid w:val="00FF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195E7"/>
  <w15:chartTrackingRefBased/>
  <w15:docId w15:val="{C9DB61FF-1447-4590-8047-A8775FA3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E39"/>
    <w:pPr>
      <w:widowControl w:val="0"/>
      <w:adjustRightInd w:val="0"/>
      <w:snapToGrid w:val="0"/>
      <w:spacing w:line="360" w:lineRule="auto"/>
      <w:ind w:firstLineChars="200" w:firstLine="200"/>
    </w:pPr>
    <w:rPr>
      <w:rFonts w:ascii="Times New Roman" w:eastAsia="仿宋" w:hAnsi="Times New Roman"/>
      <w:sz w:val="24"/>
    </w:rPr>
  </w:style>
  <w:style w:type="paragraph" w:styleId="1">
    <w:name w:val="heading 1"/>
    <w:basedOn w:val="a"/>
    <w:next w:val="a"/>
    <w:link w:val="10"/>
    <w:uiPriority w:val="9"/>
    <w:qFormat/>
    <w:rsid w:val="00266B46"/>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444142"/>
    <w:pPr>
      <w:keepNext/>
      <w:keepLines/>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C79BC"/>
    <w:pPr>
      <w:keepNext/>
      <w:keepLines/>
      <w:outlineLvl w:val="2"/>
    </w:pPr>
    <w:rPr>
      <w:b/>
      <w:bCs/>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4142"/>
    <w:rPr>
      <w:rFonts w:asciiTheme="majorHAnsi" w:eastAsia="仿宋" w:hAnsiTheme="majorHAnsi" w:cstheme="majorBidi"/>
      <w:b/>
      <w:bCs/>
      <w:sz w:val="30"/>
      <w:szCs w:val="32"/>
    </w:rPr>
  </w:style>
  <w:style w:type="table" w:styleId="a3">
    <w:name w:val="Table Grid"/>
    <w:basedOn w:val="a1"/>
    <w:uiPriority w:val="39"/>
    <w:rsid w:val="0063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C79BC"/>
    <w:rPr>
      <w:rFonts w:eastAsia="仿宋"/>
      <w:b/>
      <w:bCs/>
      <w:sz w:val="24"/>
      <w:szCs w:val="32"/>
      <w:u w:val="single"/>
    </w:rPr>
  </w:style>
  <w:style w:type="character" w:customStyle="1" w:styleId="10">
    <w:name w:val="标题 1 字符"/>
    <w:basedOn w:val="a0"/>
    <w:link w:val="1"/>
    <w:uiPriority w:val="9"/>
    <w:rsid w:val="00266B46"/>
    <w:rPr>
      <w:rFonts w:ascii="Times New Roman" w:eastAsia="仿宋" w:hAnsi="Times New Roman"/>
      <w:b/>
      <w:bCs/>
      <w:kern w:val="44"/>
      <w:sz w:val="44"/>
      <w:szCs w:val="44"/>
    </w:rPr>
  </w:style>
  <w:style w:type="character" w:styleId="a4">
    <w:name w:val="Hyperlink"/>
    <w:basedOn w:val="a0"/>
    <w:uiPriority w:val="99"/>
    <w:unhideWhenUsed/>
    <w:rsid w:val="007B0A62"/>
    <w:rPr>
      <w:color w:val="0563C1" w:themeColor="hyperlink"/>
      <w:u w:val="single"/>
    </w:rPr>
  </w:style>
  <w:style w:type="character" w:styleId="a5">
    <w:name w:val="Unresolved Mention"/>
    <w:basedOn w:val="a0"/>
    <w:uiPriority w:val="99"/>
    <w:semiHidden/>
    <w:unhideWhenUsed/>
    <w:rsid w:val="007B0A62"/>
    <w:rPr>
      <w:color w:val="605E5C"/>
      <w:shd w:val="clear" w:color="auto" w:fill="E1DFDD"/>
    </w:rPr>
  </w:style>
  <w:style w:type="table" w:styleId="a6">
    <w:name w:val="Grid Table Light"/>
    <w:basedOn w:val="a1"/>
    <w:uiPriority w:val="40"/>
    <w:rsid w:val="0034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Normal (Web)"/>
    <w:basedOn w:val="a"/>
    <w:uiPriority w:val="99"/>
    <w:semiHidden/>
    <w:unhideWhenUsed/>
    <w:rsid w:val="00407484"/>
    <w:rPr>
      <w:rFonts w:cs="Times New Roman"/>
      <w:szCs w:val="24"/>
    </w:rPr>
  </w:style>
  <w:style w:type="paragraph" w:styleId="a8">
    <w:name w:val="header"/>
    <w:basedOn w:val="a"/>
    <w:link w:val="a9"/>
    <w:uiPriority w:val="99"/>
    <w:unhideWhenUsed/>
    <w:rsid w:val="00557C3A"/>
    <w:pP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57C3A"/>
    <w:rPr>
      <w:rFonts w:eastAsia="仿宋"/>
      <w:sz w:val="18"/>
      <w:szCs w:val="18"/>
    </w:rPr>
  </w:style>
  <w:style w:type="paragraph" w:styleId="aa">
    <w:name w:val="footer"/>
    <w:basedOn w:val="a"/>
    <w:link w:val="ab"/>
    <w:uiPriority w:val="99"/>
    <w:unhideWhenUsed/>
    <w:rsid w:val="00557C3A"/>
    <w:pPr>
      <w:tabs>
        <w:tab w:val="center" w:pos="4153"/>
        <w:tab w:val="right" w:pos="8306"/>
      </w:tabs>
      <w:spacing w:line="240" w:lineRule="auto"/>
    </w:pPr>
    <w:rPr>
      <w:sz w:val="18"/>
      <w:szCs w:val="18"/>
    </w:rPr>
  </w:style>
  <w:style w:type="character" w:customStyle="1" w:styleId="ab">
    <w:name w:val="页脚 字符"/>
    <w:basedOn w:val="a0"/>
    <w:link w:val="aa"/>
    <w:uiPriority w:val="99"/>
    <w:rsid w:val="00557C3A"/>
    <w:rPr>
      <w:rFonts w:eastAsia="仿宋"/>
      <w:sz w:val="18"/>
      <w:szCs w:val="18"/>
    </w:rPr>
  </w:style>
  <w:style w:type="character" w:styleId="ac">
    <w:name w:val="FollowedHyperlink"/>
    <w:basedOn w:val="a0"/>
    <w:uiPriority w:val="99"/>
    <w:semiHidden/>
    <w:unhideWhenUsed/>
    <w:rsid w:val="00411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4779">
      <w:bodyDiv w:val="1"/>
      <w:marLeft w:val="0"/>
      <w:marRight w:val="0"/>
      <w:marTop w:val="0"/>
      <w:marBottom w:val="0"/>
      <w:divBdr>
        <w:top w:val="none" w:sz="0" w:space="0" w:color="auto"/>
        <w:left w:val="none" w:sz="0" w:space="0" w:color="auto"/>
        <w:bottom w:val="none" w:sz="0" w:space="0" w:color="auto"/>
        <w:right w:val="none" w:sz="0" w:space="0" w:color="auto"/>
      </w:divBdr>
    </w:div>
    <w:div w:id="81025518">
      <w:bodyDiv w:val="1"/>
      <w:marLeft w:val="0"/>
      <w:marRight w:val="0"/>
      <w:marTop w:val="0"/>
      <w:marBottom w:val="0"/>
      <w:divBdr>
        <w:top w:val="none" w:sz="0" w:space="0" w:color="auto"/>
        <w:left w:val="none" w:sz="0" w:space="0" w:color="auto"/>
        <w:bottom w:val="none" w:sz="0" w:space="0" w:color="auto"/>
        <w:right w:val="none" w:sz="0" w:space="0" w:color="auto"/>
      </w:divBdr>
    </w:div>
    <w:div w:id="150105497">
      <w:bodyDiv w:val="1"/>
      <w:marLeft w:val="0"/>
      <w:marRight w:val="0"/>
      <w:marTop w:val="0"/>
      <w:marBottom w:val="0"/>
      <w:divBdr>
        <w:top w:val="none" w:sz="0" w:space="0" w:color="auto"/>
        <w:left w:val="none" w:sz="0" w:space="0" w:color="auto"/>
        <w:bottom w:val="none" w:sz="0" w:space="0" w:color="auto"/>
        <w:right w:val="none" w:sz="0" w:space="0" w:color="auto"/>
      </w:divBdr>
    </w:div>
    <w:div w:id="268437535">
      <w:bodyDiv w:val="1"/>
      <w:marLeft w:val="0"/>
      <w:marRight w:val="0"/>
      <w:marTop w:val="0"/>
      <w:marBottom w:val="0"/>
      <w:divBdr>
        <w:top w:val="none" w:sz="0" w:space="0" w:color="auto"/>
        <w:left w:val="none" w:sz="0" w:space="0" w:color="auto"/>
        <w:bottom w:val="none" w:sz="0" w:space="0" w:color="auto"/>
        <w:right w:val="none" w:sz="0" w:space="0" w:color="auto"/>
      </w:divBdr>
    </w:div>
    <w:div w:id="862013538">
      <w:bodyDiv w:val="1"/>
      <w:marLeft w:val="0"/>
      <w:marRight w:val="0"/>
      <w:marTop w:val="0"/>
      <w:marBottom w:val="0"/>
      <w:divBdr>
        <w:top w:val="none" w:sz="0" w:space="0" w:color="auto"/>
        <w:left w:val="none" w:sz="0" w:space="0" w:color="auto"/>
        <w:bottom w:val="none" w:sz="0" w:space="0" w:color="auto"/>
        <w:right w:val="none" w:sz="0" w:space="0" w:color="auto"/>
      </w:divBdr>
    </w:div>
    <w:div w:id="1518419845">
      <w:bodyDiv w:val="1"/>
      <w:marLeft w:val="0"/>
      <w:marRight w:val="0"/>
      <w:marTop w:val="0"/>
      <w:marBottom w:val="0"/>
      <w:divBdr>
        <w:top w:val="none" w:sz="0" w:space="0" w:color="auto"/>
        <w:left w:val="none" w:sz="0" w:space="0" w:color="auto"/>
        <w:bottom w:val="none" w:sz="0" w:space="0" w:color="auto"/>
        <w:right w:val="none" w:sz="0" w:space="0" w:color="auto"/>
      </w:divBdr>
    </w:div>
    <w:div w:id="1596210611">
      <w:bodyDiv w:val="1"/>
      <w:marLeft w:val="0"/>
      <w:marRight w:val="0"/>
      <w:marTop w:val="0"/>
      <w:marBottom w:val="0"/>
      <w:divBdr>
        <w:top w:val="none" w:sz="0" w:space="0" w:color="auto"/>
        <w:left w:val="none" w:sz="0" w:space="0" w:color="auto"/>
        <w:bottom w:val="none" w:sz="0" w:space="0" w:color="auto"/>
        <w:right w:val="none" w:sz="0" w:space="0" w:color="auto"/>
      </w:divBdr>
    </w:div>
    <w:div w:id="1727028192">
      <w:bodyDiv w:val="1"/>
      <w:marLeft w:val="0"/>
      <w:marRight w:val="0"/>
      <w:marTop w:val="0"/>
      <w:marBottom w:val="0"/>
      <w:divBdr>
        <w:top w:val="none" w:sz="0" w:space="0" w:color="auto"/>
        <w:left w:val="none" w:sz="0" w:space="0" w:color="auto"/>
        <w:bottom w:val="none" w:sz="0" w:space="0" w:color="auto"/>
        <w:right w:val="none" w:sz="0" w:space="0" w:color="auto"/>
      </w:divBdr>
    </w:div>
    <w:div w:id="2020350531">
      <w:bodyDiv w:val="1"/>
      <w:marLeft w:val="0"/>
      <w:marRight w:val="0"/>
      <w:marTop w:val="0"/>
      <w:marBottom w:val="0"/>
      <w:divBdr>
        <w:top w:val="none" w:sz="0" w:space="0" w:color="auto"/>
        <w:left w:val="none" w:sz="0" w:space="0" w:color="auto"/>
        <w:bottom w:val="none" w:sz="0" w:space="0" w:color="auto"/>
        <w:right w:val="none" w:sz="0" w:space="0" w:color="auto"/>
      </w:divBdr>
    </w:div>
    <w:div w:id="20235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gov.cn/sj/zxfb/202402/t20240228_1947915.html" TargetMode="External"/><Relationship Id="rId13" Type="http://schemas.openxmlformats.org/officeDocument/2006/relationships/hyperlink" Target="https://www.stats.gov.cn/sj/zxfb/202406/t20240617_1954714.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tats.gov.cn/sj/zbjs/202302/t20230202_1897101.html" TargetMode="Externa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mca.gov.cn/images3/www/file/201711/1509495881341.pdf"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stats.gov.cn/sj/zbjs/202302/t20230202_1897108.html" TargetMode="Externa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tats.gov.cn/sj/ndsj/2021/html/zb10.ht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stats.gov.cn/sj/zxfb/202406/t20240617_1954714.html" TargetMode="External"/><Relationship Id="rId14" Type="http://schemas.openxmlformats.org/officeDocument/2006/relationships/hyperlink" Target="https://www.mca.gov.cn/images3/www/file/201711/1509495881341.pdf" TargetMode="Externa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ng\Desktop\China_Economics\&#20013;&#22269;&#32463;&#279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ng\Desktop\&#20013;&#22269;&#23439;&#35266;&#25968;&#25454;&#242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固定资产投资完成额累计同比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官方同比</c:v>
          </c:tx>
          <c:spPr>
            <a:ln w="28575" cap="rnd">
              <a:solidFill>
                <a:schemeClr val="accent1"/>
              </a:solidFill>
              <a:round/>
            </a:ln>
            <a:effectLst/>
          </c:spPr>
          <c:marker>
            <c:symbol val="none"/>
          </c:marker>
          <c:cat>
            <c:numRef>
              <c:f>同比!$A$21:$A$343</c:f>
              <c:numCache>
                <c:formatCode>yyyy\-mm\-dd</c:formatCode>
                <c:ptCount val="323"/>
                <c:pt idx="0">
                  <c:v>34758</c:v>
                </c:pt>
                <c:pt idx="1">
                  <c:v>34789</c:v>
                </c:pt>
                <c:pt idx="2">
                  <c:v>34819</c:v>
                </c:pt>
                <c:pt idx="3">
                  <c:v>34850</c:v>
                </c:pt>
                <c:pt idx="4">
                  <c:v>34880</c:v>
                </c:pt>
                <c:pt idx="5">
                  <c:v>34911</c:v>
                </c:pt>
                <c:pt idx="6">
                  <c:v>34942</c:v>
                </c:pt>
                <c:pt idx="7">
                  <c:v>34972</c:v>
                </c:pt>
                <c:pt idx="8">
                  <c:v>35003</c:v>
                </c:pt>
                <c:pt idx="9">
                  <c:v>35033</c:v>
                </c:pt>
                <c:pt idx="10">
                  <c:v>35064</c:v>
                </c:pt>
                <c:pt idx="11">
                  <c:v>35124</c:v>
                </c:pt>
                <c:pt idx="12">
                  <c:v>35155</c:v>
                </c:pt>
                <c:pt idx="13">
                  <c:v>35185</c:v>
                </c:pt>
                <c:pt idx="14">
                  <c:v>35216</c:v>
                </c:pt>
                <c:pt idx="15">
                  <c:v>35246</c:v>
                </c:pt>
                <c:pt idx="16">
                  <c:v>35277</c:v>
                </c:pt>
                <c:pt idx="17">
                  <c:v>35308</c:v>
                </c:pt>
                <c:pt idx="18">
                  <c:v>35338</c:v>
                </c:pt>
                <c:pt idx="19">
                  <c:v>35369</c:v>
                </c:pt>
                <c:pt idx="20">
                  <c:v>35399</c:v>
                </c:pt>
                <c:pt idx="21">
                  <c:v>35430</c:v>
                </c:pt>
                <c:pt idx="22">
                  <c:v>35489</c:v>
                </c:pt>
                <c:pt idx="23">
                  <c:v>35520</c:v>
                </c:pt>
                <c:pt idx="24">
                  <c:v>35550</c:v>
                </c:pt>
                <c:pt idx="25">
                  <c:v>35581</c:v>
                </c:pt>
                <c:pt idx="26">
                  <c:v>35611</c:v>
                </c:pt>
                <c:pt idx="27">
                  <c:v>35642</c:v>
                </c:pt>
                <c:pt idx="28">
                  <c:v>35673</c:v>
                </c:pt>
                <c:pt idx="29">
                  <c:v>35703</c:v>
                </c:pt>
                <c:pt idx="30">
                  <c:v>35734</c:v>
                </c:pt>
                <c:pt idx="31">
                  <c:v>35764</c:v>
                </c:pt>
                <c:pt idx="32">
                  <c:v>35795</c:v>
                </c:pt>
                <c:pt idx="33">
                  <c:v>35854</c:v>
                </c:pt>
                <c:pt idx="34">
                  <c:v>35885</c:v>
                </c:pt>
                <c:pt idx="35">
                  <c:v>35915</c:v>
                </c:pt>
                <c:pt idx="36">
                  <c:v>35946</c:v>
                </c:pt>
                <c:pt idx="37">
                  <c:v>35976</c:v>
                </c:pt>
                <c:pt idx="38">
                  <c:v>36007</c:v>
                </c:pt>
                <c:pt idx="39">
                  <c:v>36038</c:v>
                </c:pt>
                <c:pt idx="40">
                  <c:v>36068</c:v>
                </c:pt>
                <c:pt idx="41">
                  <c:v>36099</c:v>
                </c:pt>
                <c:pt idx="42">
                  <c:v>36129</c:v>
                </c:pt>
                <c:pt idx="43">
                  <c:v>36160</c:v>
                </c:pt>
                <c:pt idx="44">
                  <c:v>36219</c:v>
                </c:pt>
                <c:pt idx="45">
                  <c:v>36250</c:v>
                </c:pt>
                <c:pt idx="46">
                  <c:v>36280</c:v>
                </c:pt>
                <c:pt idx="47">
                  <c:v>36311</c:v>
                </c:pt>
                <c:pt idx="48">
                  <c:v>36341</c:v>
                </c:pt>
                <c:pt idx="49">
                  <c:v>36372</c:v>
                </c:pt>
                <c:pt idx="50">
                  <c:v>36403</c:v>
                </c:pt>
                <c:pt idx="51">
                  <c:v>36433</c:v>
                </c:pt>
                <c:pt idx="52">
                  <c:v>36464</c:v>
                </c:pt>
                <c:pt idx="53">
                  <c:v>36494</c:v>
                </c:pt>
                <c:pt idx="54">
                  <c:v>36525</c:v>
                </c:pt>
                <c:pt idx="55">
                  <c:v>36585</c:v>
                </c:pt>
                <c:pt idx="56">
                  <c:v>36616</c:v>
                </c:pt>
                <c:pt idx="57">
                  <c:v>36646</c:v>
                </c:pt>
                <c:pt idx="58">
                  <c:v>36677</c:v>
                </c:pt>
                <c:pt idx="59">
                  <c:v>36707</c:v>
                </c:pt>
                <c:pt idx="60">
                  <c:v>36738</c:v>
                </c:pt>
                <c:pt idx="61">
                  <c:v>36769</c:v>
                </c:pt>
                <c:pt idx="62">
                  <c:v>36799</c:v>
                </c:pt>
                <c:pt idx="63">
                  <c:v>36830</c:v>
                </c:pt>
                <c:pt idx="64">
                  <c:v>36860</c:v>
                </c:pt>
                <c:pt idx="65">
                  <c:v>36891</c:v>
                </c:pt>
                <c:pt idx="66">
                  <c:v>36950</c:v>
                </c:pt>
                <c:pt idx="67">
                  <c:v>36981</c:v>
                </c:pt>
                <c:pt idx="68">
                  <c:v>37011</c:v>
                </c:pt>
                <c:pt idx="69">
                  <c:v>37042</c:v>
                </c:pt>
                <c:pt idx="70">
                  <c:v>37072</c:v>
                </c:pt>
                <c:pt idx="71">
                  <c:v>37103</c:v>
                </c:pt>
                <c:pt idx="72">
                  <c:v>37134</c:v>
                </c:pt>
                <c:pt idx="73">
                  <c:v>37164</c:v>
                </c:pt>
                <c:pt idx="74">
                  <c:v>37195</c:v>
                </c:pt>
                <c:pt idx="75">
                  <c:v>37225</c:v>
                </c:pt>
                <c:pt idx="76">
                  <c:v>37256</c:v>
                </c:pt>
                <c:pt idx="77">
                  <c:v>37315</c:v>
                </c:pt>
                <c:pt idx="78">
                  <c:v>37346</c:v>
                </c:pt>
                <c:pt idx="79">
                  <c:v>37376</c:v>
                </c:pt>
                <c:pt idx="80">
                  <c:v>37407</c:v>
                </c:pt>
                <c:pt idx="81">
                  <c:v>37437</c:v>
                </c:pt>
                <c:pt idx="82">
                  <c:v>37468</c:v>
                </c:pt>
                <c:pt idx="83">
                  <c:v>37499</c:v>
                </c:pt>
                <c:pt idx="84">
                  <c:v>37529</c:v>
                </c:pt>
                <c:pt idx="85">
                  <c:v>37560</c:v>
                </c:pt>
                <c:pt idx="86">
                  <c:v>37590</c:v>
                </c:pt>
                <c:pt idx="87">
                  <c:v>37621</c:v>
                </c:pt>
                <c:pt idx="88">
                  <c:v>37680</c:v>
                </c:pt>
                <c:pt idx="89">
                  <c:v>37711</c:v>
                </c:pt>
                <c:pt idx="90">
                  <c:v>37741</c:v>
                </c:pt>
                <c:pt idx="91">
                  <c:v>37772</c:v>
                </c:pt>
                <c:pt idx="92">
                  <c:v>37802</c:v>
                </c:pt>
                <c:pt idx="93">
                  <c:v>37833</c:v>
                </c:pt>
                <c:pt idx="94">
                  <c:v>37864</c:v>
                </c:pt>
                <c:pt idx="95">
                  <c:v>37894</c:v>
                </c:pt>
                <c:pt idx="96">
                  <c:v>37925</c:v>
                </c:pt>
                <c:pt idx="97">
                  <c:v>37955</c:v>
                </c:pt>
                <c:pt idx="98">
                  <c:v>37986</c:v>
                </c:pt>
                <c:pt idx="99">
                  <c:v>38046</c:v>
                </c:pt>
                <c:pt idx="100">
                  <c:v>38077</c:v>
                </c:pt>
                <c:pt idx="101">
                  <c:v>38107</c:v>
                </c:pt>
                <c:pt idx="102">
                  <c:v>38138</c:v>
                </c:pt>
                <c:pt idx="103">
                  <c:v>38168</c:v>
                </c:pt>
                <c:pt idx="104">
                  <c:v>38199</c:v>
                </c:pt>
                <c:pt idx="105">
                  <c:v>38230</c:v>
                </c:pt>
                <c:pt idx="106">
                  <c:v>38260</c:v>
                </c:pt>
                <c:pt idx="107">
                  <c:v>38291</c:v>
                </c:pt>
                <c:pt idx="108">
                  <c:v>38321</c:v>
                </c:pt>
                <c:pt idx="109">
                  <c:v>38352</c:v>
                </c:pt>
                <c:pt idx="110">
                  <c:v>38411</c:v>
                </c:pt>
                <c:pt idx="111">
                  <c:v>38442</c:v>
                </c:pt>
                <c:pt idx="112">
                  <c:v>38472</c:v>
                </c:pt>
                <c:pt idx="113">
                  <c:v>38503</c:v>
                </c:pt>
                <c:pt idx="114">
                  <c:v>38533</c:v>
                </c:pt>
                <c:pt idx="115">
                  <c:v>38564</c:v>
                </c:pt>
                <c:pt idx="116">
                  <c:v>38595</c:v>
                </c:pt>
                <c:pt idx="117">
                  <c:v>38625</c:v>
                </c:pt>
                <c:pt idx="118">
                  <c:v>38656</c:v>
                </c:pt>
                <c:pt idx="119">
                  <c:v>38686</c:v>
                </c:pt>
                <c:pt idx="120">
                  <c:v>38717</c:v>
                </c:pt>
                <c:pt idx="121">
                  <c:v>38776</c:v>
                </c:pt>
                <c:pt idx="122">
                  <c:v>38807</c:v>
                </c:pt>
                <c:pt idx="123">
                  <c:v>38837</c:v>
                </c:pt>
                <c:pt idx="124">
                  <c:v>38868</c:v>
                </c:pt>
                <c:pt idx="125">
                  <c:v>38898</c:v>
                </c:pt>
                <c:pt idx="126">
                  <c:v>38929</c:v>
                </c:pt>
                <c:pt idx="127">
                  <c:v>38960</c:v>
                </c:pt>
                <c:pt idx="128">
                  <c:v>38990</c:v>
                </c:pt>
                <c:pt idx="129">
                  <c:v>39021</c:v>
                </c:pt>
                <c:pt idx="130">
                  <c:v>39051</c:v>
                </c:pt>
                <c:pt idx="131">
                  <c:v>39082</c:v>
                </c:pt>
                <c:pt idx="132">
                  <c:v>39141</c:v>
                </c:pt>
                <c:pt idx="133">
                  <c:v>39172</c:v>
                </c:pt>
                <c:pt idx="134">
                  <c:v>39202</c:v>
                </c:pt>
                <c:pt idx="135">
                  <c:v>39233</c:v>
                </c:pt>
                <c:pt idx="136">
                  <c:v>39263</c:v>
                </c:pt>
                <c:pt idx="137">
                  <c:v>39294</c:v>
                </c:pt>
                <c:pt idx="138">
                  <c:v>39325</c:v>
                </c:pt>
                <c:pt idx="139">
                  <c:v>39355</c:v>
                </c:pt>
                <c:pt idx="140">
                  <c:v>39386</c:v>
                </c:pt>
                <c:pt idx="141">
                  <c:v>39416</c:v>
                </c:pt>
                <c:pt idx="142">
                  <c:v>39447</c:v>
                </c:pt>
                <c:pt idx="143">
                  <c:v>39507</c:v>
                </c:pt>
                <c:pt idx="144">
                  <c:v>39538</c:v>
                </c:pt>
                <c:pt idx="145">
                  <c:v>39568</c:v>
                </c:pt>
                <c:pt idx="146">
                  <c:v>39599</c:v>
                </c:pt>
                <c:pt idx="147">
                  <c:v>39629</c:v>
                </c:pt>
                <c:pt idx="148">
                  <c:v>39660</c:v>
                </c:pt>
                <c:pt idx="149">
                  <c:v>39691</c:v>
                </c:pt>
                <c:pt idx="150">
                  <c:v>39721</c:v>
                </c:pt>
                <c:pt idx="151">
                  <c:v>39752</c:v>
                </c:pt>
                <c:pt idx="152">
                  <c:v>39782</c:v>
                </c:pt>
                <c:pt idx="153">
                  <c:v>39813</c:v>
                </c:pt>
                <c:pt idx="154">
                  <c:v>39872</c:v>
                </c:pt>
                <c:pt idx="155">
                  <c:v>39903</c:v>
                </c:pt>
                <c:pt idx="156">
                  <c:v>39933</c:v>
                </c:pt>
                <c:pt idx="157">
                  <c:v>39964</c:v>
                </c:pt>
                <c:pt idx="158">
                  <c:v>39994</c:v>
                </c:pt>
                <c:pt idx="159">
                  <c:v>40025</c:v>
                </c:pt>
                <c:pt idx="160">
                  <c:v>40056</c:v>
                </c:pt>
                <c:pt idx="161">
                  <c:v>40086</c:v>
                </c:pt>
                <c:pt idx="162">
                  <c:v>40117</c:v>
                </c:pt>
                <c:pt idx="163">
                  <c:v>40147</c:v>
                </c:pt>
                <c:pt idx="164">
                  <c:v>40178</c:v>
                </c:pt>
                <c:pt idx="165">
                  <c:v>40237</c:v>
                </c:pt>
                <c:pt idx="166">
                  <c:v>40268</c:v>
                </c:pt>
                <c:pt idx="167">
                  <c:v>40298</c:v>
                </c:pt>
                <c:pt idx="168">
                  <c:v>40329</c:v>
                </c:pt>
                <c:pt idx="169">
                  <c:v>40359</c:v>
                </c:pt>
                <c:pt idx="170">
                  <c:v>40390</c:v>
                </c:pt>
                <c:pt idx="171">
                  <c:v>40421</c:v>
                </c:pt>
                <c:pt idx="172">
                  <c:v>40451</c:v>
                </c:pt>
                <c:pt idx="173">
                  <c:v>40482</c:v>
                </c:pt>
                <c:pt idx="174">
                  <c:v>40512</c:v>
                </c:pt>
                <c:pt idx="175">
                  <c:v>40543</c:v>
                </c:pt>
                <c:pt idx="176">
                  <c:v>40602</c:v>
                </c:pt>
                <c:pt idx="177">
                  <c:v>40633</c:v>
                </c:pt>
                <c:pt idx="178">
                  <c:v>40663</c:v>
                </c:pt>
                <c:pt idx="179">
                  <c:v>40694</c:v>
                </c:pt>
                <c:pt idx="180">
                  <c:v>40724</c:v>
                </c:pt>
                <c:pt idx="181">
                  <c:v>40755</c:v>
                </c:pt>
                <c:pt idx="182">
                  <c:v>40786</c:v>
                </c:pt>
                <c:pt idx="183">
                  <c:v>40816</c:v>
                </c:pt>
                <c:pt idx="184">
                  <c:v>40847</c:v>
                </c:pt>
                <c:pt idx="185">
                  <c:v>40877</c:v>
                </c:pt>
                <c:pt idx="186">
                  <c:v>40908</c:v>
                </c:pt>
                <c:pt idx="187">
                  <c:v>40968</c:v>
                </c:pt>
                <c:pt idx="188">
                  <c:v>40999</c:v>
                </c:pt>
                <c:pt idx="189">
                  <c:v>41029</c:v>
                </c:pt>
                <c:pt idx="190">
                  <c:v>41060</c:v>
                </c:pt>
                <c:pt idx="191">
                  <c:v>41090</c:v>
                </c:pt>
                <c:pt idx="192">
                  <c:v>41121</c:v>
                </c:pt>
                <c:pt idx="193">
                  <c:v>41152</c:v>
                </c:pt>
                <c:pt idx="194">
                  <c:v>41182</c:v>
                </c:pt>
                <c:pt idx="195">
                  <c:v>41213</c:v>
                </c:pt>
                <c:pt idx="196">
                  <c:v>41243</c:v>
                </c:pt>
                <c:pt idx="197">
                  <c:v>41274</c:v>
                </c:pt>
                <c:pt idx="198">
                  <c:v>41333</c:v>
                </c:pt>
                <c:pt idx="199">
                  <c:v>41364</c:v>
                </c:pt>
                <c:pt idx="200">
                  <c:v>41394</c:v>
                </c:pt>
                <c:pt idx="201">
                  <c:v>41425</c:v>
                </c:pt>
                <c:pt idx="202">
                  <c:v>41455</c:v>
                </c:pt>
                <c:pt idx="203">
                  <c:v>41486</c:v>
                </c:pt>
                <c:pt idx="204">
                  <c:v>41517</c:v>
                </c:pt>
                <c:pt idx="205">
                  <c:v>41547</c:v>
                </c:pt>
                <c:pt idx="206">
                  <c:v>41578</c:v>
                </c:pt>
                <c:pt idx="207">
                  <c:v>41608</c:v>
                </c:pt>
                <c:pt idx="208">
                  <c:v>41639</c:v>
                </c:pt>
                <c:pt idx="209">
                  <c:v>41698</c:v>
                </c:pt>
                <c:pt idx="210">
                  <c:v>41729</c:v>
                </c:pt>
                <c:pt idx="211">
                  <c:v>41759</c:v>
                </c:pt>
                <c:pt idx="212">
                  <c:v>41790</c:v>
                </c:pt>
                <c:pt idx="213">
                  <c:v>41820</c:v>
                </c:pt>
                <c:pt idx="214">
                  <c:v>41851</c:v>
                </c:pt>
                <c:pt idx="215">
                  <c:v>41882</c:v>
                </c:pt>
                <c:pt idx="216">
                  <c:v>41912</c:v>
                </c:pt>
                <c:pt idx="217">
                  <c:v>41943</c:v>
                </c:pt>
                <c:pt idx="218">
                  <c:v>41973</c:v>
                </c:pt>
                <c:pt idx="219">
                  <c:v>42004</c:v>
                </c:pt>
                <c:pt idx="220">
                  <c:v>42063</c:v>
                </c:pt>
                <c:pt idx="221">
                  <c:v>42094</c:v>
                </c:pt>
                <c:pt idx="222">
                  <c:v>42124</c:v>
                </c:pt>
                <c:pt idx="223">
                  <c:v>42155</c:v>
                </c:pt>
                <c:pt idx="224">
                  <c:v>42185</c:v>
                </c:pt>
                <c:pt idx="225">
                  <c:v>42216</c:v>
                </c:pt>
                <c:pt idx="226">
                  <c:v>42247</c:v>
                </c:pt>
                <c:pt idx="227">
                  <c:v>42277</c:v>
                </c:pt>
                <c:pt idx="228">
                  <c:v>42308</c:v>
                </c:pt>
                <c:pt idx="229">
                  <c:v>42338</c:v>
                </c:pt>
                <c:pt idx="230">
                  <c:v>42369</c:v>
                </c:pt>
                <c:pt idx="231">
                  <c:v>42429</c:v>
                </c:pt>
                <c:pt idx="232">
                  <c:v>42460</c:v>
                </c:pt>
                <c:pt idx="233">
                  <c:v>42490</c:v>
                </c:pt>
                <c:pt idx="234">
                  <c:v>42521</c:v>
                </c:pt>
                <c:pt idx="235">
                  <c:v>42551</c:v>
                </c:pt>
                <c:pt idx="236">
                  <c:v>42582</c:v>
                </c:pt>
                <c:pt idx="237">
                  <c:v>42613</c:v>
                </c:pt>
                <c:pt idx="238">
                  <c:v>42643</c:v>
                </c:pt>
                <c:pt idx="239">
                  <c:v>42674</c:v>
                </c:pt>
                <c:pt idx="240">
                  <c:v>42704</c:v>
                </c:pt>
                <c:pt idx="241">
                  <c:v>42735</c:v>
                </c:pt>
                <c:pt idx="242">
                  <c:v>42794</c:v>
                </c:pt>
                <c:pt idx="243">
                  <c:v>42825</c:v>
                </c:pt>
                <c:pt idx="244">
                  <c:v>42855</c:v>
                </c:pt>
                <c:pt idx="245">
                  <c:v>42886</c:v>
                </c:pt>
                <c:pt idx="246">
                  <c:v>42916</c:v>
                </c:pt>
                <c:pt idx="247">
                  <c:v>42947</c:v>
                </c:pt>
                <c:pt idx="248">
                  <c:v>42978</c:v>
                </c:pt>
                <c:pt idx="249">
                  <c:v>43008</c:v>
                </c:pt>
                <c:pt idx="250">
                  <c:v>43039</c:v>
                </c:pt>
                <c:pt idx="251">
                  <c:v>43069</c:v>
                </c:pt>
                <c:pt idx="252">
                  <c:v>43100</c:v>
                </c:pt>
                <c:pt idx="253">
                  <c:v>43159</c:v>
                </c:pt>
                <c:pt idx="254">
                  <c:v>43190</c:v>
                </c:pt>
                <c:pt idx="255">
                  <c:v>43220</c:v>
                </c:pt>
                <c:pt idx="256">
                  <c:v>43251</c:v>
                </c:pt>
                <c:pt idx="257">
                  <c:v>43281</c:v>
                </c:pt>
                <c:pt idx="258">
                  <c:v>43312</c:v>
                </c:pt>
                <c:pt idx="259">
                  <c:v>43343</c:v>
                </c:pt>
                <c:pt idx="260">
                  <c:v>43373</c:v>
                </c:pt>
                <c:pt idx="261">
                  <c:v>43404</c:v>
                </c:pt>
                <c:pt idx="262">
                  <c:v>43434</c:v>
                </c:pt>
                <c:pt idx="263">
                  <c:v>43465</c:v>
                </c:pt>
                <c:pt idx="264">
                  <c:v>43524</c:v>
                </c:pt>
                <c:pt idx="265">
                  <c:v>43555</c:v>
                </c:pt>
                <c:pt idx="266">
                  <c:v>43585</c:v>
                </c:pt>
                <c:pt idx="267">
                  <c:v>43616</c:v>
                </c:pt>
                <c:pt idx="268">
                  <c:v>43646</c:v>
                </c:pt>
                <c:pt idx="269">
                  <c:v>43677</c:v>
                </c:pt>
                <c:pt idx="270">
                  <c:v>43708</c:v>
                </c:pt>
                <c:pt idx="271">
                  <c:v>43738</c:v>
                </c:pt>
                <c:pt idx="272">
                  <c:v>43769</c:v>
                </c:pt>
                <c:pt idx="273">
                  <c:v>43799</c:v>
                </c:pt>
                <c:pt idx="274">
                  <c:v>43830</c:v>
                </c:pt>
                <c:pt idx="275">
                  <c:v>43890</c:v>
                </c:pt>
                <c:pt idx="276">
                  <c:v>43921</c:v>
                </c:pt>
                <c:pt idx="277">
                  <c:v>43951</c:v>
                </c:pt>
                <c:pt idx="278">
                  <c:v>43982</c:v>
                </c:pt>
                <c:pt idx="279">
                  <c:v>44012</c:v>
                </c:pt>
                <c:pt idx="280">
                  <c:v>44043</c:v>
                </c:pt>
                <c:pt idx="281">
                  <c:v>44074</c:v>
                </c:pt>
                <c:pt idx="282">
                  <c:v>44104</c:v>
                </c:pt>
                <c:pt idx="283">
                  <c:v>44135</c:v>
                </c:pt>
                <c:pt idx="284">
                  <c:v>44165</c:v>
                </c:pt>
                <c:pt idx="285">
                  <c:v>44196</c:v>
                </c:pt>
                <c:pt idx="286">
                  <c:v>44255</c:v>
                </c:pt>
                <c:pt idx="287">
                  <c:v>44286</c:v>
                </c:pt>
                <c:pt idx="288">
                  <c:v>44316</c:v>
                </c:pt>
                <c:pt idx="289">
                  <c:v>44347</c:v>
                </c:pt>
                <c:pt idx="290">
                  <c:v>44377</c:v>
                </c:pt>
                <c:pt idx="291">
                  <c:v>44408</c:v>
                </c:pt>
                <c:pt idx="292">
                  <c:v>44439</c:v>
                </c:pt>
                <c:pt idx="293">
                  <c:v>44469</c:v>
                </c:pt>
                <c:pt idx="294">
                  <c:v>44500</c:v>
                </c:pt>
                <c:pt idx="295">
                  <c:v>44530</c:v>
                </c:pt>
                <c:pt idx="296">
                  <c:v>44561</c:v>
                </c:pt>
                <c:pt idx="297">
                  <c:v>44620</c:v>
                </c:pt>
                <c:pt idx="298">
                  <c:v>44651</c:v>
                </c:pt>
                <c:pt idx="299">
                  <c:v>44681</c:v>
                </c:pt>
                <c:pt idx="300">
                  <c:v>44712</c:v>
                </c:pt>
                <c:pt idx="301">
                  <c:v>44742</c:v>
                </c:pt>
                <c:pt idx="302">
                  <c:v>44773</c:v>
                </c:pt>
                <c:pt idx="303">
                  <c:v>44804</c:v>
                </c:pt>
                <c:pt idx="304">
                  <c:v>44834</c:v>
                </c:pt>
                <c:pt idx="305">
                  <c:v>44865</c:v>
                </c:pt>
                <c:pt idx="306">
                  <c:v>44895</c:v>
                </c:pt>
                <c:pt idx="307">
                  <c:v>44926</c:v>
                </c:pt>
                <c:pt idx="308">
                  <c:v>44985</c:v>
                </c:pt>
                <c:pt idx="309">
                  <c:v>45016</c:v>
                </c:pt>
                <c:pt idx="310">
                  <c:v>45046</c:v>
                </c:pt>
                <c:pt idx="311">
                  <c:v>45077</c:v>
                </c:pt>
                <c:pt idx="312">
                  <c:v>45107</c:v>
                </c:pt>
                <c:pt idx="313">
                  <c:v>45138</c:v>
                </c:pt>
                <c:pt idx="314">
                  <c:v>45169</c:v>
                </c:pt>
                <c:pt idx="315">
                  <c:v>45199</c:v>
                </c:pt>
                <c:pt idx="316">
                  <c:v>45230</c:v>
                </c:pt>
                <c:pt idx="317">
                  <c:v>45260</c:v>
                </c:pt>
                <c:pt idx="318">
                  <c:v>45291</c:v>
                </c:pt>
                <c:pt idx="319">
                  <c:v>45351</c:v>
                </c:pt>
                <c:pt idx="320">
                  <c:v>45382</c:v>
                </c:pt>
                <c:pt idx="321">
                  <c:v>45412</c:v>
                </c:pt>
                <c:pt idx="322">
                  <c:v>45443</c:v>
                </c:pt>
              </c:numCache>
            </c:numRef>
          </c:cat>
          <c:val>
            <c:numRef>
              <c:f>同比!$C$21:$C$343</c:f>
              <c:numCache>
                <c:formatCode>#,##0.00</c:formatCode>
                <c:ptCount val="323"/>
                <c:pt idx="0">
                  <c:v>59.09</c:v>
                </c:pt>
                <c:pt idx="1">
                  <c:v>65.34</c:v>
                </c:pt>
                <c:pt idx="2">
                  <c:v>56.13</c:v>
                </c:pt>
                <c:pt idx="3">
                  <c:v>51.71</c:v>
                </c:pt>
                <c:pt idx="4">
                  <c:v>43.83</c:v>
                </c:pt>
                <c:pt idx="5">
                  <c:v>35.299999999999997</c:v>
                </c:pt>
                <c:pt idx="6">
                  <c:v>38.380000000000003</c:v>
                </c:pt>
                <c:pt idx="7">
                  <c:v>39.06</c:v>
                </c:pt>
                <c:pt idx="8">
                  <c:v>39.46</c:v>
                </c:pt>
                <c:pt idx="9">
                  <c:v>38.51</c:v>
                </c:pt>
                <c:pt idx="10">
                  <c:v>63.66</c:v>
                </c:pt>
                <c:pt idx="11">
                  <c:v>7.05</c:v>
                </c:pt>
                <c:pt idx="12">
                  <c:v>16.18</c:v>
                </c:pt>
                <c:pt idx="13">
                  <c:v>16.3</c:v>
                </c:pt>
                <c:pt idx="14">
                  <c:v>19.36</c:v>
                </c:pt>
                <c:pt idx="15">
                  <c:v>23.98</c:v>
                </c:pt>
                <c:pt idx="16">
                  <c:v>24.17</c:v>
                </c:pt>
                <c:pt idx="17">
                  <c:v>21.09</c:v>
                </c:pt>
                <c:pt idx="18">
                  <c:v>19.989999999999998</c:v>
                </c:pt>
                <c:pt idx="19">
                  <c:v>19.25</c:v>
                </c:pt>
                <c:pt idx="20">
                  <c:v>19.78</c:v>
                </c:pt>
                <c:pt idx="21">
                  <c:v>12.3</c:v>
                </c:pt>
                <c:pt idx="22">
                  <c:v>23.93</c:v>
                </c:pt>
                <c:pt idx="23">
                  <c:v>13.82</c:v>
                </c:pt>
                <c:pt idx="24">
                  <c:v>15.84</c:v>
                </c:pt>
                <c:pt idx="25">
                  <c:v>13.98</c:v>
                </c:pt>
                <c:pt idx="26">
                  <c:v>13.39</c:v>
                </c:pt>
                <c:pt idx="27">
                  <c:v>9.06</c:v>
                </c:pt>
                <c:pt idx="28">
                  <c:v>9.7799999999999994</c:v>
                </c:pt>
                <c:pt idx="29">
                  <c:v>9.82</c:v>
                </c:pt>
                <c:pt idx="30">
                  <c:v>11.75</c:v>
                </c:pt>
                <c:pt idx="31">
                  <c:v>12.05</c:v>
                </c:pt>
                <c:pt idx="32">
                  <c:v>9.26</c:v>
                </c:pt>
                <c:pt idx="33">
                  <c:v>10.199999999999999</c:v>
                </c:pt>
                <c:pt idx="34">
                  <c:v>10.3</c:v>
                </c:pt>
                <c:pt idx="35">
                  <c:v>12.2</c:v>
                </c:pt>
                <c:pt idx="36">
                  <c:v>12.7</c:v>
                </c:pt>
                <c:pt idx="37">
                  <c:v>13.8</c:v>
                </c:pt>
                <c:pt idx="38">
                  <c:v>15.6</c:v>
                </c:pt>
                <c:pt idx="39">
                  <c:v>17.399999999999999</c:v>
                </c:pt>
                <c:pt idx="40">
                  <c:v>20</c:v>
                </c:pt>
                <c:pt idx="41">
                  <c:v>21.2</c:v>
                </c:pt>
                <c:pt idx="42">
                  <c:v>22.3</c:v>
                </c:pt>
                <c:pt idx="43">
                  <c:v>19.5</c:v>
                </c:pt>
                <c:pt idx="44">
                  <c:v>28.3</c:v>
                </c:pt>
                <c:pt idx="45">
                  <c:v>22.7</c:v>
                </c:pt>
                <c:pt idx="46">
                  <c:v>18.100000000000001</c:v>
                </c:pt>
                <c:pt idx="47">
                  <c:v>17.600000000000001</c:v>
                </c:pt>
                <c:pt idx="48">
                  <c:v>15.1</c:v>
                </c:pt>
                <c:pt idx="49">
                  <c:v>12.7</c:v>
                </c:pt>
                <c:pt idx="50">
                  <c:v>10.4</c:v>
                </c:pt>
                <c:pt idx="51">
                  <c:v>8.1</c:v>
                </c:pt>
                <c:pt idx="52">
                  <c:v>7</c:v>
                </c:pt>
                <c:pt idx="53">
                  <c:v>6.8</c:v>
                </c:pt>
                <c:pt idx="54">
                  <c:v>6.3</c:v>
                </c:pt>
                <c:pt idx="55">
                  <c:v>8.6</c:v>
                </c:pt>
                <c:pt idx="56">
                  <c:v>8.5</c:v>
                </c:pt>
                <c:pt idx="57">
                  <c:v>9.3000000000000007</c:v>
                </c:pt>
                <c:pt idx="58">
                  <c:v>9.5</c:v>
                </c:pt>
                <c:pt idx="59">
                  <c:v>12.1</c:v>
                </c:pt>
                <c:pt idx="60">
                  <c:v>12.6</c:v>
                </c:pt>
                <c:pt idx="61">
                  <c:v>12.7</c:v>
                </c:pt>
                <c:pt idx="62">
                  <c:v>12.9</c:v>
                </c:pt>
                <c:pt idx="63">
                  <c:v>12.6</c:v>
                </c:pt>
                <c:pt idx="64">
                  <c:v>11.7</c:v>
                </c:pt>
                <c:pt idx="65">
                  <c:v>9.6999999999999993</c:v>
                </c:pt>
                <c:pt idx="66">
                  <c:v>16.7</c:v>
                </c:pt>
                <c:pt idx="67">
                  <c:v>15.1</c:v>
                </c:pt>
                <c:pt idx="68">
                  <c:v>16.5</c:v>
                </c:pt>
                <c:pt idx="69">
                  <c:v>17.600000000000001</c:v>
                </c:pt>
                <c:pt idx="70">
                  <c:v>17.899999999999999</c:v>
                </c:pt>
                <c:pt idx="71">
                  <c:v>18.399999999999999</c:v>
                </c:pt>
                <c:pt idx="72">
                  <c:v>18.899999999999999</c:v>
                </c:pt>
                <c:pt idx="73">
                  <c:v>18.2</c:v>
                </c:pt>
                <c:pt idx="74">
                  <c:v>17.399999999999999</c:v>
                </c:pt>
                <c:pt idx="75">
                  <c:v>16.3</c:v>
                </c:pt>
                <c:pt idx="76">
                  <c:v>13.7</c:v>
                </c:pt>
                <c:pt idx="77">
                  <c:v>24.5</c:v>
                </c:pt>
                <c:pt idx="78">
                  <c:v>26.1</c:v>
                </c:pt>
                <c:pt idx="79">
                  <c:v>27.1</c:v>
                </c:pt>
                <c:pt idx="80">
                  <c:v>25.8</c:v>
                </c:pt>
                <c:pt idx="81">
                  <c:v>24.4</c:v>
                </c:pt>
                <c:pt idx="82">
                  <c:v>24.1</c:v>
                </c:pt>
                <c:pt idx="83">
                  <c:v>24.2</c:v>
                </c:pt>
                <c:pt idx="84">
                  <c:v>24.3</c:v>
                </c:pt>
                <c:pt idx="85">
                  <c:v>24.1</c:v>
                </c:pt>
                <c:pt idx="86">
                  <c:v>23.4</c:v>
                </c:pt>
                <c:pt idx="87">
                  <c:v>14.4</c:v>
                </c:pt>
                <c:pt idx="88">
                  <c:v>32.82</c:v>
                </c:pt>
                <c:pt idx="89">
                  <c:v>31.6</c:v>
                </c:pt>
                <c:pt idx="90">
                  <c:v>30.52</c:v>
                </c:pt>
                <c:pt idx="91">
                  <c:v>31.7</c:v>
                </c:pt>
                <c:pt idx="92">
                  <c:v>32.79</c:v>
                </c:pt>
                <c:pt idx="93">
                  <c:v>32.700000000000003</c:v>
                </c:pt>
                <c:pt idx="94">
                  <c:v>32.369999999999997</c:v>
                </c:pt>
                <c:pt idx="95">
                  <c:v>31.41</c:v>
                </c:pt>
                <c:pt idx="96">
                  <c:v>30.2</c:v>
                </c:pt>
                <c:pt idx="97">
                  <c:v>29.6</c:v>
                </c:pt>
                <c:pt idx="98">
                  <c:v>28.4</c:v>
                </c:pt>
                <c:pt idx="99">
                  <c:v>52.96</c:v>
                </c:pt>
                <c:pt idx="100">
                  <c:v>47.78</c:v>
                </c:pt>
                <c:pt idx="101">
                  <c:v>42.8</c:v>
                </c:pt>
                <c:pt idx="102">
                  <c:v>34.799999999999997</c:v>
                </c:pt>
                <c:pt idx="103">
                  <c:v>31</c:v>
                </c:pt>
                <c:pt idx="104">
                  <c:v>31.1</c:v>
                </c:pt>
                <c:pt idx="105">
                  <c:v>30.3</c:v>
                </c:pt>
                <c:pt idx="106">
                  <c:v>29.9</c:v>
                </c:pt>
                <c:pt idx="107">
                  <c:v>29.5</c:v>
                </c:pt>
                <c:pt idx="108">
                  <c:v>28.9</c:v>
                </c:pt>
                <c:pt idx="109">
                  <c:v>27.6</c:v>
                </c:pt>
                <c:pt idx="110">
                  <c:v>24.5</c:v>
                </c:pt>
                <c:pt idx="111">
                  <c:v>25.3</c:v>
                </c:pt>
                <c:pt idx="112">
                  <c:v>25.7</c:v>
                </c:pt>
                <c:pt idx="113">
                  <c:v>26.4</c:v>
                </c:pt>
                <c:pt idx="114">
                  <c:v>27.1</c:v>
                </c:pt>
                <c:pt idx="115">
                  <c:v>27.2</c:v>
                </c:pt>
                <c:pt idx="116">
                  <c:v>27.4</c:v>
                </c:pt>
                <c:pt idx="117">
                  <c:v>27.72</c:v>
                </c:pt>
                <c:pt idx="118">
                  <c:v>27.6</c:v>
                </c:pt>
                <c:pt idx="119">
                  <c:v>27.8</c:v>
                </c:pt>
                <c:pt idx="120">
                  <c:v>27.2</c:v>
                </c:pt>
                <c:pt idx="121">
                  <c:v>26.6</c:v>
                </c:pt>
                <c:pt idx="122">
                  <c:v>29.8</c:v>
                </c:pt>
                <c:pt idx="123">
                  <c:v>29.6</c:v>
                </c:pt>
                <c:pt idx="124">
                  <c:v>30.3</c:v>
                </c:pt>
                <c:pt idx="125">
                  <c:v>31.3</c:v>
                </c:pt>
                <c:pt idx="126">
                  <c:v>30.5</c:v>
                </c:pt>
                <c:pt idx="127">
                  <c:v>29.1</c:v>
                </c:pt>
                <c:pt idx="128">
                  <c:v>28.2</c:v>
                </c:pt>
                <c:pt idx="129">
                  <c:v>26.8</c:v>
                </c:pt>
                <c:pt idx="130">
                  <c:v>26.6</c:v>
                </c:pt>
                <c:pt idx="131">
                  <c:v>24.5</c:v>
                </c:pt>
                <c:pt idx="132">
                  <c:v>23.4</c:v>
                </c:pt>
                <c:pt idx="133">
                  <c:v>25.3</c:v>
                </c:pt>
                <c:pt idx="134">
                  <c:v>25.5</c:v>
                </c:pt>
                <c:pt idx="135">
                  <c:v>25.9</c:v>
                </c:pt>
                <c:pt idx="136">
                  <c:v>26.7</c:v>
                </c:pt>
                <c:pt idx="137">
                  <c:v>26.6</c:v>
                </c:pt>
                <c:pt idx="138">
                  <c:v>26.7</c:v>
                </c:pt>
                <c:pt idx="139">
                  <c:v>26.4</c:v>
                </c:pt>
                <c:pt idx="140">
                  <c:v>26.9</c:v>
                </c:pt>
                <c:pt idx="141">
                  <c:v>26.8</c:v>
                </c:pt>
                <c:pt idx="142">
                  <c:v>25.8</c:v>
                </c:pt>
                <c:pt idx="143">
                  <c:v>24.3</c:v>
                </c:pt>
                <c:pt idx="144">
                  <c:v>25.9</c:v>
                </c:pt>
                <c:pt idx="145">
                  <c:v>25.7</c:v>
                </c:pt>
                <c:pt idx="146">
                  <c:v>25.6</c:v>
                </c:pt>
                <c:pt idx="147">
                  <c:v>26.8</c:v>
                </c:pt>
                <c:pt idx="148">
                  <c:v>27.3</c:v>
                </c:pt>
                <c:pt idx="149">
                  <c:v>27.4</c:v>
                </c:pt>
                <c:pt idx="150">
                  <c:v>27.6</c:v>
                </c:pt>
                <c:pt idx="151">
                  <c:v>27.2</c:v>
                </c:pt>
                <c:pt idx="152">
                  <c:v>26.8</c:v>
                </c:pt>
                <c:pt idx="153">
                  <c:v>26.1</c:v>
                </c:pt>
                <c:pt idx="154">
                  <c:v>26.5</c:v>
                </c:pt>
                <c:pt idx="155">
                  <c:v>28.6</c:v>
                </c:pt>
                <c:pt idx="156">
                  <c:v>30.5</c:v>
                </c:pt>
                <c:pt idx="157">
                  <c:v>32.9</c:v>
                </c:pt>
                <c:pt idx="158">
                  <c:v>33.6</c:v>
                </c:pt>
                <c:pt idx="159">
                  <c:v>32.9</c:v>
                </c:pt>
                <c:pt idx="160">
                  <c:v>33</c:v>
                </c:pt>
                <c:pt idx="161">
                  <c:v>33.299999999999997</c:v>
                </c:pt>
                <c:pt idx="162">
                  <c:v>33.1</c:v>
                </c:pt>
                <c:pt idx="163">
                  <c:v>32.1</c:v>
                </c:pt>
                <c:pt idx="164">
                  <c:v>30.5</c:v>
                </c:pt>
                <c:pt idx="165">
                  <c:v>26.6</c:v>
                </c:pt>
                <c:pt idx="166">
                  <c:v>26.4</c:v>
                </c:pt>
                <c:pt idx="167">
                  <c:v>26.1</c:v>
                </c:pt>
                <c:pt idx="168">
                  <c:v>25.9</c:v>
                </c:pt>
                <c:pt idx="169">
                  <c:v>25.5</c:v>
                </c:pt>
                <c:pt idx="170">
                  <c:v>24.9</c:v>
                </c:pt>
                <c:pt idx="171">
                  <c:v>24.8</c:v>
                </c:pt>
                <c:pt idx="172">
                  <c:v>24.5</c:v>
                </c:pt>
                <c:pt idx="173">
                  <c:v>24.4</c:v>
                </c:pt>
                <c:pt idx="174">
                  <c:v>24.9</c:v>
                </c:pt>
                <c:pt idx="175">
                  <c:v>24.5</c:v>
                </c:pt>
                <c:pt idx="176">
                  <c:v>24.9</c:v>
                </c:pt>
                <c:pt idx="177">
                  <c:v>25</c:v>
                </c:pt>
                <c:pt idx="178">
                  <c:v>25.4</c:v>
                </c:pt>
                <c:pt idx="179">
                  <c:v>25.8</c:v>
                </c:pt>
                <c:pt idx="180">
                  <c:v>25.6</c:v>
                </c:pt>
                <c:pt idx="181">
                  <c:v>25.4</c:v>
                </c:pt>
                <c:pt idx="182">
                  <c:v>25</c:v>
                </c:pt>
                <c:pt idx="183">
                  <c:v>24.9</c:v>
                </c:pt>
                <c:pt idx="184">
                  <c:v>24.9</c:v>
                </c:pt>
                <c:pt idx="185">
                  <c:v>24.5</c:v>
                </c:pt>
                <c:pt idx="186">
                  <c:v>23.8</c:v>
                </c:pt>
                <c:pt idx="187">
                  <c:v>21.4666</c:v>
                </c:pt>
                <c:pt idx="188">
                  <c:v>20.9</c:v>
                </c:pt>
                <c:pt idx="189">
                  <c:v>20.242000000000001</c:v>
                </c:pt>
                <c:pt idx="190">
                  <c:v>20.149100000000001</c:v>
                </c:pt>
                <c:pt idx="191">
                  <c:v>20.399999999999999</c:v>
                </c:pt>
                <c:pt idx="192">
                  <c:v>20.399999999999999</c:v>
                </c:pt>
                <c:pt idx="193">
                  <c:v>20.247699999999998</c:v>
                </c:pt>
                <c:pt idx="194">
                  <c:v>20.5</c:v>
                </c:pt>
                <c:pt idx="195">
                  <c:v>20.747900000000001</c:v>
                </c:pt>
                <c:pt idx="196">
                  <c:v>20.7378</c:v>
                </c:pt>
                <c:pt idx="197">
                  <c:v>20.648099999999999</c:v>
                </c:pt>
                <c:pt idx="198">
                  <c:v>21.2</c:v>
                </c:pt>
                <c:pt idx="199">
                  <c:v>20.9</c:v>
                </c:pt>
                <c:pt idx="200">
                  <c:v>20.6</c:v>
                </c:pt>
                <c:pt idx="201">
                  <c:v>20.399999999999999</c:v>
                </c:pt>
                <c:pt idx="202">
                  <c:v>20.100000000000001</c:v>
                </c:pt>
                <c:pt idx="203">
                  <c:v>20.100000000000001</c:v>
                </c:pt>
                <c:pt idx="204">
                  <c:v>20.3</c:v>
                </c:pt>
                <c:pt idx="205">
                  <c:v>20.2</c:v>
                </c:pt>
                <c:pt idx="206">
                  <c:v>20.100000000000001</c:v>
                </c:pt>
                <c:pt idx="207">
                  <c:v>19.899999999999999</c:v>
                </c:pt>
                <c:pt idx="208">
                  <c:v>19.600000000000001</c:v>
                </c:pt>
                <c:pt idx="209">
                  <c:v>17.899999999999999</c:v>
                </c:pt>
                <c:pt idx="210">
                  <c:v>17.600000000000001</c:v>
                </c:pt>
                <c:pt idx="211">
                  <c:v>17.3</c:v>
                </c:pt>
                <c:pt idx="212">
                  <c:v>17.2</c:v>
                </c:pt>
                <c:pt idx="213">
                  <c:v>17.3</c:v>
                </c:pt>
                <c:pt idx="214">
                  <c:v>17</c:v>
                </c:pt>
                <c:pt idx="215">
                  <c:v>16.5</c:v>
                </c:pt>
                <c:pt idx="216">
                  <c:v>16.100000000000001</c:v>
                </c:pt>
                <c:pt idx="217">
                  <c:v>15.9</c:v>
                </c:pt>
                <c:pt idx="218">
                  <c:v>15.8</c:v>
                </c:pt>
                <c:pt idx="219">
                  <c:v>15.7</c:v>
                </c:pt>
                <c:pt idx="220">
                  <c:v>13.9</c:v>
                </c:pt>
                <c:pt idx="221">
                  <c:v>13.5</c:v>
                </c:pt>
                <c:pt idx="222">
                  <c:v>12</c:v>
                </c:pt>
                <c:pt idx="223">
                  <c:v>11.4</c:v>
                </c:pt>
                <c:pt idx="224">
                  <c:v>11.4</c:v>
                </c:pt>
                <c:pt idx="225">
                  <c:v>11.2</c:v>
                </c:pt>
                <c:pt idx="226">
                  <c:v>10.9</c:v>
                </c:pt>
                <c:pt idx="227">
                  <c:v>10.3</c:v>
                </c:pt>
                <c:pt idx="228">
                  <c:v>10.199999999999999</c:v>
                </c:pt>
                <c:pt idx="229">
                  <c:v>10.199999999999999</c:v>
                </c:pt>
                <c:pt idx="230">
                  <c:v>10</c:v>
                </c:pt>
                <c:pt idx="231">
                  <c:v>10.199999999999999</c:v>
                </c:pt>
                <c:pt idx="232">
                  <c:v>10.7</c:v>
                </c:pt>
                <c:pt idx="233">
                  <c:v>10.5</c:v>
                </c:pt>
                <c:pt idx="234">
                  <c:v>9.6</c:v>
                </c:pt>
                <c:pt idx="235">
                  <c:v>9</c:v>
                </c:pt>
                <c:pt idx="236">
                  <c:v>8.1</c:v>
                </c:pt>
                <c:pt idx="237">
                  <c:v>8.1</c:v>
                </c:pt>
                <c:pt idx="238">
                  <c:v>8.1999999999999993</c:v>
                </c:pt>
                <c:pt idx="239">
                  <c:v>8.3000000000000007</c:v>
                </c:pt>
                <c:pt idx="240">
                  <c:v>8.3000000000000007</c:v>
                </c:pt>
                <c:pt idx="241">
                  <c:v>8.1</c:v>
                </c:pt>
                <c:pt idx="242">
                  <c:v>8.9</c:v>
                </c:pt>
                <c:pt idx="243">
                  <c:v>9.1999999999999993</c:v>
                </c:pt>
                <c:pt idx="244">
                  <c:v>8.9</c:v>
                </c:pt>
                <c:pt idx="245">
                  <c:v>8.6</c:v>
                </c:pt>
                <c:pt idx="246">
                  <c:v>8.6</c:v>
                </c:pt>
                <c:pt idx="247">
                  <c:v>8.3000000000000007</c:v>
                </c:pt>
                <c:pt idx="248">
                  <c:v>7.8</c:v>
                </c:pt>
                <c:pt idx="249">
                  <c:v>7.5</c:v>
                </c:pt>
                <c:pt idx="250">
                  <c:v>7.3</c:v>
                </c:pt>
                <c:pt idx="251">
                  <c:v>7.2</c:v>
                </c:pt>
                <c:pt idx="252">
                  <c:v>7.2</c:v>
                </c:pt>
                <c:pt idx="253">
                  <c:v>7.9</c:v>
                </c:pt>
                <c:pt idx="254">
                  <c:v>7.5</c:v>
                </c:pt>
                <c:pt idx="255">
                  <c:v>7</c:v>
                </c:pt>
                <c:pt idx="256">
                  <c:v>6.1</c:v>
                </c:pt>
                <c:pt idx="257">
                  <c:v>6</c:v>
                </c:pt>
                <c:pt idx="258">
                  <c:v>5.5</c:v>
                </c:pt>
                <c:pt idx="259">
                  <c:v>5.3</c:v>
                </c:pt>
                <c:pt idx="260">
                  <c:v>5.4</c:v>
                </c:pt>
                <c:pt idx="261">
                  <c:v>5.7</c:v>
                </c:pt>
                <c:pt idx="262">
                  <c:v>5.9</c:v>
                </c:pt>
                <c:pt idx="263">
                  <c:v>5.9</c:v>
                </c:pt>
                <c:pt idx="264">
                  <c:v>6.1</c:v>
                </c:pt>
                <c:pt idx="265">
                  <c:v>6.3</c:v>
                </c:pt>
                <c:pt idx="266">
                  <c:v>6.1</c:v>
                </c:pt>
                <c:pt idx="267">
                  <c:v>5.6</c:v>
                </c:pt>
                <c:pt idx="268">
                  <c:v>5.8</c:v>
                </c:pt>
                <c:pt idx="269">
                  <c:v>5.7</c:v>
                </c:pt>
                <c:pt idx="270">
                  <c:v>5.5</c:v>
                </c:pt>
                <c:pt idx="271">
                  <c:v>5.4</c:v>
                </c:pt>
                <c:pt idx="272">
                  <c:v>5.2</c:v>
                </c:pt>
                <c:pt idx="273">
                  <c:v>5.2</c:v>
                </c:pt>
                <c:pt idx="274">
                  <c:v>5.4</c:v>
                </c:pt>
                <c:pt idx="275">
                  <c:v>-24.5</c:v>
                </c:pt>
                <c:pt idx="276">
                  <c:v>-16.100000000000001</c:v>
                </c:pt>
                <c:pt idx="277">
                  <c:v>-10.3</c:v>
                </c:pt>
                <c:pt idx="278">
                  <c:v>-6.3</c:v>
                </c:pt>
                <c:pt idx="279">
                  <c:v>-3.1</c:v>
                </c:pt>
                <c:pt idx="280">
                  <c:v>-1.6</c:v>
                </c:pt>
                <c:pt idx="281">
                  <c:v>-0.3</c:v>
                </c:pt>
                <c:pt idx="282">
                  <c:v>0.8</c:v>
                </c:pt>
                <c:pt idx="283">
                  <c:v>1.8</c:v>
                </c:pt>
                <c:pt idx="284">
                  <c:v>2.6</c:v>
                </c:pt>
                <c:pt idx="285">
                  <c:v>2.9</c:v>
                </c:pt>
                <c:pt idx="286">
                  <c:v>35</c:v>
                </c:pt>
                <c:pt idx="287">
                  <c:v>25.6</c:v>
                </c:pt>
                <c:pt idx="288">
                  <c:v>19.899999999999999</c:v>
                </c:pt>
                <c:pt idx="289">
                  <c:v>15.4</c:v>
                </c:pt>
                <c:pt idx="290">
                  <c:v>12.6</c:v>
                </c:pt>
                <c:pt idx="291">
                  <c:v>10.3</c:v>
                </c:pt>
                <c:pt idx="292">
                  <c:v>8.9</c:v>
                </c:pt>
                <c:pt idx="293">
                  <c:v>7.3</c:v>
                </c:pt>
                <c:pt idx="294">
                  <c:v>6.1</c:v>
                </c:pt>
                <c:pt idx="295">
                  <c:v>5.2</c:v>
                </c:pt>
                <c:pt idx="296">
                  <c:v>4.9000000000000004</c:v>
                </c:pt>
                <c:pt idx="297">
                  <c:v>12.2</c:v>
                </c:pt>
                <c:pt idx="298">
                  <c:v>9.3000000000000007</c:v>
                </c:pt>
                <c:pt idx="299">
                  <c:v>6.8</c:v>
                </c:pt>
                <c:pt idx="300">
                  <c:v>6.2</c:v>
                </c:pt>
                <c:pt idx="301">
                  <c:v>6.1</c:v>
                </c:pt>
                <c:pt idx="302">
                  <c:v>5.7</c:v>
                </c:pt>
                <c:pt idx="303">
                  <c:v>5.8</c:v>
                </c:pt>
                <c:pt idx="304">
                  <c:v>5.9</c:v>
                </c:pt>
                <c:pt idx="305">
                  <c:v>5.8</c:v>
                </c:pt>
                <c:pt idx="306">
                  <c:v>5.3</c:v>
                </c:pt>
                <c:pt idx="307">
                  <c:v>5.0999999999999996</c:v>
                </c:pt>
                <c:pt idx="308">
                  <c:v>5.5</c:v>
                </c:pt>
                <c:pt idx="309">
                  <c:v>5.0999999999999996</c:v>
                </c:pt>
                <c:pt idx="310">
                  <c:v>4.7</c:v>
                </c:pt>
                <c:pt idx="311">
                  <c:v>4</c:v>
                </c:pt>
                <c:pt idx="312">
                  <c:v>3.8</c:v>
                </c:pt>
                <c:pt idx="313">
                  <c:v>3.4</c:v>
                </c:pt>
                <c:pt idx="314">
                  <c:v>3.2</c:v>
                </c:pt>
                <c:pt idx="315">
                  <c:v>3.1</c:v>
                </c:pt>
                <c:pt idx="316">
                  <c:v>2.9</c:v>
                </c:pt>
                <c:pt idx="317">
                  <c:v>2.9</c:v>
                </c:pt>
                <c:pt idx="318">
                  <c:v>3</c:v>
                </c:pt>
                <c:pt idx="319">
                  <c:v>4.2</c:v>
                </c:pt>
                <c:pt idx="320">
                  <c:v>4.5</c:v>
                </c:pt>
                <c:pt idx="321">
                  <c:v>4.2</c:v>
                </c:pt>
                <c:pt idx="322">
                  <c:v>4</c:v>
                </c:pt>
              </c:numCache>
            </c:numRef>
          </c:val>
          <c:smooth val="0"/>
          <c:extLst>
            <c:ext xmlns:c16="http://schemas.microsoft.com/office/drawing/2014/chart" uri="{C3380CC4-5D6E-409C-BE32-E72D297353CC}">
              <c16:uniqueId val="{00000000-DBFB-4A96-ADA0-22587C394B8B}"/>
            </c:ext>
          </c:extLst>
        </c:ser>
        <c:ser>
          <c:idx val="1"/>
          <c:order val="1"/>
          <c:tx>
            <c:v>绝对值同比</c:v>
          </c:tx>
          <c:spPr>
            <a:ln w="28575" cap="rnd">
              <a:solidFill>
                <a:schemeClr val="accent2"/>
              </a:solidFill>
              <a:round/>
            </a:ln>
            <a:effectLst/>
          </c:spPr>
          <c:marker>
            <c:symbol val="none"/>
          </c:marker>
          <c:cat>
            <c:numRef>
              <c:f>同比!$A$21:$A$343</c:f>
              <c:numCache>
                <c:formatCode>yyyy\-mm\-dd</c:formatCode>
                <c:ptCount val="323"/>
                <c:pt idx="0">
                  <c:v>34758</c:v>
                </c:pt>
                <c:pt idx="1">
                  <c:v>34789</c:v>
                </c:pt>
                <c:pt idx="2">
                  <c:v>34819</c:v>
                </c:pt>
                <c:pt idx="3">
                  <c:v>34850</c:v>
                </c:pt>
                <c:pt idx="4">
                  <c:v>34880</c:v>
                </c:pt>
                <c:pt idx="5">
                  <c:v>34911</c:v>
                </c:pt>
                <c:pt idx="6">
                  <c:v>34942</c:v>
                </c:pt>
                <c:pt idx="7">
                  <c:v>34972</c:v>
                </c:pt>
                <c:pt idx="8">
                  <c:v>35003</c:v>
                </c:pt>
                <c:pt idx="9">
                  <c:v>35033</c:v>
                </c:pt>
                <c:pt idx="10">
                  <c:v>35064</c:v>
                </c:pt>
                <c:pt idx="11">
                  <c:v>35124</c:v>
                </c:pt>
                <c:pt idx="12">
                  <c:v>35155</c:v>
                </c:pt>
                <c:pt idx="13">
                  <c:v>35185</c:v>
                </c:pt>
                <c:pt idx="14">
                  <c:v>35216</c:v>
                </c:pt>
                <c:pt idx="15">
                  <c:v>35246</c:v>
                </c:pt>
                <c:pt idx="16">
                  <c:v>35277</c:v>
                </c:pt>
                <c:pt idx="17">
                  <c:v>35308</c:v>
                </c:pt>
                <c:pt idx="18">
                  <c:v>35338</c:v>
                </c:pt>
                <c:pt idx="19">
                  <c:v>35369</c:v>
                </c:pt>
                <c:pt idx="20">
                  <c:v>35399</c:v>
                </c:pt>
                <c:pt idx="21">
                  <c:v>35430</c:v>
                </c:pt>
                <c:pt idx="22">
                  <c:v>35489</c:v>
                </c:pt>
                <c:pt idx="23">
                  <c:v>35520</c:v>
                </c:pt>
                <c:pt idx="24">
                  <c:v>35550</c:v>
                </c:pt>
                <c:pt idx="25">
                  <c:v>35581</c:v>
                </c:pt>
                <c:pt idx="26">
                  <c:v>35611</c:v>
                </c:pt>
                <c:pt idx="27">
                  <c:v>35642</c:v>
                </c:pt>
                <c:pt idx="28">
                  <c:v>35673</c:v>
                </c:pt>
                <c:pt idx="29">
                  <c:v>35703</c:v>
                </c:pt>
                <c:pt idx="30">
                  <c:v>35734</c:v>
                </c:pt>
                <c:pt idx="31">
                  <c:v>35764</c:v>
                </c:pt>
                <c:pt idx="32">
                  <c:v>35795</c:v>
                </c:pt>
                <c:pt idx="33">
                  <c:v>35854</c:v>
                </c:pt>
                <c:pt idx="34">
                  <c:v>35885</c:v>
                </c:pt>
                <c:pt idx="35">
                  <c:v>35915</c:v>
                </c:pt>
                <c:pt idx="36">
                  <c:v>35946</c:v>
                </c:pt>
                <c:pt idx="37">
                  <c:v>35976</c:v>
                </c:pt>
                <c:pt idx="38">
                  <c:v>36007</c:v>
                </c:pt>
                <c:pt idx="39">
                  <c:v>36038</c:v>
                </c:pt>
                <c:pt idx="40">
                  <c:v>36068</c:v>
                </c:pt>
                <c:pt idx="41">
                  <c:v>36099</c:v>
                </c:pt>
                <c:pt idx="42">
                  <c:v>36129</c:v>
                </c:pt>
                <c:pt idx="43">
                  <c:v>36160</c:v>
                </c:pt>
                <c:pt idx="44">
                  <c:v>36219</c:v>
                </c:pt>
                <c:pt idx="45">
                  <c:v>36250</c:v>
                </c:pt>
                <c:pt idx="46">
                  <c:v>36280</c:v>
                </c:pt>
                <c:pt idx="47">
                  <c:v>36311</c:v>
                </c:pt>
                <c:pt idx="48">
                  <c:v>36341</c:v>
                </c:pt>
                <c:pt idx="49">
                  <c:v>36372</c:v>
                </c:pt>
                <c:pt idx="50">
                  <c:v>36403</c:v>
                </c:pt>
                <c:pt idx="51">
                  <c:v>36433</c:v>
                </c:pt>
                <c:pt idx="52">
                  <c:v>36464</c:v>
                </c:pt>
                <c:pt idx="53">
                  <c:v>36494</c:v>
                </c:pt>
                <c:pt idx="54">
                  <c:v>36525</c:v>
                </c:pt>
                <c:pt idx="55">
                  <c:v>36585</c:v>
                </c:pt>
                <c:pt idx="56">
                  <c:v>36616</c:v>
                </c:pt>
                <c:pt idx="57">
                  <c:v>36646</c:v>
                </c:pt>
                <c:pt idx="58">
                  <c:v>36677</c:v>
                </c:pt>
                <c:pt idx="59">
                  <c:v>36707</c:v>
                </c:pt>
                <c:pt idx="60">
                  <c:v>36738</c:v>
                </c:pt>
                <c:pt idx="61">
                  <c:v>36769</c:v>
                </c:pt>
                <c:pt idx="62">
                  <c:v>36799</c:v>
                </c:pt>
                <c:pt idx="63">
                  <c:v>36830</c:v>
                </c:pt>
                <c:pt idx="64">
                  <c:v>36860</c:v>
                </c:pt>
                <c:pt idx="65">
                  <c:v>36891</c:v>
                </c:pt>
                <c:pt idx="66">
                  <c:v>36950</c:v>
                </c:pt>
                <c:pt idx="67">
                  <c:v>36981</c:v>
                </c:pt>
                <c:pt idx="68">
                  <c:v>37011</c:v>
                </c:pt>
                <c:pt idx="69">
                  <c:v>37042</c:v>
                </c:pt>
                <c:pt idx="70">
                  <c:v>37072</c:v>
                </c:pt>
                <c:pt idx="71">
                  <c:v>37103</c:v>
                </c:pt>
                <c:pt idx="72">
                  <c:v>37134</c:v>
                </c:pt>
                <c:pt idx="73">
                  <c:v>37164</c:v>
                </c:pt>
                <c:pt idx="74">
                  <c:v>37195</c:v>
                </c:pt>
                <c:pt idx="75">
                  <c:v>37225</c:v>
                </c:pt>
                <c:pt idx="76">
                  <c:v>37256</c:v>
                </c:pt>
                <c:pt idx="77">
                  <c:v>37315</c:v>
                </c:pt>
                <c:pt idx="78">
                  <c:v>37346</c:v>
                </c:pt>
                <c:pt idx="79">
                  <c:v>37376</c:v>
                </c:pt>
                <c:pt idx="80">
                  <c:v>37407</c:v>
                </c:pt>
                <c:pt idx="81">
                  <c:v>37437</c:v>
                </c:pt>
                <c:pt idx="82">
                  <c:v>37468</c:v>
                </c:pt>
                <c:pt idx="83">
                  <c:v>37499</c:v>
                </c:pt>
                <c:pt idx="84">
                  <c:v>37529</c:v>
                </c:pt>
                <c:pt idx="85">
                  <c:v>37560</c:v>
                </c:pt>
                <c:pt idx="86">
                  <c:v>37590</c:v>
                </c:pt>
                <c:pt idx="87">
                  <c:v>37621</c:v>
                </c:pt>
                <c:pt idx="88">
                  <c:v>37680</c:v>
                </c:pt>
                <c:pt idx="89">
                  <c:v>37711</c:v>
                </c:pt>
                <c:pt idx="90">
                  <c:v>37741</c:v>
                </c:pt>
                <c:pt idx="91">
                  <c:v>37772</c:v>
                </c:pt>
                <c:pt idx="92">
                  <c:v>37802</c:v>
                </c:pt>
                <c:pt idx="93">
                  <c:v>37833</c:v>
                </c:pt>
                <c:pt idx="94">
                  <c:v>37864</c:v>
                </c:pt>
                <c:pt idx="95">
                  <c:v>37894</c:v>
                </c:pt>
                <c:pt idx="96">
                  <c:v>37925</c:v>
                </c:pt>
                <c:pt idx="97">
                  <c:v>37955</c:v>
                </c:pt>
                <c:pt idx="98">
                  <c:v>37986</c:v>
                </c:pt>
                <c:pt idx="99">
                  <c:v>38046</c:v>
                </c:pt>
                <c:pt idx="100">
                  <c:v>38077</c:v>
                </c:pt>
                <c:pt idx="101">
                  <c:v>38107</c:v>
                </c:pt>
                <c:pt idx="102">
                  <c:v>38138</c:v>
                </c:pt>
                <c:pt idx="103">
                  <c:v>38168</c:v>
                </c:pt>
                <c:pt idx="104">
                  <c:v>38199</c:v>
                </c:pt>
                <c:pt idx="105">
                  <c:v>38230</c:v>
                </c:pt>
                <c:pt idx="106">
                  <c:v>38260</c:v>
                </c:pt>
                <c:pt idx="107">
                  <c:v>38291</c:v>
                </c:pt>
                <c:pt idx="108">
                  <c:v>38321</c:v>
                </c:pt>
                <c:pt idx="109">
                  <c:v>38352</c:v>
                </c:pt>
                <c:pt idx="110">
                  <c:v>38411</c:v>
                </c:pt>
                <c:pt idx="111">
                  <c:v>38442</c:v>
                </c:pt>
                <c:pt idx="112">
                  <c:v>38472</c:v>
                </c:pt>
                <c:pt idx="113">
                  <c:v>38503</c:v>
                </c:pt>
                <c:pt idx="114">
                  <c:v>38533</c:v>
                </c:pt>
                <c:pt idx="115">
                  <c:v>38564</c:v>
                </c:pt>
                <c:pt idx="116">
                  <c:v>38595</c:v>
                </c:pt>
                <c:pt idx="117">
                  <c:v>38625</c:v>
                </c:pt>
                <c:pt idx="118">
                  <c:v>38656</c:v>
                </c:pt>
                <c:pt idx="119">
                  <c:v>38686</c:v>
                </c:pt>
                <c:pt idx="120">
                  <c:v>38717</c:v>
                </c:pt>
                <c:pt idx="121">
                  <c:v>38776</c:v>
                </c:pt>
                <c:pt idx="122">
                  <c:v>38807</c:v>
                </c:pt>
                <c:pt idx="123">
                  <c:v>38837</c:v>
                </c:pt>
                <c:pt idx="124">
                  <c:v>38868</c:v>
                </c:pt>
                <c:pt idx="125">
                  <c:v>38898</c:v>
                </c:pt>
                <c:pt idx="126">
                  <c:v>38929</c:v>
                </c:pt>
                <c:pt idx="127">
                  <c:v>38960</c:v>
                </c:pt>
                <c:pt idx="128">
                  <c:v>38990</c:v>
                </c:pt>
                <c:pt idx="129">
                  <c:v>39021</c:v>
                </c:pt>
                <c:pt idx="130">
                  <c:v>39051</c:v>
                </c:pt>
                <c:pt idx="131">
                  <c:v>39082</c:v>
                </c:pt>
                <c:pt idx="132">
                  <c:v>39141</c:v>
                </c:pt>
                <c:pt idx="133">
                  <c:v>39172</c:v>
                </c:pt>
                <c:pt idx="134">
                  <c:v>39202</c:v>
                </c:pt>
                <c:pt idx="135">
                  <c:v>39233</c:v>
                </c:pt>
                <c:pt idx="136">
                  <c:v>39263</c:v>
                </c:pt>
                <c:pt idx="137">
                  <c:v>39294</c:v>
                </c:pt>
                <c:pt idx="138">
                  <c:v>39325</c:v>
                </c:pt>
                <c:pt idx="139">
                  <c:v>39355</c:v>
                </c:pt>
                <c:pt idx="140">
                  <c:v>39386</c:v>
                </c:pt>
                <c:pt idx="141">
                  <c:v>39416</c:v>
                </c:pt>
                <c:pt idx="142">
                  <c:v>39447</c:v>
                </c:pt>
                <c:pt idx="143">
                  <c:v>39507</c:v>
                </c:pt>
                <c:pt idx="144">
                  <c:v>39538</c:v>
                </c:pt>
                <c:pt idx="145">
                  <c:v>39568</c:v>
                </c:pt>
                <c:pt idx="146">
                  <c:v>39599</c:v>
                </c:pt>
                <c:pt idx="147">
                  <c:v>39629</c:v>
                </c:pt>
                <c:pt idx="148">
                  <c:v>39660</c:v>
                </c:pt>
                <c:pt idx="149">
                  <c:v>39691</c:v>
                </c:pt>
                <c:pt idx="150">
                  <c:v>39721</c:v>
                </c:pt>
                <c:pt idx="151">
                  <c:v>39752</c:v>
                </c:pt>
                <c:pt idx="152">
                  <c:v>39782</c:v>
                </c:pt>
                <c:pt idx="153">
                  <c:v>39813</c:v>
                </c:pt>
                <c:pt idx="154">
                  <c:v>39872</c:v>
                </c:pt>
                <c:pt idx="155">
                  <c:v>39903</c:v>
                </c:pt>
                <c:pt idx="156">
                  <c:v>39933</c:v>
                </c:pt>
                <c:pt idx="157">
                  <c:v>39964</c:v>
                </c:pt>
                <c:pt idx="158">
                  <c:v>39994</c:v>
                </c:pt>
                <c:pt idx="159">
                  <c:v>40025</c:v>
                </c:pt>
                <c:pt idx="160">
                  <c:v>40056</c:v>
                </c:pt>
                <c:pt idx="161">
                  <c:v>40086</c:v>
                </c:pt>
                <c:pt idx="162">
                  <c:v>40117</c:v>
                </c:pt>
                <c:pt idx="163">
                  <c:v>40147</c:v>
                </c:pt>
                <c:pt idx="164">
                  <c:v>40178</c:v>
                </c:pt>
                <c:pt idx="165">
                  <c:v>40237</c:v>
                </c:pt>
                <c:pt idx="166">
                  <c:v>40268</c:v>
                </c:pt>
                <c:pt idx="167">
                  <c:v>40298</c:v>
                </c:pt>
                <c:pt idx="168">
                  <c:v>40329</c:v>
                </c:pt>
                <c:pt idx="169">
                  <c:v>40359</c:v>
                </c:pt>
                <c:pt idx="170">
                  <c:v>40390</c:v>
                </c:pt>
                <c:pt idx="171">
                  <c:v>40421</c:v>
                </c:pt>
                <c:pt idx="172">
                  <c:v>40451</c:v>
                </c:pt>
                <c:pt idx="173">
                  <c:v>40482</c:v>
                </c:pt>
                <c:pt idx="174">
                  <c:v>40512</c:v>
                </c:pt>
                <c:pt idx="175">
                  <c:v>40543</c:v>
                </c:pt>
                <c:pt idx="176">
                  <c:v>40602</c:v>
                </c:pt>
                <c:pt idx="177">
                  <c:v>40633</c:v>
                </c:pt>
                <c:pt idx="178">
                  <c:v>40663</c:v>
                </c:pt>
                <c:pt idx="179">
                  <c:v>40694</c:v>
                </c:pt>
                <c:pt idx="180">
                  <c:v>40724</c:v>
                </c:pt>
                <c:pt idx="181">
                  <c:v>40755</c:v>
                </c:pt>
                <c:pt idx="182">
                  <c:v>40786</c:v>
                </c:pt>
                <c:pt idx="183">
                  <c:v>40816</c:v>
                </c:pt>
                <c:pt idx="184">
                  <c:v>40847</c:v>
                </c:pt>
                <c:pt idx="185">
                  <c:v>40877</c:v>
                </c:pt>
                <c:pt idx="186">
                  <c:v>40908</c:v>
                </c:pt>
                <c:pt idx="187">
                  <c:v>40968</c:v>
                </c:pt>
                <c:pt idx="188">
                  <c:v>40999</c:v>
                </c:pt>
                <c:pt idx="189">
                  <c:v>41029</c:v>
                </c:pt>
                <c:pt idx="190">
                  <c:v>41060</c:v>
                </c:pt>
                <c:pt idx="191">
                  <c:v>41090</c:v>
                </c:pt>
                <c:pt idx="192">
                  <c:v>41121</c:v>
                </c:pt>
                <c:pt idx="193">
                  <c:v>41152</c:v>
                </c:pt>
                <c:pt idx="194">
                  <c:v>41182</c:v>
                </c:pt>
                <c:pt idx="195">
                  <c:v>41213</c:v>
                </c:pt>
                <c:pt idx="196">
                  <c:v>41243</c:v>
                </c:pt>
                <c:pt idx="197">
                  <c:v>41274</c:v>
                </c:pt>
                <c:pt idx="198">
                  <c:v>41333</c:v>
                </c:pt>
                <c:pt idx="199">
                  <c:v>41364</c:v>
                </c:pt>
                <c:pt idx="200">
                  <c:v>41394</c:v>
                </c:pt>
                <c:pt idx="201">
                  <c:v>41425</c:v>
                </c:pt>
                <c:pt idx="202">
                  <c:v>41455</c:v>
                </c:pt>
                <c:pt idx="203">
                  <c:v>41486</c:v>
                </c:pt>
                <c:pt idx="204">
                  <c:v>41517</c:v>
                </c:pt>
                <c:pt idx="205">
                  <c:v>41547</c:v>
                </c:pt>
                <c:pt idx="206">
                  <c:v>41578</c:v>
                </c:pt>
                <c:pt idx="207">
                  <c:v>41608</c:v>
                </c:pt>
                <c:pt idx="208">
                  <c:v>41639</c:v>
                </c:pt>
                <c:pt idx="209">
                  <c:v>41698</c:v>
                </c:pt>
                <c:pt idx="210">
                  <c:v>41729</c:v>
                </c:pt>
                <c:pt idx="211">
                  <c:v>41759</c:v>
                </c:pt>
                <c:pt idx="212">
                  <c:v>41790</c:v>
                </c:pt>
                <c:pt idx="213">
                  <c:v>41820</c:v>
                </c:pt>
                <c:pt idx="214">
                  <c:v>41851</c:v>
                </c:pt>
                <c:pt idx="215">
                  <c:v>41882</c:v>
                </c:pt>
                <c:pt idx="216">
                  <c:v>41912</c:v>
                </c:pt>
                <c:pt idx="217">
                  <c:v>41943</c:v>
                </c:pt>
                <c:pt idx="218">
                  <c:v>41973</c:v>
                </c:pt>
                <c:pt idx="219">
                  <c:v>42004</c:v>
                </c:pt>
                <c:pt idx="220">
                  <c:v>42063</c:v>
                </c:pt>
                <c:pt idx="221">
                  <c:v>42094</c:v>
                </c:pt>
                <c:pt idx="222">
                  <c:v>42124</c:v>
                </c:pt>
                <c:pt idx="223">
                  <c:v>42155</c:v>
                </c:pt>
                <c:pt idx="224">
                  <c:v>42185</c:v>
                </c:pt>
                <c:pt idx="225">
                  <c:v>42216</c:v>
                </c:pt>
                <c:pt idx="226">
                  <c:v>42247</c:v>
                </c:pt>
                <c:pt idx="227">
                  <c:v>42277</c:v>
                </c:pt>
                <c:pt idx="228">
                  <c:v>42308</c:v>
                </c:pt>
                <c:pt idx="229">
                  <c:v>42338</c:v>
                </c:pt>
                <c:pt idx="230">
                  <c:v>42369</c:v>
                </c:pt>
                <c:pt idx="231">
                  <c:v>42429</c:v>
                </c:pt>
                <c:pt idx="232">
                  <c:v>42460</c:v>
                </c:pt>
                <c:pt idx="233">
                  <c:v>42490</c:v>
                </c:pt>
                <c:pt idx="234">
                  <c:v>42521</c:v>
                </c:pt>
                <c:pt idx="235">
                  <c:v>42551</c:v>
                </c:pt>
                <c:pt idx="236">
                  <c:v>42582</c:v>
                </c:pt>
                <c:pt idx="237">
                  <c:v>42613</c:v>
                </c:pt>
                <c:pt idx="238">
                  <c:v>42643</c:v>
                </c:pt>
                <c:pt idx="239">
                  <c:v>42674</c:v>
                </c:pt>
                <c:pt idx="240">
                  <c:v>42704</c:v>
                </c:pt>
                <c:pt idx="241">
                  <c:v>42735</c:v>
                </c:pt>
                <c:pt idx="242">
                  <c:v>42794</c:v>
                </c:pt>
                <c:pt idx="243">
                  <c:v>42825</c:v>
                </c:pt>
                <c:pt idx="244">
                  <c:v>42855</c:v>
                </c:pt>
                <c:pt idx="245">
                  <c:v>42886</c:v>
                </c:pt>
                <c:pt idx="246">
                  <c:v>42916</c:v>
                </c:pt>
                <c:pt idx="247">
                  <c:v>42947</c:v>
                </c:pt>
                <c:pt idx="248">
                  <c:v>42978</c:v>
                </c:pt>
                <c:pt idx="249">
                  <c:v>43008</c:v>
                </c:pt>
                <c:pt idx="250">
                  <c:v>43039</c:v>
                </c:pt>
                <c:pt idx="251">
                  <c:v>43069</c:v>
                </c:pt>
                <c:pt idx="252">
                  <c:v>43100</c:v>
                </c:pt>
                <c:pt idx="253">
                  <c:v>43159</c:v>
                </c:pt>
                <c:pt idx="254">
                  <c:v>43190</c:v>
                </c:pt>
                <c:pt idx="255">
                  <c:v>43220</c:v>
                </c:pt>
                <c:pt idx="256">
                  <c:v>43251</c:v>
                </c:pt>
                <c:pt idx="257">
                  <c:v>43281</c:v>
                </c:pt>
                <c:pt idx="258">
                  <c:v>43312</c:v>
                </c:pt>
                <c:pt idx="259">
                  <c:v>43343</c:v>
                </c:pt>
                <c:pt idx="260">
                  <c:v>43373</c:v>
                </c:pt>
                <c:pt idx="261">
                  <c:v>43404</c:v>
                </c:pt>
                <c:pt idx="262">
                  <c:v>43434</c:v>
                </c:pt>
                <c:pt idx="263">
                  <c:v>43465</c:v>
                </c:pt>
                <c:pt idx="264">
                  <c:v>43524</c:v>
                </c:pt>
                <c:pt idx="265">
                  <c:v>43555</c:v>
                </c:pt>
                <c:pt idx="266">
                  <c:v>43585</c:v>
                </c:pt>
                <c:pt idx="267">
                  <c:v>43616</c:v>
                </c:pt>
                <c:pt idx="268">
                  <c:v>43646</c:v>
                </c:pt>
                <c:pt idx="269">
                  <c:v>43677</c:v>
                </c:pt>
                <c:pt idx="270">
                  <c:v>43708</c:v>
                </c:pt>
                <c:pt idx="271">
                  <c:v>43738</c:v>
                </c:pt>
                <c:pt idx="272">
                  <c:v>43769</c:v>
                </c:pt>
                <c:pt idx="273">
                  <c:v>43799</c:v>
                </c:pt>
                <c:pt idx="274">
                  <c:v>43830</c:v>
                </c:pt>
                <c:pt idx="275">
                  <c:v>43890</c:v>
                </c:pt>
                <c:pt idx="276">
                  <c:v>43921</c:v>
                </c:pt>
                <c:pt idx="277">
                  <c:v>43951</c:v>
                </c:pt>
                <c:pt idx="278">
                  <c:v>43982</c:v>
                </c:pt>
                <c:pt idx="279">
                  <c:v>44012</c:v>
                </c:pt>
                <c:pt idx="280">
                  <c:v>44043</c:v>
                </c:pt>
                <c:pt idx="281">
                  <c:v>44074</c:v>
                </c:pt>
                <c:pt idx="282">
                  <c:v>44104</c:v>
                </c:pt>
                <c:pt idx="283">
                  <c:v>44135</c:v>
                </c:pt>
                <c:pt idx="284">
                  <c:v>44165</c:v>
                </c:pt>
                <c:pt idx="285">
                  <c:v>44196</c:v>
                </c:pt>
                <c:pt idx="286">
                  <c:v>44255</c:v>
                </c:pt>
                <c:pt idx="287">
                  <c:v>44286</c:v>
                </c:pt>
                <c:pt idx="288">
                  <c:v>44316</c:v>
                </c:pt>
                <c:pt idx="289">
                  <c:v>44347</c:v>
                </c:pt>
                <c:pt idx="290">
                  <c:v>44377</c:v>
                </c:pt>
                <c:pt idx="291">
                  <c:v>44408</c:v>
                </c:pt>
                <c:pt idx="292">
                  <c:v>44439</c:v>
                </c:pt>
                <c:pt idx="293">
                  <c:v>44469</c:v>
                </c:pt>
                <c:pt idx="294">
                  <c:v>44500</c:v>
                </c:pt>
                <c:pt idx="295">
                  <c:v>44530</c:v>
                </c:pt>
                <c:pt idx="296">
                  <c:v>44561</c:v>
                </c:pt>
                <c:pt idx="297">
                  <c:v>44620</c:v>
                </c:pt>
                <c:pt idx="298">
                  <c:v>44651</c:v>
                </c:pt>
                <c:pt idx="299">
                  <c:v>44681</c:v>
                </c:pt>
                <c:pt idx="300">
                  <c:v>44712</c:v>
                </c:pt>
                <c:pt idx="301">
                  <c:v>44742</c:v>
                </c:pt>
                <c:pt idx="302">
                  <c:v>44773</c:v>
                </c:pt>
                <c:pt idx="303">
                  <c:v>44804</c:v>
                </c:pt>
                <c:pt idx="304">
                  <c:v>44834</c:v>
                </c:pt>
                <c:pt idx="305">
                  <c:v>44865</c:v>
                </c:pt>
                <c:pt idx="306">
                  <c:v>44895</c:v>
                </c:pt>
                <c:pt idx="307">
                  <c:v>44926</c:v>
                </c:pt>
                <c:pt idx="308">
                  <c:v>44985</c:v>
                </c:pt>
                <c:pt idx="309">
                  <c:v>45016</c:v>
                </c:pt>
                <c:pt idx="310">
                  <c:v>45046</c:v>
                </c:pt>
                <c:pt idx="311">
                  <c:v>45077</c:v>
                </c:pt>
                <c:pt idx="312">
                  <c:v>45107</c:v>
                </c:pt>
                <c:pt idx="313">
                  <c:v>45138</c:v>
                </c:pt>
                <c:pt idx="314">
                  <c:v>45169</c:v>
                </c:pt>
                <c:pt idx="315">
                  <c:v>45199</c:v>
                </c:pt>
                <c:pt idx="316">
                  <c:v>45230</c:v>
                </c:pt>
                <c:pt idx="317">
                  <c:v>45260</c:v>
                </c:pt>
                <c:pt idx="318">
                  <c:v>45291</c:v>
                </c:pt>
                <c:pt idx="319">
                  <c:v>45351</c:v>
                </c:pt>
                <c:pt idx="320">
                  <c:v>45382</c:v>
                </c:pt>
                <c:pt idx="321">
                  <c:v>45412</c:v>
                </c:pt>
                <c:pt idx="322">
                  <c:v>45443</c:v>
                </c:pt>
              </c:numCache>
            </c:numRef>
          </c:cat>
          <c:val>
            <c:numRef>
              <c:f>同比!$D$21:$D$343</c:f>
              <c:numCache>
                <c:formatCode>General</c:formatCode>
                <c:ptCount val="323"/>
                <c:pt idx="0">
                  <c:v>59.089931153184175</c:v>
                </c:pt>
                <c:pt idx="1">
                  <c:v>65.337967756249043</c:v>
                </c:pt>
                <c:pt idx="2">
                  <c:v>56.126547359837616</c:v>
                </c:pt>
                <c:pt idx="3">
                  <c:v>51.709998204574291</c:v>
                </c:pt>
                <c:pt idx="4">
                  <c:v>43.832449288433018</c:v>
                </c:pt>
                <c:pt idx="5">
                  <c:v>35.298838812498758</c:v>
                </c:pt>
                <c:pt idx="6">
                  <c:v>38.383592892756077</c:v>
                </c:pt>
                <c:pt idx="7">
                  <c:v>39.05640276505504</c:v>
                </c:pt>
                <c:pt idx="8">
                  <c:v>39.461200216444524</c:v>
                </c:pt>
                <c:pt idx="9">
                  <c:v>38.512581802667967</c:v>
                </c:pt>
                <c:pt idx="10">
                  <c:v>63.664763275785255</c:v>
                </c:pt>
                <c:pt idx="11">
                  <c:v>7.0480311943561524</c:v>
                </c:pt>
                <c:pt idx="12">
                  <c:v>16.179272711007741</c:v>
                </c:pt>
                <c:pt idx="13">
                  <c:v>16.299769971885446</c:v>
                </c:pt>
                <c:pt idx="14">
                  <c:v>19.35566380600433</c:v>
                </c:pt>
                <c:pt idx="15">
                  <c:v>23.984855529724335</c:v>
                </c:pt>
                <c:pt idx="16">
                  <c:v>24.169885151468272</c:v>
                </c:pt>
                <c:pt idx="17">
                  <c:v>21.091344122388001</c:v>
                </c:pt>
                <c:pt idx="18">
                  <c:v>19.989175589067077</c:v>
                </c:pt>
                <c:pt idx="19">
                  <c:v>19.248131252440714</c:v>
                </c:pt>
                <c:pt idx="20">
                  <c:v>19.777793667119514</c:v>
                </c:pt>
                <c:pt idx="21">
                  <c:v>12.295684524760775</c:v>
                </c:pt>
                <c:pt idx="22">
                  <c:v>23.929338442750669</c:v>
                </c:pt>
                <c:pt idx="23">
                  <c:v>13.8183274172063</c:v>
                </c:pt>
                <c:pt idx="24">
                  <c:v>15.835061199919753</c:v>
                </c:pt>
                <c:pt idx="25">
                  <c:v>13.975595323769774</c:v>
                </c:pt>
                <c:pt idx="26">
                  <c:v>13.392107112855944</c:v>
                </c:pt>
                <c:pt idx="27">
                  <c:v>9.0594064473859426</c:v>
                </c:pt>
                <c:pt idx="28">
                  <c:v>9.7757986625176088</c:v>
                </c:pt>
                <c:pt idx="29">
                  <c:v>9.8206047560599465</c:v>
                </c:pt>
                <c:pt idx="30">
                  <c:v>11.748285473302023</c:v>
                </c:pt>
                <c:pt idx="31">
                  <c:v>12.050974507236024</c:v>
                </c:pt>
                <c:pt idx="32">
                  <c:v>9.2615783961018217</c:v>
                </c:pt>
                <c:pt idx="33">
                  <c:v>11.070524473742328</c:v>
                </c:pt>
                <c:pt idx="34">
                  <c:v>9.4704939215381145</c:v>
                </c:pt>
                <c:pt idx="35">
                  <c:v>11.910879777611893</c:v>
                </c:pt>
                <c:pt idx="36">
                  <c:v>12.412618321317614</c:v>
                </c:pt>
                <c:pt idx="37">
                  <c:v>10.137921389721471</c:v>
                </c:pt>
                <c:pt idx="38">
                  <c:v>15.173616814899994</c:v>
                </c:pt>
                <c:pt idx="39">
                  <c:v>16.985584595662285</c:v>
                </c:pt>
                <c:pt idx="40">
                  <c:v>19.622730015547994</c:v>
                </c:pt>
                <c:pt idx="41">
                  <c:v>20.757785630153116</c:v>
                </c:pt>
                <c:pt idx="42">
                  <c:v>23.230847914392228</c:v>
                </c:pt>
                <c:pt idx="43">
                  <c:v>9.9411280490981682</c:v>
                </c:pt>
                <c:pt idx="44">
                  <c:v>29.28336520076482</c:v>
                </c:pt>
                <c:pt idx="45">
                  <c:v>25.008033816186281</c:v>
                </c:pt>
                <c:pt idx="46">
                  <c:v>20.513529251339648</c:v>
                </c:pt>
                <c:pt idx="47">
                  <c:v>18.587263150011246</c:v>
                </c:pt>
                <c:pt idx="48">
                  <c:v>14.734568091889644</c:v>
                </c:pt>
                <c:pt idx="49">
                  <c:v>12.711496039033721</c:v>
                </c:pt>
                <c:pt idx="50">
                  <c:v>10.791248652589491</c:v>
                </c:pt>
                <c:pt idx="51">
                  <c:v>8.2896937574158169</c:v>
                </c:pt>
                <c:pt idx="52">
                  <c:v>7.2676510016838947</c:v>
                </c:pt>
                <c:pt idx="53">
                  <c:v>7.1380968533631295</c:v>
                </c:pt>
                <c:pt idx="54">
                  <c:v>12.461568206718511</c:v>
                </c:pt>
                <c:pt idx="55">
                  <c:v>12.976963759628003</c:v>
                </c:pt>
                <c:pt idx="56">
                  <c:v>10.506567531626487</c:v>
                </c:pt>
                <c:pt idx="57">
                  <c:v>10.434282673647321</c:v>
                </c:pt>
                <c:pt idx="58">
                  <c:v>10.154623440871525</c:v>
                </c:pt>
                <c:pt idx="59">
                  <c:v>12.727601744990324</c:v>
                </c:pt>
                <c:pt idx="60">
                  <c:v>13.074560959501746</c:v>
                </c:pt>
                <c:pt idx="61">
                  <c:v>12.984563213112455</c:v>
                </c:pt>
                <c:pt idx="62">
                  <c:v>14.504295670667799</c:v>
                </c:pt>
                <c:pt idx="63">
                  <c:v>14.114775802368552</c:v>
                </c:pt>
                <c:pt idx="64">
                  <c:v>12.929281265830328</c:v>
                </c:pt>
                <c:pt idx="65">
                  <c:v>2.152452384965442</c:v>
                </c:pt>
                <c:pt idx="66">
                  <c:v>18.417166734738764</c:v>
                </c:pt>
                <c:pt idx="67">
                  <c:v>14.531440125975227</c:v>
                </c:pt>
                <c:pt idx="68">
                  <c:v>17.294576026185272</c:v>
                </c:pt>
                <c:pt idx="69">
                  <c:v>18.471052742220916</c:v>
                </c:pt>
                <c:pt idx="70">
                  <c:v>18.446430632521469</c:v>
                </c:pt>
                <c:pt idx="71">
                  <c:v>18.423728380008765</c:v>
                </c:pt>
                <c:pt idx="72">
                  <c:v>18.906748562710128</c:v>
                </c:pt>
                <c:pt idx="73">
                  <c:v>18.18019847845067</c:v>
                </c:pt>
                <c:pt idx="74">
                  <c:v>17.445256079346592</c:v>
                </c:pt>
                <c:pt idx="75">
                  <c:v>16.341643482137624</c:v>
                </c:pt>
                <c:pt idx="76">
                  <c:v>14.782933668607857</c:v>
                </c:pt>
                <c:pt idx="77">
                  <c:v>24.520442545965881</c:v>
                </c:pt>
                <c:pt idx="78">
                  <c:v>27.478429335322762</c:v>
                </c:pt>
                <c:pt idx="79">
                  <c:v>27.874534023651186</c:v>
                </c:pt>
                <c:pt idx="80">
                  <c:v>26.269772903983444</c:v>
                </c:pt>
                <c:pt idx="81">
                  <c:v>24.366965612794765</c:v>
                </c:pt>
                <c:pt idx="82">
                  <c:v>24.14281895720778</c:v>
                </c:pt>
                <c:pt idx="83">
                  <c:v>24.21909921171823</c:v>
                </c:pt>
                <c:pt idx="84">
                  <c:v>24.301671415577442</c:v>
                </c:pt>
                <c:pt idx="85">
                  <c:v>24.128423087757731</c:v>
                </c:pt>
                <c:pt idx="86">
                  <c:v>23.411857650734369</c:v>
                </c:pt>
                <c:pt idx="87">
                  <c:v>18.382182241321445</c:v>
                </c:pt>
                <c:pt idx="88">
                  <c:v>37.532226791383458</c:v>
                </c:pt>
                <c:pt idx="89">
                  <c:v>37.224430016331198</c:v>
                </c:pt>
                <c:pt idx="90">
                  <c:v>34.127154098094323</c:v>
                </c:pt>
                <c:pt idx="91">
                  <c:v>35.133961193923049</c:v>
                </c:pt>
                <c:pt idx="92">
                  <c:v>35.74650201017333</c:v>
                </c:pt>
                <c:pt idx="93">
                  <c:v>35.95605810491336</c:v>
                </c:pt>
                <c:pt idx="94">
                  <c:v>35.255387179628286</c:v>
                </c:pt>
                <c:pt idx="95">
                  <c:v>33.982240868641966</c:v>
                </c:pt>
                <c:pt idx="96">
                  <c:v>33.220984067626461</c:v>
                </c:pt>
                <c:pt idx="97">
                  <c:v>32.54197975843978</c:v>
                </c:pt>
                <c:pt idx="98">
                  <c:v>29.450946154668102</c:v>
                </c:pt>
                <c:pt idx="99">
                  <c:v>69.746028795108558</c:v>
                </c:pt>
                <c:pt idx="100">
                  <c:v>57.605312398126188</c:v>
                </c:pt>
                <c:pt idx="101">
                  <c:v>52.066170306776847</c:v>
                </c:pt>
                <c:pt idx="102">
                  <c:v>45.939609370568554</c:v>
                </c:pt>
                <c:pt idx="103">
                  <c:v>44.924644919536341</c:v>
                </c:pt>
                <c:pt idx="104">
                  <c:v>44.59192047492364</c:v>
                </c:pt>
                <c:pt idx="105">
                  <c:v>43.914713431047289</c:v>
                </c:pt>
                <c:pt idx="106">
                  <c:v>43.435078743751056</c:v>
                </c:pt>
                <c:pt idx="107">
                  <c:v>42.964408143759101</c:v>
                </c:pt>
                <c:pt idx="108">
                  <c:v>42.337157833649108</c:v>
                </c:pt>
                <c:pt idx="109">
                  <c:v>37.466178838376486</c:v>
                </c:pt>
                <c:pt idx="110">
                  <c:v>28.437525669069032</c:v>
                </c:pt>
                <c:pt idx="111">
                  <c:v>28.025863925377713</c:v>
                </c:pt>
                <c:pt idx="112">
                  <c:v>26.949501422954093</c:v>
                </c:pt>
                <c:pt idx="113">
                  <c:v>27.73896820666959</c:v>
                </c:pt>
                <c:pt idx="114">
                  <c:v>28.030756313985037</c:v>
                </c:pt>
                <c:pt idx="115">
                  <c:v>27.737924014781058</c:v>
                </c:pt>
                <c:pt idx="116">
                  <c:v>27.853613144866006</c:v>
                </c:pt>
                <c:pt idx="117">
                  <c:v>28.171489999300526</c:v>
                </c:pt>
                <c:pt idx="118">
                  <c:v>28.092022551053496</c:v>
                </c:pt>
                <c:pt idx="119">
                  <c:v>28.38299950156593</c:v>
                </c:pt>
                <c:pt idx="120">
                  <c:v>28.106655239449552</c:v>
                </c:pt>
                <c:pt idx="121">
                  <c:v>25.399712917300299</c:v>
                </c:pt>
                <c:pt idx="122">
                  <c:v>28.458681728245327</c:v>
                </c:pt>
                <c:pt idx="123">
                  <c:v>28.385623333739751</c:v>
                </c:pt>
                <c:pt idx="124">
                  <c:v>29.028130787471373</c:v>
                </c:pt>
                <c:pt idx="125">
                  <c:v>30.040225980620015</c:v>
                </c:pt>
                <c:pt idx="126">
                  <c:v>29.257161961315536</c:v>
                </c:pt>
                <c:pt idx="127">
                  <c:v>27.80682804021297</c:v>
                </c:pt>
                <c:pt idx="128">
                  <c:v>26.955741402242751</c:v>
                </c:pt>
                <c:pt idx="129">
                  <c:v>25.592144553747008</c:v>
                </c:pt>
                <c:pt idx="130">
                  <c:v>25.375099688032776</c:v>
                </c:pt>
                <c:pt idx="131">
                  <c:v>24.469695517020252</c:v>
                </c:pt>
                <c:pt idx="132">
                  <c:v>23.439489242741907</c:v>
                </c:pt>
                <c:pt idx="133">
                  <c:v>25.285224492608815</c:v>
                </c:pt>
                <c:pt idx="134">
                  <c:v>25.485041925705577</c:v>
                </c:pt>
                <c:pt idx="135">
                  <c:v>25.945006714885977</c:v>
                </c:pt>
                <c:pt idx="136">
                  <c:v>26.697581825955808</c:v>
                </c:pt>
                <c:pt idx="137">
                  <c:v>26.63960451193752</c:v>
                </c:pt>
                <c:pt idx="138">
                  <c:v>26.743413559733241</c:v>
                </c:pt>
                <c:pt idx="139">
                  <c:v>26.448979090538273</c:v>
                </c:pt>
                <c:pt idx="140">
                  <c:v>26.948280104100842</c:v>
                </c:pt>
                <c:pt idx="141">
                  <c:v>26.846483701730239</c:v>
                </c:pt>
                <c:pt idx="142">
                  <c:v>25.613507565231043</c:v>
                </c:pt>
                <c:pt idx="143">
                  <c:v>24.273540514857661</c:v>
                </c:pt>
                <c:pt idx="144">
                  <c:v>25.944906388441382</c:v>
                </c:pt>
                <c:pt idx="145">
                  <c:v>25.739380227233212</c:v>
                </c:pt>
                <c:pt idx="146">
                  <c:v>25.649805678179117</c:v>
                </c:pt>
                <c:pt idx="147">
                  <c:v>26.82019982716195</c:v>
                </c:pt>
                <c:pt idx="148">
                  <c:v>27.271327668095946</c:v>
                </c:pt>
                <c:pt idx="149">
                  <c:v>27.394179630657511</c:v>
                </c:pt>
                <c:pt idx="150">
                  <c:v>27.635556376888616</c:v>
                </c:pt>
                <c:pt idx="151">
                  <c:v>27.245474030648875</c:v>
                </c:pt>
                <c:pt idx="152">
                  <c:v>26.847208393333055</c:v>
                </c:pt>
                <c:pt idx="153">
                  <c:v>26.19224187321587</c:v>
                </c:pt>
                <c:pt idx="154">
                  <c:v>26.529063129060447</c:v>
                </c:pt>
                <c:pt idx="155">
                  <c:v>28.635024984527966</c:v>
                </c:pt>
                <c:pt idx="156">
                  <c:v>30.525207309319246</c:v>
                </c:pt>
                <c:pt idx="157">
                  <c:v>32.92284423615002</c:v>
                </c:pt>
                <c:pt idx="158">
                  <c:v>33.647710633034379</c:v>
                </c:pt>
                <c:pt idx="159">
                  <c:v>32.943324578585198</c:v>
                </c:pt>
                <c:pt idx="160">
                  <c:v>33.049000009140414</c:v>
                </c:pt>
                <c:pt idx="161">
                  <c:v>33.349000021658014</c:v>
                </c:pt>
                <c:pt idx="162">
                  <c:v>33.148683944040449</c:v>
                </c:pt>
                <c:pt idx="163">
                  <c:v>32.143828987137944</c:v>
                </c:pt>
                <c:pt idx="164">
                  <c:v>31.026679754300581</c:v>
                </c:pt>
                <c:pt idx="165">
                  <c:v>26.647457762371541</c:v>
                </c:pt>
                <c:pt idx="166">
                  <c:v>26.443811091176194</c:v>
                </c:pt>
                <c:pt idx="167">
                  <c:v>26.051361177280885</c:v>
                </c:pt>
                <c:pt idx="168">
                  <c:v>25.855546142246986</c:v>
                </c:pt>
                <c:pt idx="169">
                  <c:v>25.543464718859489</c:v>
                </c:pt>
                <c:pt idx="170">
                  <c:v>24.949166420421975</c:v>
                </c:pt>
                <c:pt idx="171">
                  <c:v>24.793559010741674</c:v>
                </c:pt>
                <c:pt idx="172">
                  <c:v>24.548590977626027</c:v>
                </c:pt>
                <c:pt idx="173">
                  <c:v>24.448544083030278</c:v>
                </c:pt>
                <c:pt idx="174">
                  <c:v>24.943702289114423</c:v>
                </c:pt>
                <c:pt idx="175">
                  <c:v>24.351830415279242</c:v>
                </c:pt>
                <c:pt idx="176">
                  <c:v>34.041219278878373</c:v>
                </c:pt>
                <c:pt idx="177">
                  <c:v>32.465098387054717</c:v>
                </c:pt>
                <c:pt idx="178">
                  <c:v>34.173165621161196</c:v>
                </c:pt>
                <c:pt idx="179">
                  <c:v>33.991679795610999</c:v>
                </c:pt>
                <c:pt idx="180">
                  <c:v>27.047434347799172</c:v>
                </c:pt>
                <c:pt idx="181">
                  <c:v>27.158277433923537</c:v>
                </c:pt>
                <c:pt idx="182">
                  <c:v>28.092556646404287</c:v>
                </c:pt>
                <c:pt idx="183">
                  <c:v>27.976448691115952</c:v>
                </c:pt>
                <c:pt idx="184">
                  <c:v>28.689539066061421</c:v>
                </c:pt>
                <c:pt idx="185">
                  <c:v>27.885572628167044</c:v>
                </c:pt>
                <c:pt idx="186">
                  <c:v>25.068010499599168</c:v>
                </c:pt>
                <c:pt idx="187">
                  <c:v>21.466582266310532</c:v>
                </c:pt>
                <c:pt idx="188">
                  <c:v>21.285969717335561</c:v>
                </c:pt>
                <c:pt idx="189">
                  <c:v>20.529574018709717</c:v>
                </c:pt>
                <c:pt idx="190">
                  <c:v>20.685610273947752</c:v>
                </c:pt>
                <c:pt idx="191">
                  <c:v>20.987458186260199</c:v>
                </c:pt>
                <c:pt idx="192">
                  <c:v>20.923733349969488</c:v>
                </c:pt>
                <c:pt idx="193">
                  <c:v>20.680443453724571</c:v>
                </c:pt>
                <c:pt idx="194">
                  <c:v>21.038379606144474</c:v>
                </c:pt>
                <c:pt idx="195">
                  <c:v>21.203111577614187</c:v>
                </c:pt>
                <c:pt idx="196">
                  <c:v>21.07389350497759</c:v>
                </c:pt>
                <c:pt idx="197">
                  <c:v>20.833180987096966</c:v>
                </c:pt>
                <c:pt idx="198">
                  <c:v>21.176695534776524</c:v>
                </c:pt>
                <c:pt idx="199">
                  <c:v>21.36591084878836</c:v>
                </c:pt>
                <c:pt idx="200">
                  <c:v>20.805984814154034</c:v>
                </c:pt>
                <c:pt idx="201">
                  <c:v>20.460500393673264</c:v>
                </c:pt>
                <c:pt idx="202">
                  <c:v>20.308889798066577</c:v>
                </c:pt>
                <c:pt idx="203">
                  <c:v>20.297374372923962</c:v>
                </c:pt>
                <c:pt idx="204">
                  <c:v>20.471831582576971</c:v>
                </c:pt>
                <c:pt idx="205">
                  <c:v>20.345605235606179</c:v>
                </c:pt>
                <c:pt idx="206">
                  <c:v>20.211544014317838</c:v>
                </c:pt>
                <c:pt idx="207">
                  <c:v>19.938424682349588</c:v>
                </c:pt>
                <c:pt idx="208">
                  <c:v>19.650695633473546</c:v>
                </c:pt>
                <c:pt idx="209">
                  <c:v>17.943316239416895</c:v>
                </c:pt>
                <c:pt idx="210">
                  <c:v>17.608947904896933</c:v>
                </c:pt>
                <c:pt idx="211">
                  <c:v>17.256677366058582</c:v>
                </c:pt>
                <c:pt idx="212">
                  <c:v>17.152446608382952</c:v>
                </c:pt>
                <c:pt idx="213">
                  <c:v>17.346826011374517</c:v>
                </c:pt>
                <c:pt idx="214">
                  <c:v>17.035134798751272</c:v>
                </c:pt>
                <c:pt idx="215">
                  <c:v>16.455448179862977</c:v>
                </c:pt>
                <c:pt idx="216">
                  <c:v>15.711002737504408</c:v>
                </c:pt>
                <c:pt idx="217">
                  <c:v>15.495058190035227</c:v>
                </c:pt>
                <c:pt idx="218">
                  <c:v>15.279253959633099</c:v>
                </c:pt>
                <c:pt idx="219">
                  <c:v>14.999553486521201</c:v>
                </c:pt>
                <c:pt idx="220">
                  <c:v>13.850607363608102</c:v>
                </c:pt>
                <c:pt idx="221">
                  <c:v>13.450392993284721</c:v>
                </c:pt>
                <c:pt idx="222">
                  <c:v>12.047938052642571</c:v>
                </c:pt>
                <c:pt idx="223">
                  <c:v>11.403407366856278</c:v>
                </c:pt>
                <c:pt idx="224">
                  <c:v>11.449624541516346</c:v>
                </c:pt>
                <c:pt idx="225">
                  <c:v>11.166236123309359</c:v>
                </c:pt>
                <c:pt idx="226">
                  <c:v>10.854266594141194</c:v>
                </c:pt>
                <c:pt idx="227">
                  <c:v>10.26975115721045</c:v>
                </c:pt>
                <c:pt idx="228">
                  <c:v>10.159596227112178</c:v>
                </c:pt>
                <c:pt idx="229">
                  <c:v>10.223428383939414</c:v>
                </c:pt>
                <c:pt idx="230">
                  <c:v>9.8774133501691388</c:v>
                </c:pt>
                <c:pt idx="231">
                  <c:v>10.240290100189032</c:v>
                </c:pt>
                <c:pt idx="232">
                  <c:v>10.749079666542771</c:v>
                </c:pt>
                <c:pt idx="233">
                  <c:v>10.513129826561984</c:v>
                </c:pt>
                <c:pt idx="234">
                  <c:v>9.5918468426368761</c:v>
                </c:pt>
                <c:pt idx="235">
                  <c:v>8.9520376359067519</c:v>
                </c:pt>
                <c:pt idx="236">
                  <c:v>8.0513106761019202</c:v>
                </c:pt>
                <c:pt idx="237">
                  <c:v>8.0718188952402024</c:v>
                </c:pt>
                <c:pt idx="238">
                  <c:v>8.2059354266601048</c:v>
                </c:pt>
                <c:pt idx="239">
                  <c:v>8.2704650854940063</c:v>
                </c:pt>
                <c:pt idx="240">
                  <c:v>8.3200596199684007</c:v>
                </c:pt>
                <c:pt idx="241">
                  <c:v>8.1420982976486265</c:v>
                </c:pt>
                <c:pt idx="242">
                  <c:v>8.8665544095979811</c:v>
                </c:pt>
                <c:pt idx="243">
                  <c:v>9.2424542478711125</c:v>
                </c:pt>
                <c:pt idx="244">
                  <c:v>8.8504585495354107</c:v>
                </c:pt>
                <c:pt idx="245">
                  <c:v>8.5506018511117823</c:v>
                </c:pt>
                <c:pt idx="246">
                  <c:v>8.6100789595912719</c:v>
                </c:pt>
                <c:pt idx="247">
                  <c:v>8.2500786027321702</c:v>
                </c:pt>
                <c:pt idx="248">
                  <c:v>7.5916023137039712</c:v>
                </c:pt>
                <c:pt idx="249">
                  <c:v>7.3955390648058339</c:v>
                </c:pt>
                <c:pt idx="250">
                  <c:v>6.8924445068317519</c:v>
                </c:pt>
                <c:pt idx="251">
                  <c:v>6.7791543186494163</c:v>
                </c:pt>
                <c:pt idx="252">
                  <c:v>5.898229843705205</c:v>
                </c:pt>
                <c:pt idx="253">
                  <c:v>7.8495819034269498</c:v>
                </c:pt>
                <c:pt idx="254">
                  <c:v>7.4495878520319581</c:v>
                </c:pt>
                <c:pt idx="255">
                  <c:v>6.9501895002321179</c:v>
                </c:pt>
                <c:pt idx="256">
                  <c:v>6.0500299433530635</c:v>
                </c:pt>
                <c:pt idx="257">
                  <c:v>5.9553464834910308</c:v>
                </c:pt>
                <c:pt idx="258">
                  <c:v>5.4500620908155994</c:v>
                </c:pt>
                <c:pt idx="259">
                  <c:v>5.3299505264493119</c:v>
                </c:pt>
                <c:pt idx="260">
                  <c:v>5.4449722778410203</c:v>
                </c:pt>
                <c:pt idx="261">
                  <c:v>5.7450687307123438</c:v>
                </c:pt>
                <c:pt idx="262">
                  <c:v>5.9489754928641947</c:v>
                </c:pt>
                <c:pt idx="263">
                  <c:v>0.62562927033136262</c:v>
                </c:pt>
                <c:pt idx="264">
                  <c:v>0.49970869000135476</c:v>
                </c:pt>
                <c:pt idx="265">
                  <c:v>1.0996099758840083</c:v>
                </c:pt>
                <c:pt idx="266">
                  <c:v>0.89985617849415167</c:v>
                </c:pt>
                <c:pt idx="267">
                  <c:v>0.69986067588396761</c:v>
                </c:pt>
                <c:pt idx="268">
                  <c:v>0.6000349796176474</c:v>
                </c:pt>
                <c:pt idx="269">
                  <c:v>-1.9409889881337183</c:v>
                </c:pt>
                <c:pt idx="270">
                  <c:v>-3.4998723377605678</c:v>
                </c:pt>
                <c:pt idx="271">
                  <c:v>-4.5999313257846897</c:v>
                </c:pt>
                <c:pt idx="272">
                  <c:v>-6.7000020088865853</c:v>
                </c:pt>
                <c:pt idx="273">
                  <c:v>-12.39998227378144</c:v>
                </c:pt>
                <c:pt idx="274">
                  <c:v>-13.239967528585538</c:v>
                </c:pt>
                <c:pt idx="275">
                  <c:v>-25.69956966710517</c:v>
                </c:pt>
                <c:pt idx="276">
                  <c:v>-17.400437808601076</c:v>
                </c:pt>
                <c:pt idx="277">
                  <c:v>-12.149832741561639</c:v>
                </c:pt>
                <c:pt idx="278">
                  <c:v>-8.4397049022086339</c:v>
                </c:pt>
                <c:pt idx="279">
                  <c:v>-5.8498829822801746</c:v>
                </c:pt>
                <c:pt idx="280">
                  <c:v>-5.6401407885534827</c:v>
                </c:pt>
                <c:pt idx="281">
                  <c:v>-5.4399592639555845</c:v>
                </c:pt>
                <c:pt idx="282">
                  <c:v>-5.3499102349502614</c:v>
                </c:pt>
                <c:pt idx="283">
                  <c:v>-5.4000939555277183</c:v>
                </c:pt>
                <c:pt idx="284">
                  <c:v>-6.4000089935134286</c:v>
                </c:pt>
                <c:pt idx="285">
                  <c:v>-5.9061286216313231</c:v>
                </c:pt>
                <c:pt idx="286">
                  <c:v>35.75008252558294</c:v>
                </c:pt>
                <c:pt idx="287">
                  <c:v>14.081644779844327</c:v>
                </c:pt>
                <c:pt idx="288">
                  <c:v>5.1014441910775865</c:v>
                </c:pt>
                <c:pt idx="289">
                  <c:v>-2.6491761800054192</c:v>
                </c:pt>
                <c:pt idx="290">
                  <c:v>-9.1273885576503062</c:v>
                </c:pt>
                <c:pt idx="291">
                  <c:v>-8.1044548530742944</c:v>
                </c:pt>
                <c:pt idx="292">
                  <c:v>-8.4261180358679582</c:v>
                </c:pt>
                <c:pt idx="293">
                  <c:v>-8.8660573156484119</c:v>
                </c:pt>
                <c:pt idx="294">
                  <c:v>-7.752869900598391</c:v>
                </c:pt>
                <c:pt idx="295">
                  <c:v>-1.0965649771799146</c:v>
                </c:pt>
                <c:pt idx="296">
                  <c:v>4.9411551588242286</c:v>
                </c:pt>
                <c:pt idx="297">
                  <c:v>12.218144840392608</c:v>
                </c:pt>
                <c:pt idx="298">
                  <c:v>9.2484946975852633</c:v>
                </c:pt>
                <c:pt idx="299">
                  <c:v>6.7731078412283319</c:v>
                </c:pt>
                <c:pt idx="300">
                  <c:v>6.2124517190344397</c:v>
                </c:pt>
                <c:pt idx="301">
                  <c:v>6.0687768659632768</c:v>
                </c:pt>
                <c:pt idx="302">
                  <c:v>5.7114430491880253</c:v>
                </c:pt>
                <c:pt idx="303">
                  <c:v>5.8207677429211291</c:v>
                </c:pt>
                <c:pt idx="304">
                  <c:v>5.9284563390619605</c:v>
                </c:pt>
                <c:pt idx="305">
                  <c:v>5.7502641182711534</c:v>
                </c:pt>
                <c:pt idx="306">
                  <c:v>5.2543909715391468</c:v>
                </c:pt>
                <c:pt idx="307">
                  <c:v>5.0667802779190696</c:v>
                </c:pt>
                <c:pt idx="308">
                  <c:v>5.543407600023631</c:v>
                </c:pt>
                <c:pt idx="309">
                  <c:v>2.2980395148371358</c:v>
                </c:pt>
                <c:pt idx="310">
                  <c:v>-3.9480539780128221</c:v>
                </c:pt>
                <c:pt idx="311">
                  <c:v>-8.32621234778893</c:v>
                </c:pt>
                <c:pt idx="312">
                  <c:v>-10.432524039347157</c:v>
                </c:pt>
                <c:pt idx="313">
                  <c:v>-10.604355058596926</c:v>
                </c:pt>
                <c:pt idx="314">
                  <c:v>-10.913469134255504</c:v>
                </c:pt>
                <c:pt idx="315">
                  <c:v>-11.005144609076156</c:v>
                </c:pt>
                <c:pt idx="316">
                  <c:v>-11.040196496407962</c:v>
                </c:pt>
                <c:pt idx="317">
                  <c:v>-11.38925050428522</c:v>
                </c:pt>
                <c:pt idx="318">
                  <c:v>-12.077855342592169</c:v>
                </c:pt>
                <c:pt idx="319">
                  <c:v>-5.0954700711126062</c:v>
                </c:pt>
                <c:pt idx="320">
                  <c:v>-6.7485691914766726</c:v>
                </c:pt>
                <c:pt idx="321">
                  <c:v>-2.7671173431333962</c:v>
                </c:pt>
                <c:pt idx="322">
                  <c:v>-0.42846172179117348</c:v>
                </c:pt>
              </c:numCache>
            </c:numRef>
          </c:val>
          <c:smooth val="0"/>
          <c:extLst>
            <c:ext xmlns:c16="http://schemas.microsoft.com/office/drawing/2014/chart" uri="{C3380CC4-5D6E-409C-BE32-E72D297353CC}">
              <c16:uniqueId val="{00000001-DBFB-4A96-ADA0-22587C394B8B}"/>
            </c:ext>
          </c:extLst>
        </c:ser>
        <c:dLbls>
          <c:showLegendKey val="0"/>
          <c:showVal val="0"/>
          <c:showCatName val="0"/>
          <c:showSerName val="0"/>
          <c:showPercent val="0"/>
          <c:showBubbleSize val="0"/>
        </c:dLbls>
        <c:smooth val="0"/>
        <c:axId val="1575669183"/>
        <c:axId val="1575681183"/>
      </c:lineChart>
      <c:dateAx>
        <c:axId val="1575669183"/>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5681183"/>
        <c:crosses val="autoZero"/>
        <c:auto val="1"/>
        <c:lblOffset val="100"/>
        <c:baseTimeUnit val="months"/>
      </c:dateAx>
      <c:valAx>
        <c:axId val="15756811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566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Sheet0!$L$313</c:f>
              <c:strCache>
                <c:ptCount val="1"/>
                <c:pt idx="0">
                  <c:v>2017</c:v>
                </c:pt>
              </c:strCache>
            </c:strRef>
          </c:tx>
          <c:spPr>
            <a:ln w="28575" cap="rnd">
              <a:solidFill>
                <a:schemeClr val="accent1"/>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Sheet0!$L$314:$L$324</c:f>
              <c:numCache>
                <c:formatCode>General</c:formatCode>
                <c:ptCount val="11"/>
                <c:pt idx="0">
                  <c:v>41378</c:v>
                </c:pt>
                <c:pt idx="1">
                  <c:v>52374.357824859369</c:v>
                </c:pt>
                <c:pt idx="2">
                  <c:v>50526.789828298206</c:v>
                </c:pt>
                <c:pt idx="3">
                  <c:v>59362.241581297829</c:v>
                </c:pt>
                <c:pt idx="4">
                  <c:v>76864.737787420192</c:v>
                </c:pt>
                <c:pt idx="5">
                  <c:v>56762.496646695887</c:v>
                </c:pt>
                <c:pt idx="6">
                  <c:v>57012.819162582222</c:v>
                </c:pt>
                <c:pt idx="7">
                  <c:v>64411.516026316676</c:v>
                </c:pt>
                <c:pt idx="8">
                  <c:v>59365.16473711899</c:v>
                </c:pt>
                <c:pt idx="9">
                  <c:v>57284.157150093466</c:v>
                </c:pt>
                <c:pt idx="10">
                  <c:v>24899.905571293668</c:v>
                </c:pt>
              </c:numCache>
            </c:numRef>
          </c:val>
          <c:smooth val="0"/>
          <c:extLst>
            <c:ext xmlns:c16="http://schemas.microsoft.com/office/drawing/2014/chart" uri="{C3380CC4-5D6E-409C-BE32-E72D297353CC}">
              <c16:uniqueId val="{00000000-E12B-46BB-A40C-C371729300D4}"/>
            </c:ext>
          </c:extLst>
        </c:ser>
        <c:ser>
          <c:idx val="1"/>
          <c:order val="1"/>
          <c:tx>
            <c:strRef>
              <c:f>Sheet0!$M$313</c:f>
              <c:strCache>
                <c:ptCount val="1"/>
                <c:pt idx="0">
                  <c:v>2018</c:v>
                </c:pt>
              </c:strCache>
            </c:strRef>
          </c:tx>
          <c:spPr>
            <a:ln w="28575" cap="rnd">
              <a:solidFill>
                <a:schemeClr val="accent2"/>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Sheet0!$M$314:$M$324</c:f>
              <c:numCache>
                <c:formatCode>General</c:formatCode>
                <c:ptCount val="11"/>
                <c:pt idx="0">
                  <c:v>44626</c:v>
                </c:pt>
                <c:pt idx="1">
                  <c:v>53562.990593548922</c:v>
                </c:pt>
                <c:pt idx="2">
                  <c:v>50959.158322567935</c:v>
                </c:pt>
                <c:pt idx="3">
                  <c:v>59225.343979379133</c:v>
                </c:pt>
                <c:pt idx="4">
                  <c:v>76685.221186343551</c:v>
                </c:pt>
                <c:pt idx="5">
                  <c:v>47374.364440501959</c:v>
                </c:pt>
                <c:pt idx="6">
                  <c:v>49664.602043698775</c:v>
                </c:pt>
                <c:pt idx="7">
                  <c:v>57832.772466883005</c:v>
                </c:pt>
                <c:pt idx="8">
                  <c:v>48052.423864185752</c:v>
                </c:pt>
                <c:pt idx="9">
                  <c:v>21709.125475285167</c:v>
                </c:pt>
                <c:pt idx="10">
                  <c:v>15887.407017265388</c:v>
                </c:pt>
              </c:numCache>
            </c:numRef>
          </c:val>
          <c:smooth val="0"/>
          <c:extLst>
            <c:ext xmlns:c16="http://schemas.microsoft.com/office/drawing/2014/chart" uri="{C3380CC4-5D6E-409C-BE32-E72D297353CC}">
              <c16:uniqueId val="{00000001-E12B-46BB-A40C-C371729300D4}"/>
            </c:ext>
          </c:extLst>
        </c:ser>
        <c:ser>
          <c:idx val="2"/>
          <c:order val="2"/>
          <c:tx>
            <c:strRef>
              <c:f>Sheet0!$N$313</c:f>
              <c:strCache>
                <c:ptCount val="1"/>
                <c:pt idx="0">
                  <c:v>2019</c:v>
                </c:pt>
              </c:strCache>
            </c:strRef>
          </c:tx>
          <c:spPr>
            <a:ln w="28575" cap="rnd">
              <a:solidFill>
                <a:schemeClr val="accent3"/>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Sheet0!$N$314:$N$324</c:f>
              <c:numCache>
                <c:formatCode>General</c:formatCode>
                <c:ptCount val="11"/>
                <c:pt idx="0">
                  <c:v>44849</c:v>
                </c:pt>
                <c:pt idx="1">
                  <c:v>56155.590461681742</c:v>
                </c:pt>
                <c:pt idx="2">
                  <c:v>52243.102754114851</c:v>
                </c:pt>
                <c:pt idx="3">
                  <c:v>60051.862665662455</c:v>
                </c:pt>
                <c:pt idx="4">
                  <c:v>78024.991381712491</c:v>
                </c:pt>
                <c:pt idx="5">
                  <c:v>43955.102066500578</c:v>
                </c:pt>
                <c:pt idx="6">
                  <c:v>45406.848594564188</c:v>
                </c:pt>
                <c:pt idx="7">
                  <c:v>53091.554425180308</c:v>
                </c:pt>
                <c:pt idx="8">
                  <c:v>41681.085695574933</c:v>
                </c:pt>
                <c:pt idx="9">
                  <c:v>12154.022909270483</c:v>
                </c:pt>
                <c:pt idx="10">
                  <c:v>17382.214038497594</c:v>
                </c:pt>
              </c:numCache>
            </c:numRef>
          </c:val>
          <c:smooth val="0"/>
          <c:extLst>
            <c:ext xmlns:c16="http://schemas.microsoft.com/office/drawing/2014/chart" uri="{C3380CC4-5D6E-409C-BE32-E72D297353CC}">
              <c16:uniqueId val="{00000002-E12B-46BB-A40C-C371729300D4}"/>
            </c:ext>
          </c:extLst>
        </c:ser>
        <c:ser>
          <c:idx val="3"/>
          <c:order val="3"/>
          <c:tx>
            <c:strRef>
              <c:f>Sheet0!$O$313</c:f>
              <c:strCache>
                <c:ptCount val="1"/>
                <c:pt idx="0">
                  <c:v>2020</c:v>
                </c:pt>
              </c:strCache>
            </c:strRef>
          </c:tx>
          <c:spPr>
            <a:ln w="28575" cap="rnd">
              <a:solidFill>
                <a:schemeClr val="accent4"/>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Sheet0!$O$314:$O$324</c:f>
              <c:numCache>
                <c:formatCode>General</c:formatCode>
                <c:ptCount val="11"/>
                <c:pt idx="0">
                  <c:v>33323</c:v>
                </c:pt>
                <c:pt idx="1">
                  <c:v>42920.195800896443</c:v>
                </c:pt>
                <c:pt idx="2">
                  <c:v>43508.269895826132</c:v>
                </c:pt>
                <c:pt idx="3">
                  <c:v>48102.380955822518</c:v>
                </c:pt>
                <c:pt idx="4">
                  <c:v>59225.658840514574</c:v>
                </c:pt>
                <c:pt idx="5">
                  <c:v>47017.304654349777</c:v>
                </c:pt>
                <c:pt idx="6">
                  <c:v>44279.106901871215</c:v>
                </c:pt>
                <c:pt idx="7">
                  <c:v>52200.35139157396</c:v>
                </c:pt>
                <c:pt idx="8">
                  <c:v>49429.912345964287</c:v>
                </c:pt>
                <c:pt idx="9">
                  <c:v>49468.366882523464</c:v>
                </c:pt>
                <c:pt idx="10">
                  <c:v>49450.885688705835</c:v>
                </c:pt>
              </c:numCache>
            </c:numRef>
          </c:val>
          <c:smooth val="0"/>
          <c:extLst>
            <c:ext xmlns:c16="http://schemas.microsoft.com/office/drawing/2014/chart" uri="{C3380CC4-5D6E-409C-BE32-E72D297353CC}">
              <c16:uniqueId val="{00000003-E12B-46BB-A40C-C371729300D4}"/>
            </c:ext>
          </c:extLst>
        </c:ser>
        <c:ser>
          <c:idx val="4"/>
          <c:order val="4"/>
          <c:tx>
            <c:strRef>
              <c:f>Sheet0!$P$313</c:f>
              <c:strCache>
                <c:ptCount val="1"/>
                <c:pt idx="0">
                  <c:v>2021</c:v>
                </c:pt>
              </c:strCache>
            </c:strRef>
          </c:tx>
          <c:spPr>
            <a:ln w="28575" cap="rnd">
              <a:solidFill>
                <a:schemeClr val="accent5"/>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Sheet0!$P$314:$P$324</c:f>
              <c:numCache>
                <c:formatCode>General</c:formatCode>
                <c:ptCount val="11"/>
                <c:pt idx="0">
                  <c:v>45236</c:v>
                </c:pt>
                <c:pt idx="1">
                  <c:v>50705.449359316219</c:v>
                </c:pt>
                <c:pt idx="2">
                  <c:v>47819.02539483468</c:v>
                </c:pt>
                <c:pt idx="3">
                  <c:v>50171.946084343712</c:v>
                </c:pt>
                <c:pt idx="4">
                  <c:v>61884.957338686654</c:v>
                </c:pt>
                <c:pt idx="5">
                  <c:v>46741.058443463378</c:v>
                </c:pt>
                <c:pt idx="6">
                  <c:v>44415.34427965153</c:v>
                </c:pt>
                <c:pt idx="7">
                  <c:v>50952.803497253684</c:v>
                </c:pt>
                <c:pt idx="8">
                  <c:v>47679.521644523251</c:v>
                </c:pt>
                <c:pt idx="9">
                  <c:v>48254.574651235016</c:v>
                </c:pt>
                <c:pt idx="10">
                  <c:v>50506.884864322259</c:v>
                </c:pt>
              </c:numCache>
            </c:numRef>
          </c:val>
          <c:smooth val="0"/>
          <c:extLst>
            <c:ext xmlns:c16="http://schemas.microsoft.com/office/drawing/2014/chart" uri="{C3380CC4-5D6E-409C-BE32-E72D297353CC}">
              <c16:uniqueId val="{00000004-E12B-46BB-A40C-C371729300D4}"/>
            </c:ext>
          </c:extLst>
        </c:ser>
        <c:ser>
          <c:idx val="5"/>
          <c:order val="5"/>
          <c:tx>
            <c:strRef>
              <c:f>Sheet0!$Q$313</c:f>
              <c:strCache>
                <c:ptCount val="1"/>
                <c:pt idx="0">
                  <c:v>2022</c:v>
                </c:pt>
              </c:strCache>
            </c:strRef>
          </c:tx>
          <c:spPr>
            <a:ln w="28575" cap="rnd">
              <a:solidFill>
                <a:schemeClr val="accent6"/>
              </a:solidFill>
              <a:round/>
            </a:ln>
            <a:effectLst/>
          </c:spPr>
          <c:marker>
            <c:symbol val="none"/>
          </c:marker>
          <c:cat>
            <c:strRef>
              <c:f>Sheet0!$K$314:$K$324</c:f>
              <c:strCache>
                <c:ptCount val="11"/>
                <c:pt idx="0">
                  <c:v>1-2月</c:v>
                </c:pt>
                <c:pt idx="1">
                  <c:v>3月</c:v>
                </c:pt>
                <c:pt idx="2">
                  <c:v>4月</c:v>
                </c:pt>
                <c:pt idx="3">
                  <c:v>5月</c:v>
                </c:pt>
                <c:pt idx="4">
                  <c:v>6月</c:v>
                </c:pt>
                <c:pt idx="5">
                  <c:v>7月</c:v>
                </c:pt>
                <c:pt idx="6">
                  <c:v>8月</c:v>
                </c:pt>
                <c:pt idx="7">
                  <c:v>9月</c:v>
                </c:pt>
                <c:pt idx="8">
                  <c:v>10月</c:v>
                </c:pt>
                <c:pt idx="9">
                  <c:v>11月</c:v>
                </c:pt>
                <c:pt idx="10">
                  <c:v>12月</c:v>
                </c:pt>
              </c:strCache>
            </c:strRef>
          </c:cat>
          <c:val>
            <c:numRef>
              <c:f>Sheet0!$Q$314:$Q$324</c:f>
              <c:numCache>
                <c:formatCode>General</c:formatCode>
                <c:ptCount val="11"/>
                <c:pt idx="0">
                  <c:v>50763</c:v>
                </c:pt>
                <c:pt idx="1">
                  <c:v>51292.231726949292</c:v>
                </c:pt>
                <c:pt idx="2">
                  <c:v>38785.391090669989</c:v>
                </c:pt>
                <c:pt idx="3">
                  <c:v>40691.375541841175</c:v>
                </c:pt>
                <c:pt idx="4">
                  <c:v>52660.024825848523</c:v>
                </c:pt>
                <c:pt idx="5">
                  <c:v>42284.189204801631</c:v>
                </c:pt>
                <c:pt idx="6">
                  <c:v>40404.064144662872</c:v>
                </c:pt>
                <c:pt idx="7">
                  <c:v>46857.324115218944</c:v>
                </c:pt>
                <c:pt idx="8">
                  <c:v>43830.434376882215</c:v>
                </c:pt>
                <c:pt idx="9">
                  <c:v>40238.095238095266</c:v>
                </c:pt>
                <c:pt idx="10">
                  <c:v>40557.449498523434</c:v>
                </c:pt>
              </c:numCache>
            </c:numRef>
          </c:val>
          <c:smooth val="0"/>
          <c:extLst>
            <c:ext xmlns:c16="http://schemas.microsoft.com/office/drawing/2014/chart" uri="{C3380CC4-5D6E-409C-BE32-E72D297353CC}">
              <c16:uniqueId val="{00000005-E12B-46BB-A40C-C371729300D4}"/>
            </c:ext>
          </c:extLst>
        </c:ser>
        <c:dLbls>
          <c:showLegendKey val="0"/>
          <c:showVal val="0"/>
          <c:showCatName val="0"/>
          <c:showSerName val="0"/>
          <c:showPercent val="0"/>
          <c:showBubbleSize val="0"/>
        </c:dLbls>
        <c:smooth val="0"/>
        <c:axId val="1495685903"/>
        <c:axId val="1495686863"/>
      </c:lineChart>
      <c:catAx>
        <c:axId val="149568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5686863"/>
        <c:crosses val="autoZero"/>
        <c:auto val="1"/>
        <c:lblAlgn val="ctr"/>
        <c:lblOffset val="100"/>
        <c:noMultiLvlLbl val="0"/>
      </c:catAx>
      <c:valAx>
        <c:axId val="1495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5685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20</Pages>
  <Words>2506</Words>
  <Characters>14290</Characters>
  <Application>Microsoft Office Word</Application>
  <DocSecurity>0</DocSecurity>
  <Lines>119</Lines>
  <Paragraphs>33</Paragraphs>
  <ScaleCrop>false</ScaleCrop>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Ding</dc:creator>
  <cp:keywords/>
  <dc:description/>
  <cp:lastModifiedBy>Minjie Ding</cp:lastModifiedBy>
  <cp:revision>675</cp:revision>
  <dcterms:created xsi:type="dcterms:W3CDTF">2024-06-21T11:23:00Z</dcterms:created>
  <dcterms:modified xsi:type="dcterms:W3CDTF">2024-07-29T03:41:00Z</dcterms:modified>
</cp:coreProperties>
</file>