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NormalWeb"/>
        <w:spacing w:after="0" w:line="400" w:lineRule="exact"/>
        <w:ind w:firstLine="420" w:firstLineChars="200"/>
        <w:rPr>
          <w:sz w:val="21"/>
          <w:szCs w:val="21"/>
        </w:rPr>
      </w:pPr>
      <w:r>
        <w:drawing>
          <wp:anchor simplePos="0" relativeHeight="251658240" behindDoc="0" locked="0" layoutInCell="0" allowOverlap="0">
            <wp:simplePos x="0" y="0"/>
            <wp:positionH relativeFrom="margin">
              <wp:posOffset>0</wp:posOffset>
            </wp:positionH>
            <wp:positionV relativeFrom="margin">
              <wp:posOffset>0</wp:posOffset>
            </wp:positionV>
            <wp:extent cx="800100" cy="776605"/>
            <wp:effectExtent l="0" t="0" r="0" b="0"/>
            <wp:wrapNone/>
            <wp:docPr id="3" name="图片 3" descr="校徽"/>
            <wp:cNvGraphicFramePr/>
            <a:graphic xmlns:a="http://schemas.openxmlformats.org/drawingml/2006/main">
              <a:graphicData uri="http://schemas.openxmlformats.org/drawingml/2006/picture">
                <pic:pic xmlns:pic="http://schemas.openxmlformats.org/drawingml/2006/picture">
                  <pic:nvPicPr>
                    <pic:cNvPr id="213069619" name="图片 3" descr="校徽"/>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800100" cy="776605"/>
                    </a:xfrm>
                    <a:prstGeom prst="rect">
                      <a:avLst/>
                    </a:prstGeom>
                    <a:noFill/>
                    <a:ln>
                      <a:noFill/>
                    </a:ln>
                  </pic:spPr>
                </pic:pic>
              </a:graphicData>
            </a:graphic>
          </wp:anchor>
        </w:drawing>
      </w:r>
      <w:r>
        <w:drawing>
          <wp:anchor simplePos="0" relativeHeight="251659264" behindDoc="0" locked="0" layoutInCell="0" allowOverlap="0">
            <wp:simplePos x="0" y="0"/>
            <wp:positionH relativeFrom="margin">
              <wp:posOffset>0</wp:posOffset>
            </wp:positionH>
            <wp:positionV relativeFrom="margin">
              <wp:posOffset>0</wp:posOffset>
            </wp:positionV>
            <wp:extent cx="2967355" cy="673100"/>
            <wp:effectExtent l="0" t="0" r="0" b="0"/>
            <wp:wrapNone/>
            <wp:docPr id="2" name="图片 2" descr="校名"/>
            <wp:cNvGraphicFramePr/>
            <a:graphic xmlns:a="http://schemas.openxmlformats.org/drawingml/2006/main">
              <a:graphicData uri="http://schemas.openxmlformats.org/drawingml/2006/picture">
                <pic:pic xmlns:pic="http://schemas.openxmlformats.org/drawingml/2006/picture">
                  <pic:nvPicPr>
                    <pic:cNvPr id="2124505444" name="图片 2" descr="校名"/>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2967355" cy="673100"/>
                    </a:xfrm>
                    <a:prstGeom prst="rect">
                      <a:avLst/>
                    </a:prstGeom>
                    <a:noFill/>
                    <a:ln>
                      <a:noFill/>
                    </a:ln>
                  </pic:spPr>
                </pic:pic>
              </a:graphicData>
            </a:graphic>
          </wp:anchor>
        </w:drawing>
      </w:r>
    </w:p>
    <w:p>
      <w:pPr>
        <w:pStyle w:val="NormalWeb"/>
        <w:spacing w:after="0" w:line="400" w:lineRule="exact"/>
        <w:ind w:firstLine="420" w:firstLineChars="200"/>
        <w:rPr>
          <w:sz w:val="21"/>
          <w:szCs w:val="21"/>
        </w:rPr>
      </w:pPr>
    </w:p>
    <w:p>
      <w:pPr>
        <w:spacing w:after="0" w:line="1000" w:lineRule="exact"/>
        <w:rPr>
          <w:rFonts w:ascii="宋体" w:hAnsi="宋体"/>
          <w:b/>
          <w:sz w:val="52"/>
          <w:szCs w:val="52"/>
        </w:rPr>
      </w:pPr>
    </w:p>
    <w:p>
      <w:pPr>
        <w:spacing w:after="0" w:line="1000" w:lineRule="exact"/>
        <w:jc w:val="center"/>
        <w:rPr>
          <w:rFonts w:ascii="宋体" w:hAnsi="宋体"/>
          <w:b/>
          <w:sz w:val="72"/>
          <w:szCs w:val="72"/>
        </w:rPr>
      </w:pPr>
      <w:r>
        <w:rPr>
          <w:rFonts w:ascii="宋体" w:hAnsi="宋体" w:hint="eastAsia"/>
          <w:b/>
          <w:sz w:val="72"/>
          <w:szCs w:val="72"/>
        </w:rPr>
        <w:t>本科毕业论文（设计）</w:t>
      </w:r>
    </w:p>
    <w:p>
      <w:pPr>
        <w:spacing w:after="0" w:line="1000" w:lineRule="exact"/>
        <w:jc w:val="center"/>
        <w:rPr>
          <w:rFonts w:ascii="宋体" w:hAnsi="宋体"/>
          <w:b/>
          <w:sz w:val="28"/>
          <w:szCs w:val="28"/>
        </w:rPr>
      </w:pPr>
    </w:p>
    <w:p>
      <w:pPr>
        <w:spacing w:after="0" w:line="1000" w:lineRule="exact"/>
        <w:jc w:val="center"/>
        <w:rPr>
          <w:rFonts w:ascii="宋体" w:hAnsi="宋体"/>
          <w:b/>
          <w:sz w:val="90"/>
          <w:szCs w:val="90"/>
        </w:rPr>
      </w:pPr>
      <w:r>
        <w:rPr>
          <w:rFonts w:ascii="宋体" w:hAnsi="宋体" w:hint="eastAsia"/>
          <w:b/>
          <w:sz w:val="90"/>
          <w:szCs w:val="90"/>
        </w:rPr>
        <w:t>开题报告书</w:t>
      </w:r>
    </w:p>
    <w:p>
      <w:pPr>
        <w:spacing w:after="0" w:line="400" w:lineRule="exact"/>
        <w:ind w:firstLine="1280" w:firstLineChars="400"/>
        <w:jc w:val="center"/>
        <w:rPr>
          <w:rFonts w:ascii="宋体" w:hAnsi="宋体"/>
          <w:sz w:val="32"/>
          <w:szCs w:val="32"/>
        </w:rPr>
      </w:pPr>
    </w:p>
    <w:p>
      <w:pPr>
        <w:spacing w:after="0" w:line="400" w:lineRule="exact"/>
        <w:ind w:firstLine="1280" w:firstLineChars="400"/>
        <w:rPr>
          <w:rFonts w:ascii="宋体" w:hAnsi="宋体"/>
          <w:sz w:val="32"/>
          <w:szCs w:val="32"/>
        </w:rPr>
      </w:pPr>
    </w:p>
    <w:p>
      <w:pPr>
        <w:spacing w:after="0" w:line="400" w:lineRule="exact"/>
        <w:ind w:firstLine="1280" w:firstLineChars="400"/>
        <w:rPr>
          <w:rFonts w:ascii="宋体" w:hAnsi="宋体"/>
          <w:sz w:val="32"/>
          <w:szCs w:val="32"/>
        </w:rPr>
      </w:pPr>
    </w:p>
    <w:p>
      <w:pPr>
        <w:spacing w:after="0" w:line="400" w:lineRule="exact"/>
        <w:ind w:firstLine="1280" w:firstLineChars="400"/>
        <w:rPr>
          <w:rFonts w:ascii="宋体" w:hAnsi="宋体"/>
          <w:sz w:val="32"/>
          <w:szCs w:val="32"/>
        </w:rPr>
      </w:pPr>
    </w:p>
    <w:p>
      <w:pPr>
        <w:spacing w:after="0" w:line="600" w:lineRule="exact"/>
        <w:ind w:firstLine="1120" w:firstLineChars="400"/>
        <w:rPr>
          <w:rFonts w:ascii="宋体" w:hAnsi="宋体"/>
          <w:b/>
          <w:bCs/>
          <w:sz w:val="28"/>
          <w:szCs w:val="28"/>
          <w:u w:val="single"/>
        </w:rPr>
      </w:pPr>
      <w:r>
        <w:rPr>
          <w:rFonts w:ascii="宋体" w:hAnsi="宋体" w:hint="eastAsia"/>
          <w:b/>
          <w:sz w:val="28"/>
          <w:szCs w:val="28"/>
        </w:rPr>
        <w:t xml:space="preserve">题    目 </w:t>
      </w:r>
      <w:r>
        <w:rPr>
          <w:rFonts w:ascii="宋体" w:hAnsi="宋体" w:hint="eastAsia"/>
          <w:b/>
          <w:bCs/>
          <w:sz w:val="28"/>
          <w:szCs w:val="28"/>
          <w:u w:val="single"/>
        </w:rPr>
        <w:t xml:space="preserve">  基于数据挖掘的借款人贷款决策影响因素及风  </w:t>
      </w:r>
    </w:p>
    <w:p>
      <w:pPr>
        <w:ind w:firstLine="2380" w:firstLineChars="850"/>
        <w:rPr>
          <w:szCs w:val="21"/>
        </w:rPr>
      </w:pPr>
      <w:r>
        <w:rPr>
          <w:rFonts w:ascii="宋体" w:hAnsi="宋体" w:hint="eastAsia"/>
          <w:b/>
          <w:bCs/>
          <w:sz w:val="28"/>
          <w:szCs w:val="28"/>
          <w:u w:val="single"/>
        </w:rPr>
        <w:t xml:space="preserve">  险评估——以Lending Club网络贷款数据为例  </w:t>
      </w:r>
    </w:p>
    <w:p>
      <w:pPr>
        <w:ind w:firstLine="1120" w:firstLineChars="400"/>
        <w:rPr>
          <w:szCs w:val="21"/>
        </w:rPr>
      </w:pPr>
      <w:r>
        <w:rPr>
          <w:rFonts w:ascii="宋体" w:hAnsi="宋体" w:hint="eastAsia"/>
          <w:b/>
          <w:sz w:val="28"/>
          <w:szCs w:val="28"/>
        </w:rPr>
        <w:t xml:space="preserve">学　　院 </w:t>
      </w:r>
      <w:r>
        <w:rPr>
          <w:rFonts w:ascii="宋体" w:hAnsi="宋体" w:hint="eastAsia"/>
          <w:b/>
          <w:sz w:val="32"/>
          <w:szCs w:val="32"/>
          <w:u w:val="single"/>
        </w:rPr>
        <w:t xml:space="preserve">  </w:t>
      </w:r>
      <w:r>
        <w:rPr>
          <w:rFonts w:ascii="宋体" w:hAnsi="宋体" w:hint="eastAsia"/>
          <w:b/>
          <w:bCs/>
          <w:sz w:val="28"/>
          <w:szCs w:val="28"/>
          <w:u w:val="single"/>
        </w:rPr>
        <w:t xml:space="preserve">金融学院                      </w:t>
      </w:r>
      <w:r>
        <w:rPr>
          <w:rFonts w:ascii="宋体" w:hAnsi="宋体"/>
          <w:b/>
          <w:bCs/>
          <w:sz w:val="28"/>
          <w:szCs w:val="28"/>
          <w:u w:val="single"/>
        </w:rPr>
        <w:t xml:space="preserve">  </w:t>
      </w:r>
    </w:p>
    <w:p>
      <w:pPr>
        <w:ind w:firstLine="1120" w:firstLineChars="400"/>
        <w:rPr>
          <w:szCs w:val="21"/>
        </w:rPr>
      </w:pPr>
      <w:r>
        <w:rPr>
          <w:rFonts w:ascii="宋体" w:hAnsi="宋体" w:hint="eastAsia"/>
          <w:b/>
          <w:sz w:val="28"/>
          <w:szCs w:val="28"/>
        </w:rPr>
        <w:t xml:space="preserve">班    级 </w:t>
      </w:r>
      <w:r>
        <w:rPr>
          <w:rFonts w:ascii="宋体" w:hAnsi="宋体" w:hint="eastAsia"/>
          <w:b/>
          <w:sz w:val="28"/>
          <w:szCs w:val="28"/>
          <w:u w:val="single"/>
        </w:rPr>
        <w:t xml:space="preserve">  </w:t>
      </w:r>
      <w:r>
        <w:rPr>
          <w:rFonts w:ascii="宋体" w:hAnsi="宋体" w:hint="eastAsia"/>
          <w:b/>
          <w:bCs/>
          <w:sz w:val="28"/>
          <w:szCs w:val="28"/>
          <w:u w:val="single"/>
        </w:rPr>
        <w:t xml:space="preserve">                              </w:t>
      </w:r>
      <w:r>
        <w:rPr>
          <w:rFonts w:ascii="宋体" w:hAnsi="宋体" w:hint="eastAsia"/>
          <w:b/>
          <w:sz w:val="28"/>
          <w:szCs w:val="28"/>
          <w:u w:val="single"/>
        </w:rPr>
        <w:t xml:space="preserve"> </w:t>
      </w:r>
      <w:r>
        <w:rPr>
          <w:rFonts w:ascii="宋体" w:hAnsi="宋体"/>
          <w:b/>
          <w:sz w:val="28"/>
          <w:szCs w:val="28"/>
          <w:u w:val="single"/>
        </w:rPr>
        <w:t xml:space="preserve"> </w:t>
      </w:r>
    </w:p>
    <w:p>
      <w:pPr>
        <w:spacing w:after="0" w:line="700" w:lineRule="exact"/>
        <w:ind w:firstLine="1120" w:firstLineChars="400"/>
        <w:rPr>
          <w:rFonts w:ascii="宋体" w:hAnsi="宋体"/>
          <w:b/>
          <w:sz w:val="28"/>
          <w:szCs w:val="28"/>
          <w:u w:val="single"/>
        </w:rPr>
      </w:pPr>
      <w:r>
        <w:rPr>
          <w:rFonts w:ascii="宋体" w:hAnsi="宋体" w:hint="eastAsia"/>
          <w:b/>
          <w:sz w:val="28"/>
          <w:szCs w:val="28"/>
        </w:rPr>
        <w:t xml:space="preserve">姓    名 </w:t>
      </w:r>
      <w:r>
        <w:rPr>
          <w:rFonts w:ascii="宋体" w:hAnsi="宋体" w:hint="eastAsia"/>
          <w:b/>
          <w:sz w:val="28"/>
          <w:szCs w:val="28"/>
          <w:u w:val="single"/>
        </w:rPr>
        <w:t xml:space="preserve">  </w:t>
      </w:r>
      <w:r>
        <w:rPr>
          <w:rFonts w:ascii="宋体" w:hAnsi="宋体" w:hint="eastAsia"/>
          <w:b/>
          <w:sz w:val="28"/>
          <w:szCs w:val="28"/>
          <w:u w:val="single"/>
        </w:rPr>
        <w:t xml:space="preserve">应敏婕      </w:t>
      </w:r>
      <w:r>
        <w:rPr>
          <w:rFonts w:ascii="宋体" w:hAnsi="宋体" w:hint="eastAsia"/>
          <w:b/>
          <w:sz w:val="28"/>
          <w:szCs w:val="28"/>
        </w:rPr>
        <w:t xml:space="preserve"> 学    号 </w:t>
      </w:r>
      <w:r>
        <w:rPr>
          <w:rFonts w:ascii="宋体" w:hAnsi="宋体" w:hint="eastAsia"/>
          <w:b/>
          <w:sz w:val="28"/>
          <w:szCs w:val="28"/>
          <w:u w:val="single"/>
        </w:rPr>
        <w:t xml:space="preserve">  </w:t>
      </w:r>
      <w:r>
        <w:rPr>
          <w:rFonts w:ascii="宋体" w:hAnsi="宋体" w:hint="eastAsia"/>
          <w:b/>
          <w:sz w:val="28"/>
          <w:szCs w:val="28"/>
          <w:u w:val="single"/>
        </w:rPr>
        <w:t xml:space="preserve">202021130214  </w:t>
      </w:r>
    </w:p>
    <w:p>
      <w:pPr>
        <w:spacing w:after="0" w:line="700" w:lineRule="exact"/>
        <w:ind w:firstLine="1120" w:firstLineChars="400"/>
        <w:rPr>
          <w:rFonts w:ascii="宋体" w:hAnsi="宋体"/>
          <w:b/>
          <w:sz w:val="28"/>
          <w:szCs w:val="28"/>
          <w:u w:val="single"/>
        </w:rPr>
      </w:pPr>
      <w:r>
        <w:rPr>
          <w:rFonts w:ascii="宋体" w:hAnsi="宋体" w:hint="eastAsia"/>
          <w:b/>
          <w:sz w:val="28"/>
          <w:szCs w:val="28"/>
        </w:rPr>
        <w:t xml:space="preserve">指导教师 </w:t>
      </w:r>
      <w:r>
        <w:rPr>
          <w:rFonts w:ascii="宋体" w:hAnsi="宋体" w:hint="eastAsia"/>
          <w:b/>
          <w:sz w:val="28"/>
          <w:szCs w:val="28"/>
          <w:u w:val="single"/>
        </w:rPr>
        <w:t xml:space="preserve">  </w:t>
      </w:r>
      <w:r>
        <w:rPr>
          <w:rFonts w:ascii="宋体" w:hAnsi="宋体" w:hint="eastAsia"/>
          <w:b/>
          <w:sz w:val="28"/>
          <w:szCs w:val="28"/>
          <w:u w:val="single"/>
        </w:rPr>
        <w:t xml:space="preserve">周奕        </w:t>
      </w:r>
      <w:r>
        <w:rPr>
          <w:rFonts w:ascii="宋体" w:hAnsi="宋体" w:hint="eastAsia"/>
          <w:b/>
          <w:sz w:val="28"/>
          <w:szCs w:val="28"/>
        </w:rPr>
        <w:t xml:space="preserve"> 职    称 </w:t>
      </w:r>
      <w:r>
        <w:rPr>
          <w:rFonts w:ascii="宋体" w:hAnsi="宋体" w:hint="eastAsia"/>
          <w:b/>
          <w:sz w:val="28"/>
          <w:szCs w:val="28"/>
          <w:u w:val="single"/>
        </w:rPr>
        <w:t xml:space="preserve">  </w:t>
      </w:r>
      <w:r>
        <w:rPr>
          <w:rFonts w:ascii="宋体" w:hAnsi="宋体" w:hint="eastAsia"/>
          <w:b/>
          <w:sz w:val="28"/>
          <w:szCs w:val="28"/>
          <w:u w:val="single"/>
        </w:rPr>
        <w:t xml:space="preserve">讲师       </w:t>
      </w:r>
      <w:r>
        <w:rPr>
          <w:rFonts w:ascii="宋体" w:hAnsi="宋体"/>
          <w:b/>
          <w:sz w:val="28"/>
          <w:szCs w:val="28"/>
          <w:u w:val="single"/>
        </w:rPr>
        <w:t xml:space="preserve"> </w:t>
      </w:r>
    </w:p>
    <w:p>
      <w:pPr>
        <w:spacing w:after="0" w:line="400" w:lineRule="exact"/>
        <w:rPr>
          <w:sz w:val="28"/>
        </w:rPr>
      </w:pPr>
    </w:p>
    <w:p>
      <w:pPr>
        <w:spacing w:after="0" w:line="400" w:lineRule="exact"/>
        <w:jc w:val="center"/>
        <w:rPr>
          <w:rFonts w:ascii="宋体" w:hAnsi="宋体" w:hint="eastAsia"/>
          <w:b/>
          <w:sz w:val="32"/>
          <w:szCs w:val="32"/>
        </w:rPr>
      </w:pPr>
      <w:r>
        <w:rPr>
          <w:rFonts w:ascii="宋体" w:hAnsi="宋体"/>
          <w:sz w:val="24"/>
        </w:rPr>
        <w:t>2024年2月25日</w:t>
      </w:r>
    </w:p>
    <w:p>
      <w:pPr>
        <w:rPr>
          <w:rFonts w:ascii="宋体" w:hAnsi="宋体" w:hint="eastAsia"/>
          <w:b/>
          <w:sz w:val="32"/>
          <w:szCs w:val="32"/>
        </w:rPr>
      </w:pPr>
      <w:r>
        <w:rPr>
          <w:rFonts w:ascii="宋体" w:hAnsi="宋体" w:hint="eastAsia"/>
          <w:b/>
          <w:sz w:val="32"/>
          <w:szCs w:val="32"/>
        </w:rPr>
        <w:br w:type="page"/>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7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hRule="auto" w:val="0"/>
        </w:trPr>
        <w:tc>
          <w:tcPr>
            <w:tcW w:w="9570" w:type="dxa"/>
            <w:shd w:val="clear" w:color="auto" w:fill="auto"/>
            <w:vAlign w:val="top"/>
          </w:tcPr>
          <w:p>
            <w:pPr>
              <w:numPr>
                <w:ilvl w:val="0"/>
                <w:numId w:val="1"/>
              </w:numPr>
              <w:spacing w:after="0" w:line="276" w:lineRule="auto"/>
              <w:ind w:right="420"/>
              <w:rPr>
                <w:rFonts w:ascii="宋体" w:hAnsi="宋体"/>
                <w:sz w:val="24"/>
              </w:rPr>
            </w:pPr>
            <w:r>
              <w:rPr>
                <w:rFonts w:ascii="宋体" w:hAnsi="宋体" w:hint="eastAsia"/>
                <w:sz w:val="24"/>
              </w:rPr>
              <w:t>本选题研究的目的及意义</w:t>
            </w:r>
          </w:p>
          <w:p>
            <w:pPr>
              <w:spacing w:after="0" w:line="276" w:lineRule="auto"/>
              <w:ind w:right="420"/>
              <w:rPr>
                <w:rFonts w:ascii="楷体" w:hAnsi="楷体"/>
                <w:sz w:val="24"/>
              </w:rPr>
            </w:pPr>
            <w:r>
              <w:rPr>
                <w:rFonts w:ascii="楷体" w:eastAsia="楷体-简" w:hAnsi="楷体" w:cs="楷体-简"/>
                <w:sz w:val="24"/>
              </w:rPr>
              <w:t xml:space="preserve">1.1研究背景和意义 </w:t>
            </w:r>
          </w:p>
          <w:p>
            <w:pPr>
              <w:spacing w:after="0" w:line="276" w:lineRule="auto"/>
              <w:jc w:val="left"/>
              <w:textAlignment w:val="auto"/>
            </w:pPr>
          </w:p>
          <w:p>
            <w:pPr>
              <w:spacing w:after="0" w:line="276" w:lineRule="auto"/>
              <w:jc w:val="left"/>
              <w:textAlignment w:val="auto"/>
            </w:pPr>
            <w:r>
              <w:rPr>
                <w:rFonts w:ascii="楷体" w:eastAsia="楷体-简" w:hAnsi="楷体" w:cs="楷体-简"/>
                <w:sz w:val="24"/>
              </w:rPr>
              <w:t>根据中国人民银行的统计数据显示2023年三季度末，金融机构人民币各项贷款余额234.59万亿元，同比增长10.9%，前三季度人民币贷款增加19.75万亿元，同比多增1.67万亿元，可以看出我国对于贷款需求的活跃程度显著增加。随着金融科技的快速发展和互联网金融的普及，信用贷款业务也越来越受到追捧，信用贷款业务因其具有客观的收益使得银行和金融机构的放款意愿增加。</w:t>
            </w:r>
          </w:p>
          <w:p>
            <w:pPr>
              <w:spacing w:after="0" w:line="276" w:lineRule="auto"/>
              <w:jc w:val="left"/>
              <w:textAlignment w:val="auto"/>
            </w:pPr>
          </w:p>
          <w:p>
            <w:pPr>
              <w:spacing w:after="0" w:line="276" w:lineRule="auto"/>
              <w:jc w:val="left"/>
              <w:textAlignment w:val="auto"/>
            </w:pPr>
            <w:r>
              <w:rPr>
                <w:rFonts w:ascii="楷体" w:eastAsia="楷体-简" w:hAnsi="楷体" w:cs="楷体-简"/>
                <w:sz w:val="24"/>
              </w:rPr>
              <w:t>中央有关部委也提出要深入研究金融健康问题,推进普惠金融高质量发展。人民银行2023年2月10日召开金融市场工作会议指出要及时分析研判经济金融运行苗头性趋势性变化，有力支持实体经济高质量发展，积极防控金融市场重点领域风险，统筹推进金融市场运行机制建设和改革发展稳定，保障金融基础设施高效稳健运行，为全面建设社会主义现代化国家开好局起好步提供有力有效的金融支持。[1]随着网贷新规等政策的出台,消费金融市场的规范性也逐步增强,消费金融公司也开始向利用大数据等金融科技技术,为消费者提供更好的金融产品与服务的公司进行转变。</w:t>
            </w:r>
          </w:p>
          <w:p>
            <w:pPr>
              <w:spacing w:after="0" w:line="276" w:lineRule="auto"/>
              <w:jc w:val="left"/>
              <w:textAlignment w:val="auto"/>
            </w:pPr>
          </w:p>
          <w:p>
            <w:pPr>
              <w:spacing w:after="0" w:line="276" w:lineRule="auto"/>
              <w:jc w:val="left"/>
              <w:textAlignment w:val="auto"/>
            </w:pPr>
            <w:r>
              <w:rPr>
                <w:rFonts w:ascii="楷体" w:eastAsia="楷体-简" w:hAnsi="楷体" w:cs="楷体-简"/>
                <w:sz w:val="24"/>
              </w:rPr>
              <w:t>但贷款风险的存在令金融机构和借贷双方都面临着潜在的不确定性和损失风险。因此如何提高银行和金融机构抵御信用风险的能力成为了目前研究的热点。传统的统计分析方法和理论分析方法已经无法满足日益增长的信贷风险预测业务需求,也无法保证预测质量。基于数据挖掘的借款人贷款决策影响因素及风险评估是以借款消费者的借款登记和历史行为信息作为判断依据，对借贷人能否履行财务承诺或还款承诺的提前预测工作。了解借款人贷款决策的影响因素以及如何评估风险，精准识别出潜在违约用户并降低商业银行的不良贷款率，通过数据挖掘技术从海量个人信贷数据中智能化识别违约客户，能够高效地为金融机构提供预警信息，对提高贷款市场的稳和借贷效率至关重要。</w:t>
            </w:r>
          </w:p>
          <w:p>
            <w:pPr>
              <w:spacing w:after="0" w:line="276" w:lineRule="auto"/>
              <w:jc w:val="left"/>
              <w:textAlignment w:val="auto"/>
            </w:pPr>
          </w:p>
          <w:p>
            <w:pPr>
              <w:spacing w:after="0" w:line="276" w:lineRule="auto"/>
              <w:jc w:val="left"/>
              <w:textAlignment w:val="auto"/>
            </w:pPr>
          </w:p>
          <w:p>
            <w:pPr>
              <w:spacing w:after="0" w:line="276" w:lineRule="auto"/>
              <w:jc w:val="left"/>
              <w:textAlignment w:val="auto"/>
            </w:pPr>
            <w:r>
              <w:rPr>
                <w:rFonts w:ascii="楷体" w:eastAsia="楷体-简" w:hAnsi="楷体" w:cs="楷体-简"/>
                <w:sz w:val="24"/>
              </w:rPr>
              <w:t xml:space="preserve">1.2研究目的 </w:t>
            </w:r>
          </w:p>
          <w:p>
            <w:pPr>
              <w:spacing w:after="0" w:line="276" w:lineRule="auto"/>
              <w:jc w:val="left"/>
              <w:textAlignment w:val="auto"/>
            </w:pPr>
          </w:p>
          <w:p>
            <w:pPr>
              <w:spacing w:after="0" w:line="276" w:lineRule="auto"/>
              <w:jc w:val="left"/>
              <w:textAlignment w:val="auto"/>
            </w:pPr>
            <w:r>
              <w:rPr>
                <w:rFonts w:ascii="楷体" w:eastAsia="楷体-简" w:hAnsi="楷体" w:cs="楷体-简"/>
                <w:sz w:val="24"/>
              </w:rPr>
              <w:t>降低信息不对称造成的逆向选择和道德风险。对借款人进行预筛选、信用评分等是贷款必须要做的前期工作。随着用户贷款信息的海量增加,如何有效且快速地预测用户违约风险和评估用户信用等级,是当前网络贷款领域面临的一个重要而紧迫的问题。故对借款人进行风险评估，是互联网到金融科技时代发展，以及市场借贷稳健运营需要关注的重点。</w:t>
            </w:r>
          </w:p>
          <w:p>
            <w:pPr>
              <w:spacing w:after="0" w:line="276" w:lineRule="auto"/>
              <w:jc w:val="left"/>
              <w:textAlignment w:val="auto"/>
            </w:pPr>
          </w:p>
          <w:p>
            <w:pPr>
              <w:spacing w:after="0" w:line="276" w:lineRule="auto"/>
              <w:jc w:val="left"/>
              <w:textAlignment w:val="auto"/>
            </w:pPr>
            <w:r>
              <w:rPr>
                <w:rFonts w:ascii="楷体" w:eastAsia="楷体-简" w:hAnsi="楷体" w:cs="楷体-简"/>
                <w:sz w:val="24"/>
              </w:rPr>
              <w:t>帮助机构或平台贷款准确决策。传统的贷款决策主要依赖于借款人的信用报告和少量的财务信息，但是这些信息无法全面反映借款人的真实情况。本研究意在基于借款人的个人历史信息：个人职位名称，请求类别，信用额度，额度开通时间，按揭账户数目，破产记录数量等等对贷款人进行风险评估。有助于银行和其他金融机构能做出更明智的贷款决策，降低坏账风险；定量表示借款人的特征与偿还能力之间的关系，为贷款机构提供更科学的风险评估模型，降低不必要的损失和风险。降低违约风险，提高盈利能力。</w:t>
            </w:r>
          </w:p>
          <w:p>
            <w:pPr>
              <w:spacing w:after="0" w:line="276" w:lineRule="auto"/>
              <w:jc w:val="left"/>
              <w:textAlignment w:val="auto"/>
            </w:pPr>
          </w:p>
          <w:p>
            <w:pPr>
              <w:spacing w:after="0" w:line="276" w:lineRule="auto"/>
              <w:jc w:val="left"/>
              <w:textAlignment w:val="auto"/>
            </w:pPr>
            <w:r>
              <w:rPr>
                <w:rFonts w:ascii="楷体" w:eastAsia="楷体-简" w:hAnsi="楷体" w:cs="楷体-简"/>
                <w:sz w:val="24"/>
              </w:rPr>
              <w:t>帮助个性化贷款产品开发。数据挖掘一类的基于大样本的评估和预测方法可以揭示借款人的个性化需求和偏好，帮助银行或金融机构构建借款人群的用户特征和画像，推出更加贴合借款人需求的个性化贷款产品。通过了解借款人的个人信息、消费行为等信息，可以针对性为借款人提供更加灵活、定制化的贷款服务，提高客户满意度和忠诚度。</w:t>
            </w:r>
          </w:p>
          <w:p>
            <w:pPr>
              <w:spacing w:after="0" w:line="276" w:lineRule="auto"/>
              <w:jc w:val="left"/>
              <w:textAlignment w:val="auto"/>
            </w:pPr>
          </w:p>
          <w:p>
            <w:pPr>
              <w:spacing w:after="0" w:line="276" w:lineRule="auto"/>
              <w:jc w:val="left"/>
              <w:textAlignment w:val="auto"/>
            </w:pPr>
            <w:r>
              <w:rPr>
                <w:rFonts w:ascii="楷体" w:eastAsia="楷体-简" w:hAnsi="楷体" w:cs="楷体-简"/>
                <w:sz w:val="24"/>
              </w:rPr>
              <w:t>优化贷款进度流程。传统的贷款流程通常需要借款人提供个人信息以及历史数据，流程繁琐且耗时。基于数据挖掘的贷款决策可以更加智能化的方式筛选出更有效的信息，排除相关度低的其他干扰信息，减少后台的借款人风险评估计算量，实现贷款流程速度的优化，提高贷款审批的效率和速度。</w:t>
            </w:r>
          </w:p>
          <w:p>
            <w:pPr>
              <w:spacing w:after="0" w:line="276" w:lineRule="auto"/>
              <w:jc w:val="left"/>
              <w:textAlignment w:val="auto"/>
            </w:pPr>
          </w:p>
          <w:p>
            <w:pPr>
              <w:spacing w:after="0" w:line="276" w:lineRule="auto"/>
              <w:jc w:val="left"/>
              <w:textAlignment w:val="auto"/>
            </w:pPr>
            <w:r>
              <w:rPr>
                <w:rFonts w:ascii="楷体" w:eastAsia="楷体-简" w:hAnsi="楷体" w:cs="楷体-简"/>
                <w:sz w:val="24"/>
              </w:rPr>
              <w:t>预警还款计划和稳定金融市场。借款人根据自己的风险等级和画像特征可以预测自己是否有能力如期偿还贷款，有助于还款人提前做好还款规划，避免逾期或违约情况的发生，保护个人信用记录。另外本研究还可以为金融行业提供参考，推动贷款风险管理和信用评估的发展，促进金融市场的稳定和健康发展。</w:t>
            </w:r>
          </w:p>
          <w:p>
            <w:pPr>
              <w:spacing w:after="0" w:line="276" w:lineRule="auto"/>
              <w:jc w:val="left"/>
              <w:textAlignment w:val="auto"/>
            </w:pPr>
          </w:p>
          <w:p>
            <w:pPr>
              <w:spacing w:after="0" w:line="276" w:lineRule="auto"/>
              <w:jc w:val="left"/>
              <w:textAlignment w:val="auto"/>
            </w:pPr>
            <w:r>
              <w:rPr>
                <w:rFonts w:ascii="楷体" w:eastAsia="楷体-简" w:hAnsi="楷体" w:cs="楷体-简"/>
                <w:sz w:val="24"/>
              </w:rPr>
              <w:t>本研究旨在利用开源数据集或某个借贷交易平台的用户贷款申请数据，运用数据挖掘技术，探索借款人贷款决策的影响因素，并构建一个风险评估模型。通过建立基于该数据集的风险预测模型，分析借款人的特征与其偿还能力之间的关系。这样的模型可以帮助贷款金融机构根据借款人的历史数据和贷款注册信息预测其是否会偿还贷款，为贷款机构制定更准确的风险评估模型提供依据。此外，该研究还旨在帮助借款人了解贷款决策的关键因素，从而更好地规划自身的贷款行为，提高借款成功率和还款能力。</w:t>
            </w:r>
          </w:p>
        </w:tc>
      </w:tr>
      <w:tr>
        <w:tblPrEx>
          <w:tblW w:w="0" w:type="auto"/>
          <w:tblInd w:w="0" w:type="dxa"/>
          <w:tblLayout w:type="fixed"/>
          <w:tblCellMar>
            <w:top w:w="0" w:type="dxa"/>
            <w:left w:w="108" w:type="dxa"/>
            <w:bottom w:w="0" w:type="dxa"/>
            <w:right w:w="108" w:type="dxa"/>
          </w:tblCellMar>
        </w:tblPrEx>
        <w:trPr>
          <w:trHeight w:hRule="auto" w:val="0"/>
        </w:trPr>
        <w:tc>
          <w:tcPr>
            <w:tcW w:w="9570" w:type="dxa"/>
            <w:shd w:val="clear" w:color="auto" w:fill="auto"/>
            <w:vAlign w:val="top"/>
          </w:tcPr>
          <w:p>
            <w:pPr>
              <w:numPr>
                <w:ilvl w:val="0"/>
                <w:numId w:val="1"/>
              </w:numPr>
              <w:spacing w:after="0" w:line="276" w:lineRule="auto"/>
              <w:ind w:right="420"/>
              <w:rPr>
                <w:rFonts w:ascii="宋体" w:hAnsi="宋体"/>
                <w:sz w:val="24"/>
              </w:rPr>
            </w:pPr>
            <w:r>
              <w:rPr>
                <w:rFonts w:ascii="宋体" w:hAnsi="宋体" w:hint="eastAsia"/>
                <w:sz w:val="24"/>
              </w:rPr>
              <w:t>本选题国内外研究状况综述</w:t>
            </w:r>
          </w:p>
          <w:p>
            <w:pPr>
              <w:spacing w:after="0" w:line="276" w:lineRule="auto"/>
              <w:ind w:right="420"/>
              <w:rPr>
                <w:rFonts w:ascii="宋体" w:hAnsi="宋体"/>
                <w:sz w:val="24"/>
              </w:rPr>
            </w:pPr>
            <w:r>
              <w:rPr>
                <w:rFonts w:ascii="楷体" w:eastAsia="楷体-简" w:hAnsi="楷体" w:cs="楷体-简" w:hint="eastAsia"/>
                <w:sz w:val="24"/>
              </w:rPr>
              <w:t>2.1国内研究现状</w:t>
            </w:r>
          </w:p>
          <w:p>
            <w:pPr>
              <w:spacing w:after="0" w:line="276" w:lineRule="auto"/>
              <w:jc w:val="left"/>
              <w:textAlignment w:val="auto"/>
            </w:pPr>
            <w:r>
              <w:rPr>
                <w:rFonts w:ascii="楷体" w:eastAsia="楷体-简" w:hAnsi="楷体" w:cs="楷体-简" w:hint="eastAsia"/>
                <w:sz w:val="24"/>
              </w:rPr>
              <w:t>网络借贷行为研究方面。苏亚，成春林（2017）认为在对网贷借款人违约行为的影响分析中应多维综合考虑借款人的“软信息”和“硬信息”。于晓虹等（2016）研究发现网贷借款人历史违约期数、单位性质、住房条件、婚姻状况以及年龄等指标对贷后违约依次存在递减效应。沈永健（2022）在客户数据的统计分析和业务材料收集的基础上,发现研究对象在客户准入、贷款资金用途跟踪和贷款违约催收等环节存在问题,大数据应用存在明显不足。赵志红等（2021）将采集的信贷欺诈数据作为风险预测模型的数据支持，定义信贷欺诈风险产生的信号频谱建立风险信息函数。李羿霖（2022）研究了首次违约事件给投资者学习行为带来的净影响。戴杨文意（2021）采用抽样调查的方式通过自填问卷法考察大学生网贷行为的现状及其影响因素。</w:t>
            </w:r>
          </w:p>
          <w:p>
            <w:pPr>
              <w:spacing w:after="0" w:line="276" w:lineRule="auto"/>
              <w:jc w:val="left"/>
              <w:textAlignment w:val="auto"/>
            </w:pPr>
            <w:r>
              <w:rPr>
                <w:rFonts w:ascii="楷体" w:eastAsia="楷体-简" w:hAnsi="楷体" w:cs="楷体-简" w:hint="eastAsia"/>
                <w:sz w:val="24"/>
              </w:rPr>
              <w:t>机器学习风险评估和预测方法选择上，沈玉溪，徐浩（2018）运用Lending Club2017年第一季度的交易数据通过决策树模型对借款人的违约风险特征的重要性进行分析。谭中明，谢坤，彭耀鹏（2018）利用Logistic回归方程式的方法筛选变量建立梯度提升决策树模型来对借款人的信用风险进行评测。霍江林（2016）等运用神经网络模型测度P2P借款人信用风险, 吴利娟，孟泽远（2023）的研究表明该模型具备较优的评测效果。结果表明，BP神经网络可以很好地对银行机构绿色信贷风险进行预测。张宇幸（2023）通过主成分分析法构建指标体系,分别使用Logistic模型、决策树模型、KNN模型来进行对比分析,结果表明KNN模型分类效果最佳。</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2.2国外研究现状</w:t>
            </w:r>
          </w:p>
          <w:p>
            <w:pPr>
              <w:spacing w:after="0" w:line="276" w:lineRule="auto"/>
              <w:jc w:val="left"/>
              <w:textAlignment w:val="auto"/>
            </w:pPr>
            <w:r>
              <w:rPr>
                <w:rFonts w:ascii="楷体" w:eastAsia="楷体-简" w:hAnsi="楷体" w:cs="楷体-简" w:hint="eastAsia"/>
                <w:sz w:val="24"/>
              </w:rPr>
              <w:t>网络借贷行为研究方面。Herzenstein（2011）等指出信用状况以及背景特征等指标反映的是网贷主体偿付资金的效力, 因而会影响到其还贷行为。Lim M（2009）等研究了社交资本对网贷借款人贷后行为的影响。Collier（2010）指出借款金额、财务状况以及竞拍方式等指标对网贷违约影响显著。</w:t>
            </w:r>
          </w:p>
          <w:p>
            <w:pPr>
              <w:spacing w:after="0" w:line="276" w:lineRule="auto"/>
              <w:jc w:val="left"/>
              <w:textAlignment w:val="auto"/>
            </w:pPr>
            <w:r>
              <w:rPr>
                <w:rFonts w:ascii="楷体" w:eastAsia="楷体-简" w:hAnsi="楷体" w:cs="楷体-简" w:hint="eastAsia"/>
                <w:sz w:val="24"/>
              </w:rPr>
              <w:t>机器学习风险评估和预测方法选择上，由Xue等（2020）于2020年提出的麻雀算法（sparrow search algorithm,SSA）是一种新型群智能优化算法，表现出了较高的寻找最优解能力。PRISCILLA C V提出的极端梯度提升（extreme gradient boosting,XGBoost）算法被广泛应用于该领域并取得了较好的效果。常规的XGBoost集成模型具有参数过多，计算复杂等特点，因此优化模型参数具有重要的意义。</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 xml:space="preserve">2.3研究现状述评 </w:t>
            </w:r>
          </w:p>
          <w:p>
            <w:pPr>
              <w:spacing w:after="0" w:line="276" w:lineRule="auto"/>
              <w:jc w:val="left"/>
              <w:textAlignment w:val="auto"/>
            </w:pPr>
            <w:r>
              <w:rPr>
                <w:rFonts w:ascii="楷体" w:eastAsia="楷体-简" w:hAnsi="楷体" w:cs="楷体-简" w:hint="eastAsia"/>
                <w:sz w:val="24"/>
              </w:rPr>
              <w:t>学者们对网络贷款风险研究多基于单向和消费者个人信息影响因素探究，往往易忽略现实中多方面因素的影响。数据的选取上，多用于传统的问卷与业务材料收集信息进行分析，基于互联网背景的贷款人大样本分析较少。在网贷信用风险评测模型层面, 定性与定量相结合以及契合风险评估的多类型复杂系统建模方法被广泛应用到违约风险评估领域，多种机器学习的方法被用于风险预测是目前的发展趋势，但在金融科技发展背景下基于大数据挖掘的消费者信贷风险预测研究仍存在明显不足。根据“贷款风险预测”关键词检索可知大部分的学者对这类风险的识别与预测研究集中在P2P市场，且经调研了解后发现P2P网贷市场的准入门槛较低，样本庞大易获取，有助于进行贷款产品的战略研究。因此本文综合借款人的基础历史信息与借款信息，结合文本类数据与时间序列数据进行风险建模，讨论借款人的用户特征与分类。</w:t>
            </w:r>
          </w:p>
          <w:p>
            <w:pPr>
              <w:spacing w:after="0" w:line="276" w:lineRule="auto"/>
              <w:jc w:val="left"/>
              <w:textAlignment w:val="auto"/>
            </w:pPr>
          </w:p>
        </w:tc>
      </w:tr>
    </w:tbl>
    <w:p>
      <w:pPr>
        <w:numPr>
          <w:ilvl w:val="0"/>
          <w:numId w:val="1"/>
        </w:numPr>
        <w:spacing w:after="0" w:line="276" w:lineRule="auto"/>
        <w:ind w:right="420"/>
        <w:rPr>
          <w:rFonts w:ascii="宋体" w:hAnsi="宋体"/>
          <w:sz w:val="24"/>
        </w:rPr>
        <w:sectPr>
          <w:headerReference w:type="even" r:id="rId7"/>
          <w:headerReference w:type="default" r:id="rId8"/>
          <w:footerReference w:type="default" r:id="rId9"/>
          <w:headerReference w:type="first" r:id="rId10"/>
          <w:pgSz w:w="11906" w:h="16838"/>
          <w:pgMar w:top="1701" w:right="1134" w:bottom="1418" w:left="1418" w:header="851" w:footer="992"/>
          <w:pgNumType w:fmt="numberInDash" w:start="27" w:chapSep="hyphen"/>
          <w:cols w:num="1" w:space="425"/>
          <w:docGrid w:type="linesAndChars" w:linePitch="312" w:charSpace="0"/>
        </w:sectPr>
      </w:pP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7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hRule="auto" w:val="0"/>
        </w:trPr>
        <w:tc>
          <w:tcPr>
            <w:tcW w:w="9570" w:type="dxa"/>
            <w:shd w:val="clear" w:color="auto" w:fill="auto"/>
            <w:vAlign w:val="top"/>
          </w:tcPr>
          <w:p>
            <w:pPr>
              <w:numPr>
                <w:ilvl w:val="0"/>
                <w:numId w:val="1"/>
              </w:numPr>
              <w:spacing w:after="0" w:line="276" w:lineRule="auto"/>
              <w:ind w:right="420"/>
              <w:rPr>
                <w:rFonts w:ascii="宋体" w:hAnsi="宋体"/>
                <w:sz w:val="24"/>
              </w:rPr>
            </w:pPr>
            <w:r>
              <w:rPr>
                <w:rFonts w:ascii="宋体" w:hAnsi="宋体" w:hint="eastAsia"/>
                <w:sz w:val="24"/>
              </w:rPr>
              <w:t>本选题研究的主要内容及写作提纲</w:t>
            </w:r>
          </w:p>
          <w:p>
            <w:pPr>
              <w:spacing w:after="0" w:line="276" w:lineRule="auto"/>
              <w:ind w:right="420"/>
              <w:rPr>
                <w:rFonts w:ascii="宋体" w:hAnsi="宋体"/>
                <w:sz w:val="24"/>
              </w:rPr>
            </w:pPr>
            <w:r>
              <w:rPr>
                <w:rFonts w:ascii="楷体" w:eastAsia="楷体-简" w:hAnsi="楷体" w:cs="楷体-简" w:hint="eastAsia"/>
                <w:sz w:val="24"/>
              </w:rPr>
              <w:t>主要内容</w:t>
            </w:r>
          </w:p>
          <w:p>
            <w:pPr>
              <w:spacing w:after="0" w:line="276" w:lineRule="auto"/>
              <w:jc w:val="left"/>
              <w:textAlignment w:val="auto"/>
            </w:pPr>
            <w:r>
              <w:rPr>
                <w:rFonts w:ascii="楷体" w:eastAsia="楷体-简" w:hAnsi="楷体" w:cs="楷体-简" w:hint="eastAsia"/>
                <w:sz w:val="24"/>
              </w:rPr>
              <w:t>1) 研究背景和意义：金融科技的发展，道德风险下机构对借款人风险评估的价值和意义；数据挖掘在贷款决策和风险评估中的应用背景和意义；</w:t>
            </w:r>
          </w:p>
          <w:p>
            <w:pPr>
              <w:spacing w:after="0" w:line="276" w:lineRule="auto"/>
              <w:jc w:val="left"/>
              <w:textAlignment w:val="auto"/>
            </w:pPr>
            <w:r>
              <w:rPr>
                <w:rFonts w:ascii="楷体" w:eastAsia="楷体-简" w:hAnsi="楷体" w:cs="楷体-简" w:hint="eastAsia"/>
                <w:sz w:val="24"/>
              </w:rPr>
              <w:t>2) 相关理论和方法：综述数据挖掘在贷款决策和风险评估中常用的理论和方法，包括特征选择、分类算法、聚类分析等。</w:t>
            </w:r>
          </w:p>
          <w:p>
            <w:pPr>
              <w:spacing w:after="0" w:line="276" w:lineRule="auto"/>
              <w:jc w:val="left"/>
              <w:textAlignment w:val="auto"/>
            </w:pPr>
            <w:r>
              <w:rPr>
                <w:rFonts w:ascii="楷体" w:eastAsia="楷体-简" w:hAnsi="楷体" w:cs="楷体-简" w:hint="eastAsia"/>
                <w:sz w:val="24"/>
              </w:rPr>
              <w:t>3) 数据收集和预处理：介绍数据来源，全球 P2P 市场是一个巨量市场，主要覆盖个人消费贷款和中小企业贷款。lending club是全球最大的个人对个人(p2p)借贷平台，是第一家向美国证券交易委员会(SEC)注册其证券产品并在二级市场提供贷款交易的p2p贷款机构，它的贷款用户数据对于研究互联网借贷贷款人的风险评估有重要参考价值。并对数据进行预处理，包括数据清洗、数据集成、数据变换等步骤。</w:t>
            </w:r>
          </w:p>
          <w:p>
            <w:pPr>
              <w:spacing w:after="0" w:line="276" w:lineRule="auto"/>
              <w:jc w:val="left"/>
              <w:textAlignment w:val="auto"/>
            </w:pPr>
            <w:r>
              <w:rPr>
                <w:rFonts w:ascii="楷体" w:eastAsia="楷体-简" w:hAnsi="楷体" w:cs="楷体-简" w:hint="eastAsia"/>
                <w:sz w:val="24"/>
              </w:rPr>
              <w:t>4) 特征选择和构建：使用特征选择方法，从借款人的各项数据中选择出对贷款决策和风险评估有影响的特征，并构建特征向量。</w:t>
            </w:r>
          </w:p>
          <w:p>
            <w:pPr>
              <w:spacing w:after="0" w:line="276" w:lineRule="auto"/>
              <w:jc w:val="left"/>
              <w:textAlignment w:val="auto"/>
            </w:pPr>
            <w:r>
              <w:rPr>
                <w:rFonts w:ascii="楷体" w:eastAsia="楷体-简" w:hAnsi="楷体" w:cs="楷体-简" w:hint="eastAsia"/>
                <w:sz w:val="24"/>
              </w:rPr>
              <w:t>5) 模型建立和评估：选择合适的分类算法或聚类分析方法，建立贷款决策模型或风险评估模型，并对模型进行评估。基于所得出的影响因素，建立贷款风险评估模型，例如使用机器学习算法如决策树、随机森林等，预测借款人的还款能力和偿还风险。</w:t>
            </w:r>
          </w:p>
          <w:p>
            <w:pPr>
              <w:spacing w:after="0" w:line="276" w:lineRule="auto"/>
              <w:jc w:val="left"/>
              <w:textAlignment w:val="auto"/>
            </w:pPr>
            <w:r>
              <w:rPr>
                <w:rFonts w:ascii="楷体" w:eastAsia="楷体-简" w:hAnsi="楷体" w:cs="楷体-简" w:hint="eastAsia"/>
                <w:sz w:val="24"/>
              </w:rPr>
              <w:t>6) 结果分析和讨论：分析模型的结果，探讨借款人贷款决策的影响因素和风险评估的准确性。根据选取的模型和误差分析得到的准确率、召回率、精确率等指标，验证所建立的模型在真实数据集上的有效性，根据数据结果和现有资料参考，并探讨研究结果对金融机构风险管理和信贷政策的指导意义。</w:t>
            </w:r>
          </w:p>
          <w:p>
            <w:pPr>
              <w:spacing w:after="0" w:line="276" w:lineRule="auto"/>
              <w:jc w:val="left"/>
              <w:textAlignment w:val="auto"/>
            </w:pPr>
            <w:r>
              <w:rPr>
                <w:rFonts w:ascii="楷体" w:eastAsia="楷体-简" w:hAnsi="楷体" w:cs="楷体-简" w:hint="eastAsia"/>
                <w:sz w:val="24"/>
              </w:rPr>
              <w:t>7) 研究局限和展望：总结研究的局限性，并提出未来进一步研究的展望，包括改进模型、扩大样本规模等。</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写作提纲：</w:t>
            </w:r>
          </w:p>
          <w:p>
            <w:pPr>
              <w:spacing w:after="0" w:line="276" w:lineRule="auto"/>
              <w:jc w:val="left"/>
              <w:textAlignment w:val="auto"/>
            </w:pPr>
            <w:r>
              <w:rPr>
                <w:rFonts w:ascii="楷体" w:eastAsia="楷体-简" w:hAnsi="楷体" w:cs="楷体-简" w:hint="eastAsia"/>
                <w:sz w:val="24"/>
              </w:rPr>
              <w:t>一、 引言</w:t>
            </w:r>
          </w:p>
          <w:p>
            <w:pPr>
              <w:spacing w:after="0" w:line="276" w:lineRule="auto"/>
              <w:jc w:val="left"/>
              <w:textAlignment w:val="auto"/>
            </w:pPr>
            <w:r>
              <w:rPr>
                <w:rFonts w:ascii="楷体" w:eastAsia="楷体-简" w:hAnsi="楷体" w:cs="楷体-简" w:hint="eastAsia"/>
                <w:sz w:val="24"/>
              </w:rPr>
              <w:t>1) 研究背景和意义</w:t>
            </w:r>
          </w:p>
          <w:p>
            <w:pPr>
              <w:spacing w:after="0" w:line="276" w:lineRule="auto"/>
              <w:jc w:val="left"/>
              <w:textAlignment w:val="auto"/>
            </w:pPr>
            <w:r>
              <w:rPr>
                <w:rFonts w:ascii="楷体" w:eastAsia="楷体-简" w:hAnsi="楷体" w:cs="楷体-简" w:hint="eastAsia"/>
                <w:sz w:val="24"/>
              </w:rPr>
              <w:t>2) 国内外综述</w:t>
            </w:r>
          </w:p>
          <w:p>
            <w:pPr>
              <w:spacing w:after="0" w:line="276" w:lineRule="auto"/>
              <w:jc w:val="left"/>
              <w:textAlignment w:val="auto"/>
            </w:pPr>
            <w:r>
              <w:rPr>
                <w:rFonts w:ascii="楷体" w:eastAsia="楷体-简" w:hAnsi="楷体" w:cs="楷体-简" w:hint="eastAsia"/>
                <w:sz w:val="24"/>
              </w:rPr>
              <w:t>3) 研究方法和数据来源</w:t>
            </w:r>
          </w:p>
          <w:p>
            <w:pPr>
              <w:spacing w:after="0" w:line="276" w:lineRule="auto"/>
              <w:jc w:val="left"/>
              <w:textAlignment w:val="auto"/>
            </w:pPr>
            <w:r>
              <w:rPr>
                <w:rFonts w:ascii="楷体" w:eastAsia="楷体-简" w:hAnsi="楷体" w:cs="楷体-简" w:hint="eastAsia"/>
                <w:sz w:val="24"/>
              </w:rPr>
              <w:t>二、 相关理论和方法</w:t>
            </w:r>
          </w:p>
          <w:p>
            <w:pPr>
              <w:spacing w:after="0" w:line="276" w:lineRule="auto"/>
              <w:jc w:val="left"/>
              <w:textAlignment w:val="auto"/>
            </w:pPr>
            <w:r>
              <w:rPr>
                <w:rFonts w:ascii="楷体" w:eastAsia="楷体-简" w:hAnsi="楷体" w:cs="楷体-简" w:hint="eastAsia"/>
                <w:sz w:val="24"/>
              </w:rPr>
              <w:t>1) 数据挖掘在贷款决策和风险评估中的应用概述</w:t>
            </w:r>
          </w:p>
          <w:p>
            <w:pPr>
              <w:spacing w:after="0" w:line="276" w:lineRule="auto"/>
              <w:jc w:val="left"/>
              <w:textAlignment w:val="auto"/>
            </w:pPr>
            <w:r>
              <w:rPr>
                <w:rFonts w:ascii="楷体" w:eastAsia="楷体-简" w:hAnsi="楷体" w:cs="楷体-简" w:hint="eastAsia"/>
                <w:sz w:val="24"/>
              </w:rPr>
              <w:t>2) 特征选择方法的介绍</w:t>
            </w:r>
          </w:p>
          <w:p>
            <w:pPr>
              <w:spacing w:after="0" w:line="276" w:lineRule="auto"/>
              <w:jc w:val="left"/>
              <w:textAlignment w:val="auto"/>
            </w:pPr>
            <w:r>
              <w:rPr>
                <w:rFonts w:ascii="楷体" w:eastAsia="楷体-简" w:hAnsi="楷体" w:cs="楷体-简" w:hint="eastAsia"/>
                <w:sz w:val="24"/>
              </w:rPr>
              <w:t>3) 分类算法和聚类分析方法的介绍</w:t>
            </w:r>
          </w:p>
          <w:p>
            <w:pPr>
              <w:spacing w:after="0" w:line="276" w:lineRule="auto"/>
              <w:jc w:val="left"/>
              <w:textAlignment w:val="auto"/>
            </w:pPr>
            <w:r>
              <w:rPr>
                <w:rFonts w:ascii="楷体" w:eastAsia="楷体-简" w:hAnsi="楷体" w:cs="楷体-简" w:hint="eastAsia"/>
                <w:sz w:val="24"/>
              </w:rPr>
              <w:t>三、 数据处理与分析</w:t>
            </w:r>
          </w:p>
          <w:p>
            <w:pPr>
              <w:spacing w:after="0" w:line="276" w:lineRule="auto"/>
              <w:jc w:val="left"/>
              <w:textAlignment w:val="auto"/>
            </w:pPr>
            <w:r>
              <w:rPr>
                <w:rFonts w:ascii="楷体" w:eastAsia="楷体-简" w:hAnsi="楷体" w:cs="楷体-简" w:hint="eastAsia"/>
                <w:sz w:val="24"/>
              </w:rPr>
              <w:t>(一) 数据收集和预处理</w:t>
            </w:r>
          </w:p>
          <w:p>
            <w:pPr>
              <w:spacing w:after="0" w:line="276" w:lineRule="auto"/>
              <w:jc w:val="left"/>
              <w:textAlignment w:val="auto"/>
            </w:pPr>
            <w:r>
              <w:rPr>
                <w:rFonts w:ascii="楷体" w:eastAsia="楷体-简" w:hAnsi="楷体" w:cs="楷体-简" w:hint="eastAsia"/>
                <w:sz w:val="24"/>
              </w:rPr>
              <w:t>1) 数据准备（来源获取方式、预处理填充）</w:t>
            </w:r>
          </w:p>
          <w:p>
            <w:pPr>
              <w:spacing w:after="0" w:line="276" w:lineRule="auto"/>
              <w:jc w:val="left"/>
              <w:textAlignment w:val="auto"/>
            </w:pPr>
            <w:r>
              <w:rPr>
                <w:rFonts w:ascii="楷体" w:eastAsia="楷体-简" w:hAnsi="楷体" w:cs="楷体-简" w:hint="eastAsia"/>
                <w:sz w:val="24"/>
              </w:rPr>
              <w:t>2) 数据的集成和变换处理</w:t>
            </w:r>
          </w:p>
          <w:p>
            <w:pPr>
              <w:spacing w:after="0" w:line="276" w:lineRule="auto"/>
              <w:jc w:val="left"/>
              <w:textAlignment w:val="auto"/>
            </w:pPr>
            <w:r>
              <w:rPr>
                <w:rFonts w:ascii="楷体" w:eastAsia="楷体-简" w:hAnsi="楷体" w:cs="楷体-简" w:hint="eastAsia"/>
                <w:sz w:val="24"/>
              </w:rPr>
              <w:t>(二) 特征选择和构建</w:t>
            </w:r>
          </w:p>
          <w:p>
            <w:pPr>
              <w:spacing w:after="0" w:line="276" w:lineRule="auto"/>
              <w:jc w:val="left"/>
              <w:textAlignment w:val="auto"/>
            </w:pPr>
            <w:r>
              <w:rPr>
                <w:rFonts w:ascii="楷体" w:eastAsia="楷体-简" w:hAnsi="楷体" w:cs="楷体-简" w:hint="eastAsia"/>
                <w:sz w:val="24"/>
              </w:rPr>
              <w:t>1) 特征选择方法的选择和介绍</w:t>
            </w:r>
          </w:p>
          <w:p>
            <w:pPr>
              <w:spacing w:after="0" w:line="276" w:lineRule="auto"/>
              <w:jc w:val="left"/>
              <w:textAlignment w:val="auto"/>
            </w:pPr>
            <w:r>
              <w:rPr>
                <w:rFonts w:ascii="楷体" w:eastAsia="楷体-简" w:hAnsi="楷体" w:cs="楷体-简" w:hint="eastAsia"/>
                <w:sz w:val="24"/>
              </w:rPr>
              <w:t>2) 从借款人数据中选择对贷款决策和风险评估有影响的特征</w:t>
            </w:r>
          </w:p>
          <w:p>
            <w:pPr>
              <w:spacing w:after="0" w:line="276" w:lineRule="auto"/>
              <w:jc w:val="left"/>
              <w:textAlignment w:val="auto"/>
            </w:pPr>
            <w:r>
              <w:rPr>
                <w:rFonts w:ascii="楷体" w:eastAsia="楷体-简" w:hAnsi="楷体" w:cs="楷体-简" w:hint="eastAsia"/>
                <w:sz w:val="24"/>
              </w:rPr>
              <w:t>3) 构建特征向量</w:t>
            </w:r>
          </w:p>
          <w:p>
            <w:pPr>
              <w:spacing w:after="0" w:line="276" w:lineRule="auto"/>
              <w:jc w:val="left"/>
              <w:textAlignment w:val="auto"/>
            </w:pPr>
            <w:r>
              <w:rPr>
                <w:rFonts w:ascii="楷体" w:eastAsia="楷体-简" w:hAnsi="楷体" w:cs="楷体-简" w:hint="eastAsia"/>
                <w:sz w:val="24"/>
              </w:rPr>
              <w:t>四、 模型建立和评估</w:t>
            </w:r>
          </w:p>
          <w:p>
            <w:pPr>
              <w:spacing w:after="0" w:line="276" w:lineRule="auto"/>
              <w:jc w:val="left"/>
              <w:textAlignment w:val="auto"/>
            </w:pPr>
            <w:r>
              <w:rPr>
                <w:rFonts w:ascii="楷体" w:eastAsia="楷体-简" w:hAnsi="楷体" w:cs="楷体-简" w:hint="eastAsia"/>
                <w:sz w:val="24"/>
              </w:rPr>
              <w:t>1) 选择合适的分类算法或聚类分析方法</w:t>
            </w:r>
          </w:p>
          <w:p>
            <w:pPr>
              <w:spacing w:after="0" w:line="276" w:lineRule="auto"/>
              <w:jc w:val="left"/>
              <w:textAlignment w:val="auto"/>
            </w:pPr>
            <w:r>
              <w:rPr>
                <w:rFonts w:ascii="楷体" w:eastAsia="楷体-简" w:hAnsi="楷体" w:cs="楷体-简" w:hint="eastAsia"/>
                <w:sz w:val="24"/>
              </w:rPr>
              <w:t>2) 建立贷款决策模型或风险评估模型</w:t>
            </w:r>
          </w:p>
          <w:p>
            <w:pPr>
              <w:spacing w:after="0" w:line="276" w:lineRule="auto"/>
              <w:jc w:val="left"/>
              <w:textAlignment w:val="auto"/>
            </w:pPr>
            <w:r>
              <w:rPr>
                <w:rFonts w:ascii="楷体" w:eastAsia="楷体-简" w:hAnsi="楷体" w:cs="楷体-简" w:hint="eastAsia"/>
                <w:sz w:val="24"/>
              </w:rPr>
              <w:t>3) 对模型进行评估和验证</w:t>
            </w:r>
          </w:p>
          <w:p>
            <w:pPr>
              <w:spacing w:after="0" w:line="276" w:lineRule="auto"/>
              <w:jc w:val="left"/>
              <w:textAlignment w:val="auto"/>
            </w:pPr>
            <w:r>
              <w:rPr>
                <w:rFonts w:ascii="楷体" w:eastAsia="楷体-简" w:hAnsi="楷体" w:cs="楷体-简" w:hint="eastAsia"/>
                <w:sz w:val="24"/>
              </w:rPr>
              <w:t>五、 结果分析和讨论</w:t>
            </w:r>
          </w:p>
          <w:p>
            <w:pPr>
              <w:spacing w:after="0" w:line="276" w:lineRule="auto"/>
              <w:jc w:val="left"/>
              <w:textAlignment w:val="auto"/>
            </w:pPr>
            <w:r>
              <w:rPr>
                <w:rFonts w:ascii="楷体" w:eastAsia="楷体-简" w:hAnsi="楷体" w:cs="楷体-简" w:hint="eastAsia"/>
                <w:sz w:val="24"/>
              </w:rPr>
              <w:t>1) 分析模型的结果</w:t>
            </w:r>
          </w:p>
          <w:p>
            <w:pPr>
              <w:spacing w:after="0" w:line="276" w:lineRule="auto"/>
              <w:jc w:val="left"/>
              <w:textAlignment w:val="auto"/>
            </w:pPr>
            <w:r>
              <w:rPr>
                <w:rFonts w:ascii="楷体" w:eastAsia="楷体-简" w:hAnsi="楷体" w:cs="楷体-简" w:hint="eastAsia"/>
                <w:sz w:val="24"/>
              </w:rPr>
              <w:t>2) 讨论模型的有效性和可行性</w:t>
            </w:r>
          </w:p>
          <w:p>
            <w:pPr>
              <w:spacing w:after="0" w:line="276" w:lineRule="auto"/>
              <w:jc w:val="left"/>
              <w:textAlignment w:val="auto"/>
            </w:pPr>
            <w:r>
              <w:rPr>
                <w:rFonts w:ascii="楷体" w:eastAsia="楷体-简" w:hAnsi="楷体" w:cs="楷体-简" w:hint="eastAsia"/>
                <w:sz w:val="24"/>
              </w:rPr>
              <w:t>3) 探讨借款人贷款决策的影响因素和风险评估的准确性</w:t>
            </w:r>
          </w:p>
          <w:p>
            <w:pPr>
              <w:spacing w:after="0" w:line="276" w:lineRule="auto"/>
              <w:jc w:val="left"/>
              <w:textAlignment w:val="auto"/>
            </w:pPr>
            <w:r>
              <w:rPr>
                <w:rFonts w:ascii="楷体" w:eastAsia="楷体-简" w:hAnsi="楷体" w:cs="楷体-简" w:hint="eastAsia"/>
                <w:sz w:val="24"/>
              </w:rPr>
              <w:t>六、 研究局限和展望</w:t>
            </w:r>
          </w:p>
          <w:p>
            <w:pPr>
              <w:spacing w:after="0" w:line="276" w:lineRule="auto"/>
              <w:jc w:val="left"/>
              <w:textAlignment w:val="auto"/>
            </w:pPr>
            <w:r>
              <w:rPr>
                <w:rFonts w:ascii="楷体" w:eastAsia="楷体-简" w:hAnsi="楷体" w:cs="楷体-简" w:hint="eastAsia"/>
                <w:sz w:val="24"/>
              </w:rPr>
              <w:t>1) 总结研究的局限性（数据指标局限、样本大小局限、时间局限等等）</w:t>
            </w:r>
          </w:p>
          <w:p>
            <w:pPr>
              <w:spacing w:after="0" w:line="276" w:lineRule="auto"/>
              <w:jc w:val="left"/>
              <w:textAlignment w:val="auto"/>
            </w:pPr>
            <w:r>
              <w:rPr>
                <w:rFonts w:ascii="楷体" w:eastAsia="楷体-简" w:hAnsi="楷体" w:cs="楷体-简" w:hint="eastAsia"/>
                <w:sz w:val="24"/>
              </w:rPr>
              <w:t>2) 提出未来进一步研究的展望</w:t>
            </w:r>
          </w:p>
          <w:p>
            <w:pPr>
              <w:spacing w:after="0" w:line="276" w:lineRule="auto"/>
              <w:jc w:val="left"/>
              <w:textAlignment w:val="auto"/>
            </w:pPr>
            <w:r>
              <w:rPr>
                <w:rFonts w:ascii="楷体" w:eastAsia="楷体-简" w:hAnsi="楷体" w:cs="楷体-简" w:hint="eastAsia"/>
                <w:sz w:val="24"/>
              </w:rPr>
              <w:t>3) 改进模型、扩大样本规模等建议</w:t>
            </w:r>
          </w:p>
          <w:p>
            <w:pPr>
              <w:spacing w:after="0" w:line="276" w:lineRule="auto"/>
              <w:jc w:val="left"/>
              <w:textAlignment w:val="auto"/>
            </w:pPr>
          </w:p>
        </w:tc>
      </w:tr>
      <w:tr>
        <w:tblPrEx>
          <w:tblW w:w="0" w:type="auto"/>
          <w:tblInd w:w="0" w:type="dxa"/>
          <w:tblLayout w:type="fixed"/>
          <w:tblCellMar>
            <w:top w:w="0" w:type="dxa"/>
            <w:left w:w="108" w:type="dxa"/>
            <w:bottom w:w="0" w:type="dxa"/>
            <w:right w:w="108" w:type="dxa"/>
          </w:tblCellMar>
        </w:tblPrEx>
        <w:trPr>
          <w:trHeight w:hRule="auto" w:val="0"/>
        </w:trPr>
        <w:tc>
          <w:tcPr>
            <w:tcW w:w="9570" w:type="dxa"/>
            <w:shd w:val="clear" w:color="auto" w:fill="auto"/>
            <w:vAlign w:val="top"/>
          </w:tcPr>
          <w:p>
            <w:pPr>
              <w:numPr>
                <w:ilvl w:val="0"/>
                <w:numId w:val="1"/>
              </w:numPr>
              <w:spacing w:after="0" w:line="276" w:lineRule="auto"/>
              <w:ind w:right="420"/>
              <w:rPr>
                <w:rFonts w:ascii="宋体" w:hAnsi="宋体"/>
                <w:sz w:val="24"/>
              </w:rPr>
            </w:pPr>
            <w:r>
              <w:rPr>
                <w:rFonts w:ascii="宋体" w:hAnsi="宋体" w:hint="eastAsia"/>
                <w:sz w:val="24"/>
              </w:rPr>
              <w:t>主要参考文献</w:t>
            </w:r>
          </w:p>
          <w:p>
            <w:pPr>
              <w:spacing w:after="0" w:line="276" w:lineRule="auto"/>
              <w:ind w:right="420"/>
              <w:rPr>
                <w:rFonts w:ascii="宋体" w:hAnsi="宋体"/>
                <w:sz w:val="24"/>
              </w:rPr>
            </w:pPr>
            <w:r>
              <w:rPr>
                <w:rFonts w:ascii="楷体" w:eastAsia="楷体-简" w:hAnsi="楷体" w:cs="楷体-简" w:hint="eastAsia"/>
                <w:sz w:val="24"/>
              </w:rPr>
              <w:t>[1].</w:t>
              <w:tab/>
              <w:t>沈永健. C银行苏州分行个人信贷风险管理中的大数据应用研究[D].苏州大学,2022.DOI:10.27351/d.cnki.gszhu.2022.000610.</w:t>
            </w:r>
          </w:p>
          <w:p>
            <w:pPr>
              <w:spacing w:after="0" w:line="276" w:lineRule="auto"/>
              <w:jc w:val="left"/>
              <w:textAlignment w:val="auto"/>
            </w:pPr>
            <w:r>
              <w:rPr>
                <w:rFonts w:ascii="楷体" w:eastAsia="楷体-简" w:hAnsi="楷体" w:cs="楷体-简" w:hint="eastAsia"/>
                <w:sz w:val="24"/>
              </w:rPr>
              <w:t>[2].</w:t>
              <w:tab/>
              <w:t>陈盛邦. 基于深度学习的个贷信用风险预测研究[D].黑龙江大学,2023.DOI:10.27123/d.cnki.ghlju.2023.000391.</w:t>
            </w:r>
          </w:p>
          <w:p>
            <w:pPr>
              <w:spacing w:after="0" w:line="276" w:lineRule="auto"/>
              <w:jc w:val="left"/>
              <w:textAlignment w:val="auto"/>
            </w:pPr>
            <w:r>
              <w:rPr>
                <w:rFonts w:ascii="楷体" w:eastAsia="楷体-简" w:hAnsi="楷体" w:cs="楷体-简" w:hint="eastAsia"/>
                <w:sz w:val="24"/>
              </w:rPr>
              <w:t>[3].</w:t>
              <w:tab/>
              <w:t>吴利娟,孟泽远.基于BP神经网络的银行机构绿色信贷风险评价研究[J].时代经贸,2023,20(11):72-76.DOI:10.19463/j.cnki.sdjm.2023.11.013.</w:t>
            </w:r>
          </w:p>
          <w:p>
            <w:pPr>
              <w:spacing w:after="0" w:line="276" w:lineRule="auto"/>
              <w:jc w:val="left"/>
              <w:textAlignment w:val="auto"/>
            </w:pPr>
            <w:r>
              <w:rPr>
                <w:rFonts w:ascii="楷体" w:eastAsia="楷体-简" w:hAnsi="楷体" w:cs="楷体-简" w:hint="eastAsia"/>
                <w:sz w:val="24"/>
              </w:rPr>
              <w:t>[4].</w:t>
              <w:tab/>
              <w:t>张宇幸. L商业银行个人信贷风险预警与应对策略研究[D].山东财经大学,2023.DOI:10.27274/d.cnki.gsdjc.2023.001070.</w:t>
            </w:r>
          </w:p>
          <w:p>
            <w:pPr>
              <w:spacing w:after="0" w:line="276" w:lineRule="auto"/>
              <w:jc w:val="left"/>
              <w:textAlignment w:val="auto"/>
            </w:pPr>
            <w:r>
              <w:rPr>
                <w:rFonts w:ascii="楷体" w:eastAsia="楷体-简" w:hAnsi="楷体" w:cs="楷体-简" w:hint="eastAsia"/>
                <w:sz w:val="24"/>
              </w:rPr>
              <w:t>[5].</w:t>
              <w:tab/>
              <w:t xml:space="preserve">王雨萌. 基于多特征信息融合的网络借贷行为影响因素及预测研究[D].北京邮电大学,2022.DOI:10.26969/d.cnki.gbydu.2022.000986. </w:t>
            </w:r>
          </w:p>
          <w:p>
            <w:pPr>
              <w:spacing w:after="0" w:line="276" w:lineRule="auto"/>
              <w:jc w:val="left"/>
              <w:textAlignment w:val="auto"/>
            </w:pPr>
            <w:r>
              <w:rPr>
                <w:rFonts w:ascii="楷体" w:eastAsia="楷体-简" w:hAnsi="楷体" w:cs="楷体-简" w:hint="eastAsia"/>
                <w:sz w:val="24"/>
              </w:rPr>
              <w:t>[6].</w:t>
              <w:tab/>
              <w:t>刘帅祺. 商业银行互联网贷款信用风险评估及客户特征发现[D].北京科技大学,2023.DOI:10.26945/d.cnki.gbjku.2023.000344.</w:t>
            </w:r>
          </w:p>
          <w:p>
            <w:pPr>
              <w:spacing w:after="0" w:line="276" w:lineRule="auto"/>
              <w:jc w:val="left"/>
              <w:textAlignment w:val="auto"/>
            </w:pPr>
            <w:r>
              <w:rPr>
                <w:rFonts w:ascii="楷体" w:eastAsia="楷体-简" w:hAnsi="楷体" w:cs="楷体-简" w:hint="eastAsia"/>
                <w:sz w:val="24"/>
              </w:rPr>
              <w:t>[7].</w:t>
              <w:tab/>
              <w:t>王萧萧,王亭雯,马玉玲等.基于深度森林的P2P网贷借款人信用风险评估方法[J].计算机科学,2021,48(S2):429-434.</w:t>
            </w:r>
          </w:p>
          <w:p>
            <w:pPr>
              <w:spacing w:after="0" w:line="276" w:lineRule="auto"/>
              <w:jc w:val="left"/>
              <w:textAlignment w:val="auto"/>
            </w:pPr>
            <w:r>
              <w:rPr>
                <w:rFonts w:ascii="楷体" w:eastAsia="楷体-简" w:hAnsi="楷体" w:cs="楷体-简" w:hint="eastAsia"/>
                <w:sz w:val="24"/>
              </w:rPr>
              <w:t>[8].</w:t>
              <w:tab/>
              <w:t>徐紫秋. 网贷个人信用风险评估集成研究[D].安徽工业大学,2022.DOI:10.27790/d.cnki.gahgy.2022.000285.</w:t>
            </w:r>
          </w:p>
          <w:p>
            <w:pPr>
              <w:spacing w:after="0" w:line="276" w:lineRule="auto"/>
              <w:jc w:val="left"/>
              <w:textAlignment w:val="auto"/>
            </w:pPr>
            <w:r>
              <w:rPr>
                <w:rFonts w:ascii="楷体" w:eastAsia="楷体-简" w:hAnsi="楷体" w:cs="楷体-简" w:hint="eastAsia"/>
                <w:sz w:val="24"/>
              </w:rPr>
              <w:t>[9].</w:t>
              <w:tab/>
              <w:t>钟方强. P2P借贷平台风险预警研究[D].南昌大学,2022.DOI:10.27232/d.cnki.gnchu.2021.002232.</w:t>
            </w:r>
          </w:p>
          <w:p>
            <w:pPr>
              <w:spacing w:after="0" w:line="276" w:lineRule="auto"/>
              <w:jc w:val="left"/>
              <w:textAlignment w:val="auto"/>
            </w:pPr>
            <w:r>
              <w:rPr>
                <w:rFonts w:ascii="楷体" w:eastAsia="楷体-简" w:hAnsi="楷体" w:cs="楷体-简" w:hint="eastAsia"/>
                <w:sz w:val="24"/>
              </w:rPr>
              <w:t>[10].</w:t>
              <w:tab/>
              <w:t>赵竞达. 基于机器学习算法的网贷信用风险模型研究[D].对外经济贸易大学,2022.DOI:10.27015/d.cnki.gdwju.2021.000234.</w:t>
            </w:r>
          </w:p>
          <w:p>
            <w:pPr>
              <w:spacing w:after="0" w:line="276" w:lineRule="auto"/>
              <w:jc w:val="left"/>
              <w:textAlignment w:val="auto"/>
            </w:pPr>
            <w:r>
              <w:rPr>
                <w:rFonts w:ascii="楷体" w:eastAsia="楷体-简" w:hAnsi="楷体" w:cs="楷体-简" w:hint="eastAsia"/>
                <w:sz w:val="24"/>
              </w:rPr>
              <w:t>[11].</w:t>
              <w:tab/>
              <w:t>胡修远. P2P网贷借款人违约风险研究[D].厦门大学,2021.DOI:10.27424/d.cnki.gxmdu.2021.001992.</w:t>
            </w:r>
          </w:p>
          <w:p>
            <w:pPr>
              <w:spacing w:after="0" w:line="276" w:lineRule="auto"/>
              <w:jc w:val="left"/>
              <w:textAlignment w:val="auto"/>
            </w:pPr>
            <w:r>
              <w:rPr>
                <w:rFonts w:ascii="楷体" w:eastAsia="楷体-简" w:hAnsi="楷体" w:cs="楷体-简" w:hint="eastAsia"/>
                <w:sz w:val="24"/>
              </w:rPr>
              <w:t>[12].</w:t>
              <w:tab/>
              <w:t>周文攀. P2P投资者的风险识别与投资行为研究[D].吉林大学,2022.DOI:10.27162/d.cnki.gjlin.2021.003730.</w:t>
            </w:r>
          </w:p>
          <w:p>
            <w:pPr>
              <w:spacing w:after="0" w:line="276" w:lineRule="auto"/>
              <w:jc w:val="left"/>
              <w:textAlignment w:val="auto"/>
            </w:pPr>
            <w:r>
              <w:rPr>
                <w:rFonts w:ascii="楷体" w:eastAsia="楷体-简" w:hAnsi="楷体" w:cs="楷体-简" w:hint="eastAsia"/>
                <w:sz w:val="24"/>
              </w:rPr>
              <w:t>[13].</w:t>
              <w:tab/>
              <w:t>苏亚,成春林.P2P网贷借款人违约行为影响因素的实证研究[J].金融发展研究,2017(01):70-76.DOI:10.19647/j.cnki.37-1462/f.2017.01.010.</w:t>
            </w:r>
          </w:p>
          <w:p>
            <w:pPr>
              <w:spacing w:after="0" w:line="276" w:lineRule="auto"/>
              <w:jc w:val="left"/>
              <w:textAlignment w:val="auto"/>
            </w:pPr>
            <w:r>
              <w:rPr>
                <w:rFonts w:ascii="楷体" w:eastAsia="楷体-简" w:hAnsi="楷体" w:cs="楷体-简" w:hint="eastAsia"/>
                <w:sz w:val="24"/>
              </w:rPr>
              <w:t>[14].</w:t>
              <w:tab/>
              <w:t>谭中明,谢坤,彭耀鹏.基于梯度提升决策树模型的P2P网贷借款人信用风险评测研究[J].软科学,2018,32(12):136-140.DOI:10.13956/j.ss.1001-8409.2018.12.28</w:t>
            </w:r>
          </w:p>
          <w:p>
            <w:pPr>
              <w:spacing w:after="0" w:line="276" w:lineRule="auto"/>
              <w:jc w:val="left"/>
              <w:textAlignment w:val="auto"/>
            </w:pPr>
            <w:r>
              <w:rPr>
                <w:rFonts w:ascii="楷体" w:eastAsia="楷体-简" w:hAnsi="楷体" w:cs="楷体-简" w:hint="eastAsia"/>
                <w:sz w:val="24"/>
              </w:rPr>
              <w:t>[15].</w:t>
              <w:tab/>
              <w:t>霍江林,刘素荣.P2P网贷平台借款人信用风险评估研究[J].金融发展研究,2016,(12):43-47.DOI:10.19647/j.cnki.37-1462/f.2016.12.008</w:t>
            </w:r>
          </w:p>
          <w:p>
            <w:pPr>
              <w:spacing w:after="0" w:line="276" w:lineRule="auto"/>
              <w:jc w:val="left"/>
              <w:textAlignment w:val="auto"/>
            </w:pPr>
            <w:r>
              <w:rPr>
                <w:rFonts w:ascii="楷体" w:eastAsia="楷体-简" w:hAnsi="楷体" w:cs="楷体-简" w:hint="eastAsia"/>
                <w:sz w:val="24"/>
              </w:rPr>
              <w:t>[16].</w:t>
              <w:tab/>
              <w:t>于晓虹,楼文高.基于随机森林的P2P网贷信用风险评价、预警与实证研究[J].金融理论与实践,2016,(02):53-58.</w:t>
            </w:r>
          </w:p>
          <w:p>
            <w:pPr>
              <w:spacing w:after="0" w:line="276" w:lineRule="auto"/>
              <w:jc w:val="left"/>
              <w:textAlignment w:val="auto"/>
            </w:pPr>
            <w:r>
              <w:rPr>
                <w:rFonts w:ascii="楷体" w:eastAsia="楷体-简" w:hAnsi="楷体" w:cs="楷体-简" w:hint="eastAsia"/>
                <w:sz w:val="24"/>
              </w:rPr>
              <w:t>[17].</w:t>
              <w:tab/>
              <w:t>Herzenstein M S. Sonenshein U M Dhola-kia. Tell me a Good Story and I May Lend You Money:The Role of Narratives in Peer-to-peer Lending Decisions[J]. Journal of Marketing Research, 2011, 48 (SPL) :138-149.</w:t>
            </w:r>
          </w:p>
          <w:p>
            <w:pPr>
              <w:spacing w:after="0" w:line="276" w:lineRule="auto"/>
              <w:jc w:val="left"/>
              <w:textAlignment w:val="auto"/>
            </w:pPr>
            <w:r>
              <w:rPr>
                <w:rFonts w:ascii="楷体" w:eastAsia="楷体-简" w:hAnsi="楷体" w:cs="楷体-简" w:hint="eastAsia"/>
                <w:sz w:val="24"/>
              </w:rPr>
              <w:t>[18].</w:t>
              <w:tab/>
              <w:t>Lin M N R Prabhala, S Viswanathan. Judging Borrowers by the Company They Keep:Social Networks and Adverse Selection in Online Peer-to-peer Lending[J]. SSRN e Library, 2009.</w:t>
            </w:r>
          </w:p>
          <w:p>
            <w:pPr>
              <w:spacing w:after="0" w:line="276" w:lineRule="auto"/>
              <w:jc w:val="left"/>
              <w:textAlignment w:val="auto"/>
            </w:pPr>
            <w:r>
              <w:rPr>
                <w:rFonts w:ascii="楷体" w:eastAsia="楷体-简" w:hAnsi="楷体" w:cs="楷体-简" w:hint="eastAsia"/>
                <w:sz w:val="24"/>
              </w:rPr>
              <w:t>[19].</w:t>
              <w:tab/>
              <w:t>Collier B, R Hampshire.Sending Mixed Signals:Multilevel Reputation Effects in Peer-to-Peer Lending Markets[M]. CSCW, Savannah, USA.2010.</w:t>
            </w:r>
          </w:p>
          <w:p>
            <w:pPr>
              <w:spacing w:after="0" w:line="276" w:lineRule="auto"/>
              <w:jc w:val="left"/>
              <w:textAlignment w:val="auto"/>
            </w:pPr>
          </w:p>
        </w:tc>
      </w:tr>
    </w:tbl>
    <w:p>
      <w:pPr>
        <w:numPr>
          <w:ilvl w:val="0"/>
          <w:numId w:val="1"/>
        </w:numPr>
        <w:spacing w:after="0" w:line="276" w:lineRule="auto"/>
        <w:ind w:right="420"/>
        <w:rPr>
          <w:rFonts w:ascii="宋体" w:hAnsi="宋体"/>
          <w:sz w:val="24"/>
        </w:rPr>
        <w:sectPr>
          <w:headerReference w:type="even" r:id="rId11"/>
          <w:headerReference w:type="default" r:id="rId12"/>
          <w:headerReference w:type="first" r:id="rId13"/>
          <w:pgSz w:w="11906" w:h="16838"/>
          <w:pgMar w:top="1701" w:right="1134" w:bottom="1418" w:left="1418" w:header="851" w:footer="992"/>
          <w:pgNumType w:fmt="numberInDash" w:start="27" w:chapSep="hyphen"/>
          <w:cols w:num="1" w:space="425"/>
          <w:docGrid w:type="linesAndChars" w:linePitch="312" w:charSpace="0"/>
        </w:sectPr>
      </w:pPr>
    </w:p>
    <w:tbl>
      <w:tblPr>
        <w:tblStyle w:val="TableNormal"/>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7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hRule="auto" w:val="0"/>
          <w:jc w:val="center"/>
        </w:trPr>
        <w:tc>
          <w:tcPr>
            <w:tcW w:w="9570" w:type="dxa"/>
            <w:shd w:val="clear" w:color="auto" w:fill="auto"/>
            <w:vAlign w:val="top"/>
          </w:tcPr>
          <w:p>
            <w:pPr>
              <w:numPr>
                <w:ilvl w:val="0"/>
                <w:numId w:val="1"/>
              </w:numPr>
              <w:spacing w:after="0" w:line="276" w:lineRule="auto"/>
              <w:ind w:right="420"/>
              <w:rPr>
                <w:rFonts w:ascii="宋体" w:hAnsi="宋体"/>
                <w:sz w:val="24"/>
              </w:rPr>
            </w:pPr>
            <w:r>
              <w:rPr>
                <w:rFonts w:ascii="宋体" w:hAnsi="宋体" w:hint="eastAsia"/>
                <w:sz w:val="24"/>
              </w:rPr>
              <w:t>完成措施及进度安排</w:t>
            </w:r>
          </w:p>
          <w:p>
            <w:pPr>
              <w:spacing w:after="0" w:line="276" w:lineRule="auto"/>
              <w:ind w:right="420"/>
              <w:rPr>
                <w:rFonts w:ascii="宋体" w:hAnsi="宋体"/>
                <w:sz w:val="24"/>
              </w:rPr>
            </w:pPr>
            <w:r>
              <w:rPr>
                <w:rFonts w:ascii="楷体" w:eastAsia="楷体-简" w:hAnsi="楷体" w:cs="楷体-简" w:hint="eastAsia"/>
                <w:sz w:val="24"/>
              </w:rPr>
              <w:t>2024年1月10日前：数据收集和准备</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1．</w:t>
              <w:tab/>
              <w:t>收集相关文献，了解借款人贷款决策的影响因素和风险评估的研究现状。</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1月10日-1月14日：数据收集和处理</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w:t>
              <w:tab/>
              <w:t>收集借款人的相关数据，包括个人信息、财务状况、信用记录等。</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3．</w:t>
              <w:tab/>
              <w:t>对收集到的数据进行预处理，包括数据清洗、缺失值处理等。</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4．</w:t>
              <w:tab/>
              <w:t>进行数据探索性分析，包括降维、主成分分析、交叉验证等。</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5．</w:t>
              <w:tab/>
              <w:t>提取借款人的贷款申请文本信息特征，初步探索文本类数据对贷款人风险的影响。</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1月15日-1月21日：</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1．</w:t>
              <w:tab/>
              <w:t>根据研究目标，确定数据集适合的统计或机器学习模型。</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w:t>
              <w:tab/>
              <w:t>完成代码逻辑梳理，进行模型训练和评估。</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3．</w:t>
              <w:tab/>
              <w:t>划分训练集和测试集，并进行特征工程。</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1月22日-1月28日：</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1．</w:t>
              <w:tab/>
              <w:t>进行机器学习模型的训练和优化。</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w:t>
              <w:tab/>
              <w:t>根据模型的训练和优化结果，进行贷款人风险模型的误差分析，呈现数据分析和可视化结果。</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3．</w:t>
              <w:tab/>
              <w:t>进行模型和指标的解释和解读，继续查找文献，分析影响因素的重要性。</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1月29日-2月4日：</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1．</w:t>
              <w:tab/>
              <w:t>进行风险评估模型的构建，结合借款人的特征和模型预测结果，对风险评估模型进行评估和优化。</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w:t>
              <w:tab/>
              <w:t>进行模型的解释和解读，分析风险因素的重要性。</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3．</w:t>
              <w:tab/>
              <w:t>撰写论文的引言、研究方法和数据分析部分。</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2月5日-2月11日：</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1．</w:t>
              <w:tab/>
              <w:t>根据准确率、召回率、精确率等指标，进行实验结果的分析和讨论，验证研究目标的实现程度。</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w:t>
              <w:tab/>
              <w:t>撰写论文的引言、研究方法和数据分析部分。</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3．</w:t>
              <w:tab/>
              <w:t>编写论文的结果和讨论部分。</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2月12日-2月18日：</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1．</w:t>
              <w:tab/>
              <w:t>编写论文的结论和展望部分。</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w:t>
              <w:tab/>
              <w:t>进行论文的初稿修改和完善。</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3．</w:t>
              <w:tab/>
              <w:t>检查论文的格式和语法，进行最后的润色。</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2月19日-2月25日：</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1.</w:t>
              <w:tab/>
              <w:t>自行进行论文的初次提交终稿的修改和校对。</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2.</w:t>
              <w:tab/>
              <w:t>准备论文的附录和参考文献。</w:t>
            </w:r>
          </w:p>
          <w:p>
            <w:pPr>
              <w:spacing w:after="0" w:line="276" w:lineRule="auto"/>
              <w:jc w:val="left"/>
              <w:textAlignment w:val="auto"/>
            </w:pPr>
          </w:p>
          <w:p>
            <w:pPr>
              <w:spacing w:after="0" w:line="276" w:lineRule="auto"/>
              <w:jc w:val="left"/>
              <w:textAlignment w:val="auto"/>
            </w:pPr>
            <w:r>
              <w:rPr>
                <w:rFonts w:ascii="楷体" w:eastAsia="楷体-简" w:hAnsi="楷体" w:cs="楷体-简" w:hint="eastAsia"/>
                <w:sz w:val="24"/>
              </w:rPr>
              <w:t>3.</w:t>
              <w:tab/>
              <w:t>完成论文的最终提交。</w:t>
            </w:r>
          </w:p>
        </w:tc>
      </w:tr>
      <w:tr>
        <w:tblPrEx>
          <w:tblW w:w="0" w:type="auto"/>
          <w:jc w:val="center"/>
          <w:tblLayout w:type="fixed"/>
          <w:tblCellMar>
            <w:top w:w="0" w:type="dxa"/>
            <w:left w:w="108" w:type="dxa"/>
            <w:bottom w:w="0" w:type="dxa"/>
            <w:right w:w="108" w:type="dxa"/>
          </w:tblCellMar>
        </w:tblPrEx>
        <w:trPr>
          <w:trHeight w:hRule="exact" w:val="2215"/>
          <w:jc w:val="center"/>
        </w:trPr>
        <w:tc>
          <w:tcPr>
            <w:tcW w:w="9570" w:type="dxa"/>
            <w:shd w:val="clear" w:color="auto" w:fill="auto"/>
          </w:tcPr>
          <w:p>
            <w:pPr>
              <w:spacing w:after="0" w:line="276" w:lineRule="auto"/>
              <w:ind w:right="420"/>
              <w:rPr>
                <w:rFonts w:ascii="宋体" w:hAnsi="宋体"/>
                <w:sz w:val="24"/>
              </w:rPr>
            </w:pPr>
            <w:r>
              <w:rPr>
                <w:rFonts w:ascii="宋体" w:hAnsi="宋体" w:hint="eastAsia"/>
                <w:sz w:val="24"/>
              </w:rPr>
              <w:t>指导教师意见</w:t>
            </w:r>
          </w:p>
          <w:p>
            <w:pPr>
              <w:spacing w:after="0" w:line="276" w:lineRule="auto"/>
              <w:ind w:right="420" w:firstLine="480" w:firstLineChars="200"/>
              <w:rPr>
                <w:rFonts w:ascii="楷体" w:eastAsia="楷体-简" w:hAnsi="楷体" w:cs="楷体-简"/>
                <w:sz w:val="24"/>
              </w:rPr>
            </w:pPr>
            <w:r>
              <w:rPr>
                <w:rFonts w:ascii="楷体" w:eastAsia="楷体-简" w:hAnsi="楷体" w:cs="楷体-简" w:hint="eastAsia"/>
                <w:sz w:val="24"/>
              </w:rPr>
              <w:t>论文选题为消费者金融决策问题，切合当前实际，对相关问题的当前现状有了初步的分析与理解，进行了相关的文献研究，占有较为充分的资料，建立了分析问题的基本框架，条理清晰，提纲结构合理，措施得当，同意开题。但从文章提纲看，分析角度侧重于个人借贷角度，题目过大，需要修改题目缩小标题范围，以便更准确的切合文章论述重心。</w:t>
            </w:r>
          </w:p>
          <w:p>
            <w:pPr>
              <w:spacing w:after="0" w:line="276" w:lineRule="auto"/>
              <w:ind w:right="1380"/>
              <w:jc w:val="left"/>
              <w:rPr>
                <w:rFonts w:ascii="宋体" w:hAnsi="宋体"/>
                <w:sz w:val="24"/>
              </w:rPr>
            </w:pPr>
            <w:r>
              <w:rPr>
                <w:rFonts w:ascii="宋体" w:hAnsi="宋体" w:hint="eastAsia"/>
                <w:sz w:val="24"/>
              </w:rPr>
              <w:t>签名：</w:t>
            </w:r>
            <w:r>
              <w:rPr>
                <w:rFonts w:ascii="宋体" w:hAnsi="宋体"/>
                <w:sz w:val="24"/>
              </w:rPr>
              <w:drawing>
                <wp:inline>
                  <wp:extent cx="952500" cy="4762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92223" name=""/>
                          <pic:cNvPicPr>
                            <a:picLocks noChangeAspect="1"/>
                          </pic:cNvPicPr>
                        </pic:nvPicPr>
                        <pic:blipFill>
                          <a:blip xmlns:r="http://schemas.openxmlformats.org/officeDocument/2006/relationships" r:embed="rId14"/>
                          <a:stretch>
                            <a:fillRect/>
                          </a:stretch>
                        </pic:blipFill>
                        <pic:spPr>
                          <a:xfrm>
                            <a:off x="0" y="0"/>
                            <a:ext cx="952500" cy="476250"/>
                          </a:xfrm>
                          <a:prstGeom prst="rect">
                            <a:avLst/>
                          </a:prstGeom>
                        </pic:spPr>
                      </pic:pic>
                    </a:graphicData>
                  </a:graphic>
                </wp:inline>
              </w:drawing>
            </w:r>
            <w:r>
              <w:rPr>
                <w:rFonts w:ascii="宋体" w:hAnsi="宋体"/>
                <w:sz w:val="24"/>
              </w:rPr>
              <w:t xml:space="preserve">  2024年2月25日</w:t>
            </w:r>
          </w:p>
        </w:tc>
      </w:tr>
      <w:tr>
        <w:tblPrEx>
          <w:tblW w:w="0" w:type="auto"/>
          <w:jc w:val="center"/>
          <w:tblLayout w:type="fixed"/>
          <w:tblCellMar>
            <w:top w:w="0" w:type="dxa"/>
            <w:left w:w="108" w:type="dxa"/>
            <w:bottom w:w="0" w:type="dxa"/>
            <w:right w:w="108" w:type="dxa"/>
          </w:tblCellMar>
        </w:tblPrEx>
        <w:trPr>
          <w:trHeight w:hRule="exact" w:val="2268"/>
          <w:jc w:val="center"/>
        </w:trPr>
        <w:tc>
          <w:tcPr>
            <w:tcW w:w="9570" w:type="dxa"/>
            <w:shd w:val="clear" w:color="auto" w:fill="auto"/>
          </w:tcPr>
          <w:p>
            <w:pPr>
              <w:spacing w:after="0" w:line="276" w:lineRule="auto"/>
              <w:ind w:right="420"/>
              <w:rPr>
                <w:rFonts w:ascii="宋体" w:hAnsi="宋体"/>
                <w:sz w:val="24"/>
              </w:rPr>
            </w:pPr>
            <w:r>
              <w:rPr>
                <w:rFonts w:ascii="宋体" w:hAnsi="宋体" w:hint="eastAsia"/>
                <w:sz w:val="24"/>
              </w:rPr>
              <w:t>院（系）审核意见</w:t>
            </w:r>
          </w:p>
          <w:p>
            <w:pPr>
              <w:spacing w:after="0" w:line="276" w:lineRule="auto"/>
              <w:ind w:right="420"/>
              <w:jc w:val="center"/>
              <w:rPr>
                <w:rFonts w:ascii="宋体" w:hAnsi="宋体"/>
                <w:b/>
                <w:bCs/>
                <w:sz w:val="32"/>
                <w:szCs w:val="32"/>
              </w:rPr>
            </w:pPr>
            <w:r>
              <w:rPr>
                <w:rFonts w:ascii="宋体" w:hAnsi="宋体" w:hint="eastAsia"/>
                <w:b/>
                <w:bCs/>
                <w:sz w:val="32"/>
                <w:szCs w:val="32"/>
              </w:rPr>
              <w:t>通过</w:t>
            </w:r>
          </w:p>
          <w:p>
            <w:pPr>
              <w:spacing w:after="0" w:line="276" w:lineRule="auto"/>
              <w:ind w:right="420"/>
              <w:rPr>
                <w:rFonts w:ascii="宋体" w:hAnsi="宋体"/>
                <w:sz w:val="24"/>
              </w:rPr>
            </w:pPr>
          </w:p>
          <w:p>
            <w:pPr>
              <w:spacing w:after="0" w:line="276" w:lineRule="auto"/>
              <w:ind w:right="420"/>
              <w:jc w:val="right"/>
              <w:rPr>
                <w:rFonts w:ascii="宋体" w:hAnsi="宋体"/>
                <w:sz w:val="24"/>
              </w:rPr>
            </w:pPr>
            <w:r>
              <w:rPr>
                <w:rFonts w:ascii="宋体" w:hAnsi="宋体" w:hint="eastAsia"/>
                <w:sz w:val="24"/>
              </w:rPr>
              <w:t>院（系）公章</w:t>
            </w:r>
          </w:p>
          <w:p>
            <w:pPr>
              <w:spacing w:after="0" w:line="276" w:lineRule="auto"/>
              <w:ind w:right="420"/>
              <w:jc w:val="right"/>
              <w:rPr>
                <w:rFonts w:ascii="宋体" w:hAnsi="宋体"/>
                <w:sz w:val="24"/>
              </w:rPr>
            </w:pPr>
            <w:r>
              <w:rPr>
                <w:rFonts w:ascii="宋体" w:hAnsi="宋体"/>
                <w:sz w:val="24"/>
              </w:rPr>
              <w:t>2024年2月25日</w:t>
            </w:r>
            <w:bookmarkStart w:id="0" w:name="_GoBack"/>
            <w:bookmarkEnd w:id="0"/>
          </w:p>
        </w:tc>
      </w:tr>
    </w:tbl>
    <w:p>
      <w:pPr>
        <w:spacing w:after="0" w:line="400" w:lineRule="exact"/>
        <w:ind w:right="420"/>
      </w:pPr>
    </w:p>
    <w:sectPr>
      <w:headerReference w:type="even" r:id="rId15"/>
      <w:headerReference w:type="default" r:id="rId16"/>
      <w:headerReference w:type="first" r:id="rId17"/>
      <w:pgSz w:w="11906" w:h="16838"/>
      <w:pgMar w:top="1701" w:right="1134" w:bottom="1418" w:left="1418" w:header="851" w:footer="992"/>
      <w:pgNumType w:fmt="numberInDash" w:start="27" w:chapSep="hyphen"/>
      <w:cols w:num="1" w:space="425"/>
      <w:docGrid w:type="linesAndChar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roman"/>
    <w:pitch w:val="default"/>
    <w:sig w:usb0="800002BF" w:usb1="38CF7CFA" w:usb2="00000016" w:usb3="00000000" w:csb0="00040001" w:csb1="00000000"/>
  </w:font>
  <w:font w:name="楷体-简">
    <w:altName w:val="楷体"/>
    <w:panose1 w:val="02010600040101010101"/>
    <w:charset w:val="86"/>
    <w:family w:val="auto"/>
    <w:pitch w:val="default"/>
    <w:sig w:usb0="00000000" w:usb1="0000000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100pt;margin-top:0;margin-left:0;mso-position-horizontal:center;mso-position-horizontal-relative:page;mso-position-vertical:center;mso-position-vertical-relative:page;position:absolute;rotation:-40;z-index:251660288" fillcolor="#ffc0cb" strokecolor="#ffc0cb">
          <v:textpath style="font-family:Arial" string="中南财经政法大学"/>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100pt;margin-top:0;margin-left:0;mso-position-horizontal:center;mso-position-horizontal-relative:page;mso-position-vertical:center;mso-position-vertical-relative:page;position:absolute;rotation:-40;z-index:251658240" fillcolor="#ffc0cb" strokecolor="#ffc0cb">
          <v:textpath style="font-family:Arial" string="中南财经政法大学"/>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100pt;margin-top:0;margin-left:0;mso-position-horizontal:center;mso-position-horizontal-relative:page;mso-position-vertical:center;mso-position-vertical-relative:page;position:absolute;rotation:-40;z-index:251659264" fillcolor="#ffc0cb" strokecolor="#ffc0cb">
          <v:textpath style="font-family:Arial" string="中南财经政法大学"/>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width:500pt;height:100pt;margin-top:0;margin-left:0;mso-position-horizontal:center;mso-position-horizontal-relative:page;mso-position-vertical:center;mso-position-vertical-relative:page;position:absolute;rotation:-40;z-index:251663360" fillcolor="#ffc0cb" strokecolor="#ffc0cb">
          <v:textpath style="font-family:Arial" string="中南财经政法大学"/>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width:500pt;height:100pt;margin-top:0;margin-left:0;mso-position-horizontal:center;mso-position-horizontal-relative:page;mso-position-vertical:center;mso-position-vertical-relative:page;position:absolute;rotation:-40;z-index:251661312" fillcolor="#ffc0cb" strokecolor="#ffc0cb">
          <v:textpath style="font-family:Arial" string="中南财经政法大学"/>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width:500pt;height:100pt;margin-top:0;margin-left:0;mso-position-horizontal:center;mso-position-horizontal-relative:page;mso-position-vertical:center;mso-position-vertical-relative:page;position:absolute;rotation:-40;z-index:251662336" fillcolor="#ffc0cb" strokecolor="#ffc0cb">
          <v:textpath style="font-family:Arial" string="中南财经政法大学"/>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width:500pt;height:100pt;margin-top:0;margin-left:0;mso-position-horizontal:center;mso-position-horizontal-relative:page;mso-position-vertical:center;mso-position-vertical-relative:page;position:absolute;rotation:-40;z-index:251666432" fillcolor="#ffc0cb" strokecolor="#ffc0cb">
          <v:textpath style="font-family:Arial" string="中南财经政法大学"/>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width:500pt;height:100pt;margin-top:0;margin-left:0;mso-position-horizontal:center;mso-position-horizontal-relative:page;mso-position-vertical:center;mso-position-vertical-relative:page;position:absolute;rotation:-40;z-index:251664384" fillcolor="#ffc0cb" strokecolor="#ffc0cb">
          <v:textpath style="font-family:Arial" string="中南财经政法大学"/>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width:500pt;height:100pt;margin-top:0;margin-left:0;mso-position-horizontal:center;mso-position-horizontal-relative:page;mso-position-vertical:center;mso-position-vertical-relative:page;position:absolute;rotation:-40;z-index:251665408" fillcolor="#ffc0cb" strokecolor="#ffc0cb">
          <v:textpath style="font-family:Arial" string="中南财经政法大学"/>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61ECC"/>
    <w:multiLevelType w:val="multilevel"/>
    <w:tmpl w:val="73861EC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602BC"/>
    <w:rsid w:val="BEEE9FC6"/>
    <w:rsid w:val="DB763E52"/>
    <w:rsid w:val="DFFE01DB"/>
    <w:rsid w:val="EEADCABB"/>
    <w:rsid w:val="00042724"/>
    <w:rsid w:val="000C4182"/>
    <w:rsid w:val="000F5743"/>
    <w:rsid w:val="00145E5D"/>
    <w:rsid w:val="00360F8C"/>
    <w:rsid w:val="00390D88"/>
    <w:rsid w:val="003B5536"/>
    <w:rsid w:val="003C1FCE"/>
    <w:rsid w:val="003F4FA5"/>
    <w:rsid w:val="0048065C"/>
    <w:rsid w:val="004903D7"/>
    <w:rsid w:val="004E0B56"/>
    <w:rsid w:val="004F2421"/>
    <w:rsid w:val="00555468"/>
    <w:rsid w:val="005560E6"/>
    <w:rsid w:val="005602BC"/>
    <w:rsid w:val="00610FE5"/>
    <w:rsid w:val="00611B20"/>
    <w:rsid w:val="006145AE"/>
    <w:rsid w:val="006645D1"/>
    <w:rsid w:val="00670774"/>
    <w:rsid w:val="006A7458"/>
    <w:rsid w:val="00705B1C"/>
    <w:rsid w:val="0076478A"/>
    <w:rsid w:val="007C339B"/>
    <w:rsid w:val="007E55EC"/>
    <w:rsid w:val="00852DD4"/>
    <w:rsid w:val="00864B00"/>
    <w:rsid w:val="008826C4"/>
    <w:rsid w:val="00883107"/>
    <w:rsid w:val="008B26C8"/>
    <w:rsid w:val="008E4011"/>
    <w:rsid w:val="00914D18"/>
    <w:rsid w:val="00940F5B"/>
    <w:rsid w:val="0097246F"/>
    <w:rsid w:val="009B21D0"/>
    <w:rsid w:val="00BF09F7"/>
    <w:rsid w:val="00C07A63"/>
    <w:rsid w:val="00C96A1D"/>
    <w:rsid w:val="00CA0CF2"/>
    <w:rsid w:val="00CB51B7"/>
    <w:rsid w:val="00CD0993"/>
    <w:rsid w:val="00D113DC"/>
    <w:rsid w:val="00D6749A"/>
    <w:rsid w:val="00E208B2"/>
    <w:rsid w:val="00E26A24"/>
    <w:rsid w:val="00E46FC0"/>
    <w:rsid w:val="01765FF4"/>
    <w:rsid w:val="214C5FD2"/>
    <w:rsid w:val="3BFE8677"/>
    <w:rsid w:val="4F1573C1"/>
    <w:rsid w:val="4FB27ACC"/>
    <w:rsid w:val="62F02EE4"/>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qFormat="1"/>
    <w:lsdException w:name="annotation text" w:uiPriority="0"/>
    <w:lsdException w:name="header" w:uiPriority="0" w:qFormat="1"/>
    <w:lsdException w:name="footer" w:uiPriority="0" w:qFormat="1"/>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qFormat="1"/>
    <w:lsdException w:name="annotation reference" w:uiPriority="0"/>
    <w:lsdException w:name="line number" w:uiPriority="0"/>
    <w:lsdException w:name="page number" w:uiPriority="0"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1" w:qFormat="1"/>
    <w:lsdException w:name="Body Text" w:uiPriority="0" w:qFormat="1"/>
    <w:lsdException w:name="Body Text Inden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qFormat="1"/>
    <w:lsdException w:name="Body Text 3" w:uiPriority="0"/>
    <w:lsdException w:name="Body Text Indent 2" w:uiPriority="0" w:qFormat="1"/>
    <w:lsdException w:name="Body Text Indent 3" w:uiPriority="0"/>
    <w:lsdException w:name="Block Text" w:uiPriority="0"/>
    <w:lsdException w:name="Hyperlink" w:uiPriority="0" w:qFormat="1"/>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Normal (Web)" w:uiPriority="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qFormat="1"/>
    <w:lsdException w:name="HTML Sample" w:uiPriority="0"/>
    <w:lsdException w:name="HTML Typewriter" w:uiPriority="0"/>
    <w:lsdException w:name="HTML Variable" w:uiPriority="0"/>
    <w:lsdException w:name="Normal Table"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qFormat="1"/>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qFormat/>
    <w:pPr>
      <w:spacing w:after="120"/>
    </w:pPr>
    <w:rPr>
      <w:szCs w:val="20"/>
    </w:rPr>
  </w:style>
  <w:style w:type="paragraph" w:styleId="BodyTextIndent">
    <w:name w:val="Body Text Indent"/>
    <w:basedOn w:val="Normal"/>
    <w:qFormat/>
    <w:pPr>
      <w:spacing w:after="120"/>
      <w:ind w:left="420" w:leftChars="200"/>
    </w:pPr>
  </w:style>
  <w:style w:type="paragraph" w:styleId="BodyTextIndent2">
    <w:name w:val="Body Text Indent 2"/>
    <w:basedOn w:val="Normal"/>
    <w:qFormat/>
    <w:pPr>
      <w:spacing w:after="120" w:line="480" w:lineRule="auto"/>
      <w:ind w:left="420" w:leftChars="200"/>
    </w:pPr>
  </w:style>
  <w:style w:type="paragraph" w:styleId="Footer">
    <w:name w:val="footer"/>
    <w:basedOn w:val="Normal"/>
    <w:qFormat/>
    <w:pPr>
      <w:tabs>
        <w:tab w:val="center" w:pos="4153"/>
        <w:tab w:val="right" w:pos="8306"/>
      </w:tabs>
      <w:snapToGrid w:val="0"/>
      <w:jc w:val="left"/>
    </w:pPr>
    <w:rPr>
      <w:sz w:val="18"/>
      <w:szCs w:val="20"/>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20"/>
    </w:rPr>
  </w:style>
  <w:style w:type="paragraph" w:styleId="FootnoteText">
    <w:name w:val="footnote text"/>
    <w:basedOn w:val="Normal"/>
    <w:semiHidden/>
    <w:qFormat/>
    <w:pPr>
      <w:snapToGrid w:val="0"/>
      <w:jc w:val="left"/>
    </w:pPr>
    <w:rPr>
      <w:sz w:val="18"/>
      <w:szCs w:val="18"/>
    </w:rPr>
  </w:style>
  <w:style w:type="paragraph" w:styleId="BodyText2">
    <w:name w:val="Body Text 2"/>
    <w:basedOn w:val="Normal"/>
    <w:qFormat/>
    <w:pPr>
      <w:spacing w:after="120" w:line="480" w:lineRule="auto"/>
    </w:p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NormalWeb">
    <w:name w:val="Normal (Web)"/>
    <w:basedOn w:val="Normal"/>
    <w:qFormat/>
    <w:pPr>
      <w:widowControl/>
      <w:spacing w:before="100" w:beforeAutospacing="1" w:after="100" w:afterAutospacing="1"/>
      <w:jc w:val="left"/>
    </w:pPr>
    <w:rPr>
      <w:rFonts w:ascii="宋体" w:hAnsi="宋体" w:hint="eastAsia"/>
      <w:kern w:val="0"/>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bCs/>
    </w:rPr>
  </w:style>
  <w:style w:type="character" w:styleId="PageNumber">
    <w:name w:val="page number"/>
    <w:basedOn w:val="DefaultParagraphFont"/>
    <w:qFormat/>
  </w:style>
  <w:style w:type="character" w:styleId="Hyperlink">
    <w:name w:val="Hyperlink"/>
    <w:qFormat/>
    <w:rPr>
      <w:color w:val="660066"/>
      <w:u w:val="single"/>
    </w:rPr>
  </w:style>
  <w:style w:type="character" w:styleId="FootnoteReference">
    <w:name w:val="footnote reference"/>
    <w:semiHidden/>
    <w:qFormat/>
    <w:rPr>
      <w:vertAlign w:val="superscript"/>
    </w:rPr>
  </w:style>
  <w:style w:type="character" w:customStyle="1" w:styleId="aa1">
    <w:name w:val="aa1"/>
    <w:qFormat/>
    <w:rPr>
      <w:rFonts w:ascii="宋体" w:eastAsia="宋体" w:hAnsi="宋体" w:hint="eastAsia"/>
      <w:sz w:val="18"/>
      <w:szCs w:val="18"/>
    </w:rPr>
  </w:style>
  <w:style w:type="paragraph" w:customStyle="1" w:styleId="aa">
    <w:name w:val="aa"/>
    <w:basedOn w:val="Normal"/>
    <w:qFormat/>
    <w:pPr>
      <w:widowControl/>
      <w:spacing w:before="100" w:beforeAutospacing="1" w:after="100" w:afterAutospacing="1" w:line="300" w:lineRule="atLeast"/>
      <w:jc w:val="left"/>
    </w:pPr>
    <w:rPr>
      <w:rFonts w:ascii="宋体" w:hAnsi="宋体" w:hint="eastAsia"/>
      <w:kern w:val="0"/>
      <w:sz w:val="18"/>
      <w:szCs w:val="18"/>
    </w:rPr>
  </w:style>
  <w:style w:type="paragraph" w:customStyle="1" w:styleId="a">
    <w:name w:val="本科论文正文"/>
    <w:basedOn w:val="Normal"/>
    <w:qFormat/>
    <w:pPr>
      <w:spacing w:after="0" w:line="360" w:lineRule="exact"/>
      <w:ind w:firstLine="480" w:firstLineChars="200"/>
    </w:pPr>
    <w:rPr>
      <w:rFonts w:cs="宋体"/>
      <w:sz w:val="24"/>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header" Target="header4.xml" /><Relationship Id="rId12" Type="http://schemas.openxmlformats.org/officeDocument/2006/relationships/header" Target="header5.xml" /><Relationship Id="rId13" Type="http://schemas.openxmlformats.org/officeDocument/2006/relationships/header" Target="header6.xml" /><Relationship Id="rId14" Type="http://schemas.openxmlformats.org/officeDocument/2006/relationships/image" Target="media/image3.jpeg" /><Relationship Id="rId15" Type="http://schemas.openxmlformats.org/officeDocument/2006/relationships/header" Target="header7.xml" /><Relationship Id="rId16" Type="http://schemas.openxmlformats.org/officeDocument/2006/relationships/header" Target="header8.xml" /><Relationship Id="rId17" Type="http://schemas.openxmlformats.org/officeDocument/2006/relationships/header" Target="header9.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Words>
  <Characters>815</Characters>
  <Application>Microsoft Office Word</Application>
  <DocSecurity>0</DocSecurity>
  <Lines>6</Lines>
  <Paragraphs>1</Paragraphs>
  <ScaleCrop>false</ScaleCrop>
  <Company>微软中国</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中南财经政法大学</dc:title>
  <dc:creator>许邦权</dc:creator>
  <cp:lastModifiedBy>奋斗的小鸟</cp:lastModifiedBy>
  <cp:revision>3</cp:revision>
  <cp:lastPrinted>2015-11-25T19:05:00Z</cp:lastPrinted>
  <dcterms:created xsi:type="dcterms:W3CDTF">2019-11-01T07:27:00Z</dcterms:created>
  <dcterms:modified xsi:type="dcterms:W3CDTF">2020-05-17T23:16:05Z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2052-11.1.0.9662</vt:lpwstr>
  </property>
</Properties>
</file>