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375"/>
        <w:ind w:hanging="0" w:start="0" w:end="0"/>
        <w:jc w:val="center"/>
        <w:rPr>
          <w:b/>
          <w:caps/>
          <w:color w:val="FFFFFF"/>
          <w:spacing w:val="15"/>
          <w:sz w:val="20"/>
          <w:shd w:fill="2563EB" w:val="clear"/>
        </w:rPr>
      </w:pPr>
      <w:r>
        <w:rPr>
          <w:b/>
          <w:caps/>
          <w:color w:val="FFFFFF"/>
          <w:spacing w:val="15"/>
          <w:sz w:val="20"/>
          <w:shd w:fill="2563EB" w:val="clear"/>
        </w:rPr>
        <w:t>Document Officiel de Présentation</w:t>
      </w:r>
    </w:p>
    <w:p>
      <w:pPr>
        <w:pStyle w:val="Titre1doc-title"/>
        <w:bidi w:val="0"/>
        <w:jc w:val="center"/>
        <w:rPr/>
      </w:pPr>
      <w:r>
        <w:rPr/>
        <w:t>LE MONDE DU TRAVAIL</w:t>
      </w:r>
    </w:p>
    <w:p>
      <w:pPr>
        <w:pStyle w:val="BodyText"/>
        <w:bidi w:val="0"/>
        <w:spacing w:before="0" w:after="450"/>
        <w:ind w:hanging="0" w:start="0" w:end="0"/>
        <w:jc w:val="center"/>
        <w:rPr>
          <w:b/>
          <w:i/>
          <w:color w:val="2563EB"/>
          <w:sz w:val="36"/>
        </w:rPr>
      </w:pPr>
      <w:r>
        <w:rPr>
          <w:b/>
          <w:i/>
          <w:color w:val="2563EB"/>
          <w:sz w:val="36"/>
        </w:rPr>
        <w:t>« Demain se prépare aujourd'hui. »</w:t>
      </w:r>
    </w:p>
    <w:p>
      <w:pPr>
        <w:pStyle w:val="BodyText"/>
        <w:bidi w:val="0"/>
        <w:spacing w:lineRule="auto" w:line="360" w:before="0" w:after="600"/>
        <w:ind w:hanging="0" w:start="0" w:end="0"/>
        <w:jc w:val="center"/>
        <w:rPr>
          <w:color w:val="475569"/>
          <w:sz w:val="26"/>
        </w:rPr>
      </w:pPr>
      <w:r>
        <w:rPr>
          <w:color w:val="475569"/>
          <w:sz w:val="26"/>
        </w:rPr>
        <w:t xml:space="preserve">Plateforme Numérique Intégrée d'Orientation, de Formation et d'Émancipation Professionnelle pour la Jeunesse et les Membres du Club. </w:t>
      </w:r>
    </w:p>
    <w:p>
      <w:pPr>
        <w:pStyle w:val="BodyText"/>
        <w:bidi w:val="0"/>
        <w:spacing w:before="0" w:after="120"/>
        <w:ind w:hanging="0" w:start="0" w:end="0"/>
        <w:jc w:val="start"/>
        <w:rPr>
          <w:sz w:val="20"/>
          <w:bdr w:val="single" w:sz="2" w:space="15" w:color="E2E8F0"/>
          <w:shd w:fill="F8FAFC" w:val="clear"/>
        </w:rPr>
      </w:pPr>
      <w:r>
        <w:rPr>
          <w:b/>
          <w:color w:val="334155"/>
          <w:sz w:val="20"/>
          <w:bdr w:val="single" w:sz="2" w:space="15" w:color="E2E8F0"/>
          <w:shd w:fill="F8FAFC" w:val="clear"/>
        </w:rPr>
        <w:t>Site Web en Ligne :</w:t>
      </w:r>
      <w:r>
        <w:rPr>
          <w:sz w:val="20"/>
          <w:bdr w:val="single" w:sz="2" w:space="15" w:color="E2E8F0"/>
          <w:shd w:fill="F8FAFC" w:val="clear"/>
        </w:rPr>
        <w:t xml:space="preserve"> </w:t>
      </w:r>
      <w:r>
        <w:rPr>
          <w:color w:val="0F172A"/>
          <w:sz w:val="20"/>
          <w:bdr w:val="single" w:sz="2" w:space="15" w:color="E2E8F0"/>
          <w:shd w:fill="F8FAFC" w:val="clear"/>
        </w:rPr>
        <w:t>https://monde-du-travail.vercel.app</w:t>
      </w:r>
    </w:p>
    <w:p>
      <w:pPr>
        <w:pStyle w:val="BodyText"/>
        <w:bidi w:val="0"/>
        <w:spacing w:before="0" w:after="120"/>
        <w:ind w:hanging="0" w:start="0" w:end="0"/>
        <w:jc w:val="start"/>
        <w:rPr>
          <w:sz w:val="20"/>
          <w:bdr w:val="single" w:sz="2" w:space="15" w:color="E2E8F0"/>
          <w:shd w:fill="F8FAFC" w:val="clear"/>
        </w:rPr>
      </w:pPr>
      <w:r>
        <w:rPr>
          <w:b/>
          <w:color w:val="334155"/>
          <w:sz w:val="20"/>
          <w:bdr w:val="single" w:sz="2" w:space="15" w:color="E2E8F0"/>
          <w:shd w:fill="F8FAFC" w:val="clear"/>
        </w:rPr>
        <w:t>Portail Administration :</w:t>
      </w:r>
      <w:r>
        <w:rPr>
          <w:sz w:val="20"/>
          <w:bdr w:val="single" w:sz="2" w:space="15" w:color="E2E8F0"/>
          <w:shd w:fill="F8FAFC" w:val="clear"/>
        </w:rPr>
        <w:t xml:space="preserve"> </w:t>
      </w:r>
      <w:r>
        <w:rPr>
          <w:color w:val="0F172A"/>
          <w:sz w:val="20"/>
          <w:bdr w:val="single" w:sz="2" w:space="15" w:color="E2E8F0"/>
          <w:shd w:fill="F8FAFC" w:val="clear"/>
        </w:rPr>
        <w:t>https://monde-du-travail.vercel.app/admin</w:t>
      </w:r>
    </w:p>
    <w:p>
      <w:pPr>
        <w:pStyle w:val="BodyText"/>
        <w:bidi w:val="0"/>
        <w:spacing w:before="0" w:after="120"/>
        <w:ind w:hanging="0" w:start="0" w:end="0"/>
        <w:jc w:val="start"/>
        <w:rPr>
          <w:sz w:val="20"/>
          <w:bdr w:val="single" w:sz="2" w:space="15" w:color="E2E8F0"/>
          <w:shd w:fill="F8FAFC" w:val="clear"/>
        </w:rPr>
      </w:pPr>
      <w:r>
        <w:rPr>
          <w:b/>
          <w:color w:val="334155"/>
          <w:sz w:val="20"/>
          <w:bdr w:val="single" w:sz="2" w:space="15" w:color="E2E8F0"/>
          <w:shd w:fill="F8FAFC" w:val="clear"/>
        </w:rPr>
        <w:t>Public Cible :</w:t>
      </w:r>
      <w:r>
        <w:rPr>
          <w:sz w:val="20"/>
          <w:bdr w:val="single" w:sz="2" w:space="15" w:color="E2E8F0"/>
          <w:shd w:fill="F8FAFC" w:val="clear"/>
        </w:rPr>
        <w:t xml:space="preserve"> </w:t>
      </w:r>
      <w:r>
        <w:rPr>
          <w:color w:val="0F172A"/>
          <w:sz w:val="20"/>
          <w:bdr w:val="single" w:sz="2" w:space="15" w:color="E2E8F0"/>
          <w:shd w:fill="F8FAFC" w:val="clear"/>
        </w:rPr>
        <w:t>Membres du Club, Étudiants, Jeunes Diplômés &amp; Professionnels</w:t>
      </w:r>
    </w:p>
    <w:p>
      <w:pPr>
        <w:pStyle w:val="BodyText"/>
        <w:bidi w:val="0"/>
        <w:spacing w:before="0" w:after="120"/>
        <w:ind w:hanging="0" w:start="0" w:end="0"/>
        <w:jc w:val="start"/>
        <w:rPr>
          <w:sz w:val="20"/>
          <w:bdr w:val="single" w:sz="2" w:space="15" w:color="E2E8F0"/>
          <w:shd w:fill="F8FAFC" w:val="clear"/>
        </w:rPr>
      </w:pPr>
      <w:r>
        <w:rPr>
          <w:b/>
          <w:color w:val="334155"/>
          <w:sz w:val="20"/>
          <w:bdr w:val="single" w:sz="2" w:space="15" w:color="E2E8F0"/>
          <w:shd w:fill="F8FAFC" w:val="clear"/>
        </w:rPr>
        <w:t>Infrastructure :</w:t>
      </w:r>
      <w:r>
        <w:rPr>
          <w:sz w:val="20"/>
          <w:bdr w:val="single" w:sz="2" w:space="15" w:color="E2E8F0"/>
          <w:shd w:fill="F8FAFC" w:val="clear"/>
        </w:rPr>
        <w:t xml:space="preserve"> </w:t>
      </w:r>
      <w:r>
        <w:rPr>
          <w:color w:val="0F172A"/>
          <w:sz w:val="20"/>
          <w:bdr w:val="single" w:sz="2" w:space="15" w:color="E2E8F0"/>
          <w:shd w:fill="F8FAFC" w:val="clear"/>
        </w:rPr>
        <w:t>Vercel Serverless Edge &amp; Supabase Cloud PostgreSQL</w:t>
      </w:r>
    </w:p>
    <w:p>
      <w:pPr>
        <w:pStyle w:val="BodyText"/>
        <w:bidi w:val="0"/>
        <w:spacing w:before="0" w:after="120"/>
        <w:ind w:hanging="0" w:start="0" w:end="0"/>
        <w:jc w:val="start"/>
        <w:rPr>
          <w:sz w:val="20"/>
          <w:bdr w:val="single" w:sz="2" w:space="15" w:color="E2E8F0"/>
          <w:shd w:fill="F8FAFC" w:val="clear"/>
        </w:rPr>
      </w:pPr>
      <w:r>
        <w:rPr>
          <w:b/>
          <w:color w:val="334155"/>
          <w:sz w:val="20"/>
          <w:bdr w:val="single" w:sz="2" w:space="15" w:color="E2E8F0"/>
          <w:shd w:fill="F8FAFC" w:val="clear"/>
        </w:rPr>
        <w:t>Date d'Édition :</w:t>
      </w:r>
      <w:r>
        <w:rPr>
          <w:sz w:val="20"/>
          <w:bdr w:val="single" w:sz="2" w:space="15" w:color="E2E8F0"/>
          <w:shd w:fill="F8FAFC" w:val="clear"/>
        </w:rPr>
        <w:t xml:space="preserve"> </w:t>
      </w:r>
      <w:r>
        <w:rPr>
          <w:color w:val="0F172A"/>
          <w:sz w:val="20"/>
          <w:bdr w:val="single" w:sz="2" w:space="15" w:color="E2E8F0"/>
          <w:shd w:fill="F8FAFC" w:val="clear"/>
        </w:rPr>
        <w:t>16 Septembre 2026</w:t>
      </w:r>
    </w:p>
    <w:p>
      <w:pPr>
        <w:pStyle w:val="BodyText"/>
        <w:bidi w:val="0"/>
        <w:spacing w:before="0" w:after="120"/>
        <w:ind w:hanging="0" w:start="0" w:end="0"/>
        <w:jc w:val="start"/>
        <w:rPr>
          <w:sz w:val="20"/>
          <w:bdr w:val="single" w:sz="2" w:space="15" w:color="E2E8F0"/>
          <w:shd w:fill="F8FAFC" w:val="clear"/>
        </w:rPr>
      </w:pPr>
      <w:r>
        <w:rPr>
          <w:b/>
          <w:color w:val="334155"/>
          <w:sz w:val="20"/>
          <w:bdr w:val="single" w:sz="2" w:space="15" w:color="E2E8F0"/>
          <w:shd w:fill="F8FAFC" w:val="clear"/>
        </w:rPr>
        <w:t>Statut Actuel :</w:t>
      </w:r>
      <w:r>
        <w:rPr>
          <w:sz w:val="20"/>
          <w:bdr w:val="single" w:sz="2" w:space="15" w:color="E2E8F0"/>
          <w:shd w:fill="F8FAFC" w:val="clear"/>
        </w:rPr>
        <w:t xml:space="preserve"> </w:t>
      </w:r>
      <w:r>
        <w:rPr>
          <w:color w:val="0F172A"/>
          <w:sz w:val="20"/>
          <w:bdr w:val="single" w:sz="2" w:space="15" w:color="E2E8F0"/>
          <w:shd w:fill="F8FAFC" w:val="clear"/>
        </w:rPr>
        <w:t>100% Déployé &amp; Opérationnel en Production</w:t>
      </w:r>
    </w:p>
    <w:p>
      <w:pPr>
        <w:pStyle w:val="Heading2"/>
        <w:keepNext w:val="true"/>
        <w:numPr>
          <w:ilvl w:val="0"/>
          <w:numId w:val="0"/>
        </w:numPr>
        <w:pBdr>
          <w:bottom w:val="single" w:sz="12" w:space="5" w:color="2563EB"/>
        </w:pBdr>
        <w:bidi w:val="0"/>
        <w:spacing w:before="525" w:after="225"/>
        <w:jc w:val="start"/>
        <w:rPr/>
      </w:pPr>
      <w:r>
        <w:rPr/>
        <w:t>1. Vision &amp; Raison d'Être du Projet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Dans un contexte où le marché de l'emploi évolue avec une rapidité sans précédent, les jeunes diplômés, étudiants et personnes en reconversion font face à trois défis majeurs :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Le déficit d'orientation concrète :</w:t>
      </w:r>
      <w:r>
        <w:rPr/>
        <w:t xml:space="preserve"> De nombreuses filières académiques restent déconnectées des attentes réelles des recruteurs et des compétences opérationnelles recherchées.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L'opacité des métiers émergents :</w:t>
      </w:r>
      <w:r>
        <w:rPr/>
        <w:t xml:space="preserve"> Les opportunités dans le numérique, la transition énergétique, l'artisanat moderne et l'entrepreneuriat manquent de visibilité structurée.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L'isolement et l'absence de réseau :</w:t>
      </w:r>
      <w:r>
        <w:rPr/>
        <w:t xml:space="preserve"> Les jeunes manquent d'espaces bienveillants pour échanger, solliciter des conseils et bénéficier du parrainage de professionnels aguerris. </w:t>
      </w:r>
    </w:p>
    <w:p>
      <w:pPr>
        <w:pStyle w:val="BodyText"/>
        <w:bidi w:val="0"/>
        <w:spacing w:before="0" w:after="60"/>
        <w:ind w:hanging="0" w:start="0" w:end="0"/>
        <w:rPr>
          <w:b/>
          <w:color w:val="0F172A"/>
          <w:sz w:val="22"/>
        </w:rPr>
      </w:pPr>
      <w:r>
        <w:rPr>
          <w:b/>
          <w:color w:val="0F172A"/>
          <w:sz w:val="22"/>
        </w:rPr>
        <w:t>Notre Réponse Fondatrice</w:t>
      </w:r>
    </w:p>
    <w:p>
      <w:pPr>
        <w:pStyle w:val="BodyText"/>
        <w:bidi w:val="0"/>
        <w:spacing w:before="0" w:after="0"/>
        <w:rPr/>
      </w:pPr>
      <w:r>
        <w:rPr>
          <w:rStyle w:val="Strong"/>
        </w:rPr>
        <w:t>Le Monde du Travail</w:t>
      </w:r>
      <w:r>
        <w:rPr/>
        <w:t xml:space="preserve"> a été créé pour transformer cette dynamique. En combinant </w:t>
      </w:r>
      <w:r>
        <w:rPr>
          <w:rStyle w:val="Emphasis"/>
        </w:rPr>
        <w:t>Orientation + Formation + Information + Communauté + Technologie</w:t>
      </w:r>
      <w:r>
        <w:rPr/>
        <w:t xml:space="preserve">, la plateforme offre un tremplin concret, accessible à tous, pour bâtir une trajectoire professionnelle solide dès aujourd'hui. </w:t>
      </w:r>
    </w:p>
    <w:p>
      <w:pPr>
        <w:pStyle w:val="BodyText"/>
        <w:keepLines/>
        <w:bidi w:val="0"/>
        <w:spacing w:before="375" w:after="375"/>
        <w:ind w:hanging="0" w:start="375" w:end="375"/>
        <w:jc w:val="center"/>
        <w:rPr/>
      </w:pPr>
      <w:r>
        <w:rPr/>
        <w:drawing>
          <wp:inline distT="0" distB="0" distL="0" distR="0">
            <wp:extent cx="6480810" cy="7620000"/>
            <wp:effectExtent l="0" t="0" r="0" b="0"/>
            <wp:docPr id="1" name="Image1" title="Page d'accueil Le Monde du Trav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Page d'accueil Le Monde du Travail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83" t="-132" r="-83" b="-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7620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375" w:end="375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Figure 1 : Interface d'accueil de la plateforme en production (https://monde-du-travail.vercel.app)</w:t>
      </w:r>
    </w:p>
    <w:p>
      <w:pPr>
        <w:pStyle w:val="Heading2"/>
        <w:bidi w:val="0"/>
        <w:ind w:hanging="0" w:start="0" w:end="0"/>
        <w:jc w:val="start"/>
        <w:rPr/>
      </w:pPr>
      <w:r>
        <w:rPr/>
        <w:t>2. Fonctionnalités Actuellement Déployées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La plateforme propose aujourd'hui un écosystème complet de modules interconnectés, répondant chacun à un besoin spécifique du parcours des membres : 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375" w:after="150"/>
        <w:jc w:val="start"/>
        <w:rPr/>
      </w:pPr>
      <w:r>
        <w:rPr/>
        <w:t>2.1. Fiches Métiers Détaillées &amp; Guide d'Orientation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Un répertoire riche présentant les métiers clés du marché moderne. Chaque fiche comprend : la description du rôle, les missions quotidiennes, les compétences techniques requises, les soft skills recommandées, les perspectives salariales indicatives et les voies de formation pour y parvenir. </w:t>
      </w:r>
    </w:p>
    <w:p>
      <w:pPr>
        <w:pStyle w:val="BodyText"/>
        <w:keepLines/>
        <w:bidi w:val="0"/>
        <w:spacing w:before="375" w:after="375"/>
        <w:ind w:hanging="0" w:start="375" w:end="375"/>
        <w:jc w:val="center"/>
        <w:rPr/>
      </w:pPr>
      <w:r>
        <w:rPr/>
        <w:drawing>
          <wp:inline distT="0" distB="0" distL="0" distR="0">
            <wp:extent cx="6480810" cy="7620000"/>
            <wp:effectExtent l="0" t="0" r="0" b="0"/>
            <wp:docPr id="2" name="Image2" title="Catalogue des Méti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title="Catalogue des Métier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83" t="-132" r="-83" b="-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7620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375" w:end="375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Figure 2 : Moteur de recherche et fiches descriptives des métiers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375" w:after="150"/>
        <w:jc w:val="start"/>
        <w:rPr/>
      </w:pPr>
      <w:r>
        <w:rPr/>
        <w:t>2.2. Catalogue de Formations Qualifiantes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Une sélection de programmes de formation professionnelle ciblés, conçus pour combler le fossé entre théorie et pratique : compétences numériques, bureautique avancée, gestion de projet, communication et leadership. </w:t>
      </w:r>
    </w:p>
    <w:p>
      <w:pPr>
        <w:pStyle w:val="BodyText"/>
        <w:keepLines/>
        <w:bidi w:val="0"/>
        <w:spacing w:before="375" w:after="375"/>
        <w:ind w:hanging="0" w:start="375" w:end="375"/>
        <w:jc w:val="center"/>
        <w:rPr/>
      </w:pPr>
      <w:r>
        <w:rPr/>
        <w:drawing>
          <wp:inline distT="0" distB="0" distL="0" distR="0">
            <wp:extent cx="6480810" cy="7620000"/>
            <wp:effectExtent l="0" t="0" r="0" b="0"/>
            <wp:docPr id="3" name="Image3" title="Catalogue des Form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title="Catalogue des Formations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83" t="-132" r="-83" b="-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7620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375" w:end="375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Figure 3 : Catalogue des formations certifiantes et professionnalisantes</w:t>
      </w:r>
    </w:p>
    <w:p>
      <w:pPr>
        <w:pStyle w:val="Heading3"/>
        <w:bidi w:val="0"/>
        <w:ind w:hanging="0" w:start="0" w:end="0"/>
        <w:jc w:val="start"/>
        <w:rPr/>
      </w:pPr>
      <w:r>
        <w:rPr/>
        <w:t>2.3. Blog Professionnel &amp; Veille sur le Recrutement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Des articles pratiques rédigés pour accompagner les jeunes : comment réussir son CV, préparer un entretien d'embauche, négocier son premier contrat, comprendre les attentes des entreprises et développer sa posture professionnelle. </w:t>
      </w:r>
    </w:p>
    <w:p>
      <w:pPr>
        <w:pStyle w:val="BodyText"/>
        <w:keepLines/>
        <w:bidi w:val="0"/>
        <w:spacing w:before="375" w:after="375"/>
        <w:ind w:hanging="0" w:start="375" w:end="375"/>
        <w:jc w:val="center"/>
        <w:rPr/>
      </w:pPr>
      <w:r>
        <w:rPr/>
        <w:drawing>
          <wp:inline distT="0" distB="0" distL="0" distR="0">
            <wp:extent cx="6480810" cy="7620000"/>
            <wp:effectExtent l="0" t="0" r="0" b="0"/>
            <wp:docPr id="4" name="Image4" title="Blog et Actualité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title="Blog et Actualité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83" t="-132" r="-83" b="-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7620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375" w:end="375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Figure 4 : Le blog professionnel et les guides carrière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375" w:after="150"/>
        <w:jc w:val="start"/>
        <w:rPr/>
      </w:pPr>
      <w:r>
        <w:rPr/>
        <w:t>2.4. Espace Membre, Connexion &amp; Adhésion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Chaque membre du club bénéficie d'un compte sécurisé lui permettant d'accéder aux fonctionnalités avancées, d'enregistrer ses préférences, de participer aux échanges du forum et de suivre la vie de l'association. </w:t>
      </w:r>
    </w:p>
    <w:p>
      <w:pPr>
        <w:pStyle w:val="BodyText"/>
        <w:keepLines/>
        <w:bidi w:val="0"/>
        <w:spacing w:before="375" w:after="375"/>
        <w:ind w:hanging="0" w:start="375" w:end="375"/>
        <w:jc w:val="center"/>
        <w:rPr/>
      </w:pPr>
      <w:r>
        <w:rPr/>
        <w:drawing>
          <wp:inline distT="0" distB="0" distL="0" distR="0">
            <wp:extent cx="6480810" cy="7620000"/>
            <wp:effectExtent l="0" t="0" r="0" b="0"/>
            <wp:docPr id="5" name="Image5" title="Portail d'Adhésion et Connex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title="Portail d'Adhésion et Connexion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83" t="-132" r="-83" b="-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7620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375" w:end="375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Figure 5 : Portail d'adhésion et de connexion sécurisée</w:t>
      </w:r>
    </w:p>
    <w:p>
      <w:pPr>
        <w:pStyle w:val="Heading3"/>
        <w:bidi w:val="0"/>
        <w:ind w:hanging="0" w:start="0" w:end="0"/>
        <w:jc w:val="start"/>
        <w:rPr/>
      </w:pPr>
      <w:r>
        <w:rPr/>
        <w:t>2.5. Espace d'Administration &amp; Gestion du Bureau du Club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La console d'administration offre un tableau de bord complet pour piloter la plateforme. Récemment enrichie d'une section </w:t>
      </w:r>
      <w:r>
        <w:rPr>
          <w:rStyle w:val="Strong"/>
        </w:rPr>
        <w:t>« Organisation &amp; Fonctionnement »</w:t>
      </w:r>
      <w:r>
        <w:rPr/>
        <w:t xml:space="preserve">, elle permet à l'Ultra Admin de gérer le bureau du club, d'attribuer des postes associatifs et de personnaliser les missions de chaque responsable. </w:t>
      </w:r>
    </w:p>
    <w:p>
      <w:pPr>
        <w:pStyle w:val="BodyText"/>
        <w:keepLines/>
        <w:bidi w:val="0"/>
        <w:spacing w:before="375" w:after="375"/>
        <w:ind w:hanging="0" w:start="375" w:end="375"/>
        <w:jc w:val="center"/>
        <w:rPr/>
      </w:pPr>
      <w:r>
        <w:rPr/>
        <w:drawing>
          <wp:inline distT="0" distB="0" distL="0" distR="0">
            <wp:extent cx="6480810" cy="7620000"/>
            <wp:effectExtent l="0" t="0" r="0" b="0"/>
            <wp:docPr id="6" name="Image6" title="Console Administration et Bureau du Cl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title="Console Administration et Bureau du Club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83" t="-132" r="-83" b="-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7620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BD5E1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180"/>
        <w:ind w:hanging="0" w:start="375" w:end="375"/>
        <w:jc w:val="center"/>
        <w:rPr>
          <w:i/>
          <w:color w:val="64748B"/>
          <w:sz w:val="18"/>
        </w:rPr>
      </w:pPr>
      <w:r>
        <w:rPr>
          <w:i/>
          <w:color w:val="64748B"/>
          <w:sz w:val="18"/>
        </w:rPr>
        <w:t>Figure 6 : Console d'administration sécurisée avec gestion de l'organigramme</w:t>
      </w:r>
    </w:p>
    <w:p>
      <w:pPr>
        <w:pStyle w:val="Heading2"/>
        <w:keepNext w:val="true"/>
        <w:numPr>
          <w:ilvl w:val="0"/>
          <w:numId w:val="0"/>
        </w:numPr>
        <w:pBdr>
          <w:bottom w:val="single" w:sz="12" w:space="5" w:color="2563EB"/>
        </w:pBdr>
        <w:bidi w:val="0"/>
        <w:spacing w:before="525" w:after="225"/>
        <w:jc w:val="start"/>
        <w:rPr/>
      </w:pPr>
      <w:r>
        <w:rPr/>
        <w:t>3. Architecture Technique : Vercel &amp; Supabase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Le choix de l'architecture technique a été guidé par trois impératifs : </w:t>
      </w:r>
      <w:r>
        <w:rPr>
          <w:rStyle w:val="Strong"/>
        </w:rPr>
        <w:t>la robustesse industrielle</w:t>
      </w:r>
      <w:r>
        <w:rPr/>
        <w:t xml:space="preserve">, </w:t>
      </w:r>
      <w:r>
        <w:rPr>
          <w:rStyle w:val="Strong"/>
        </w:rPr>
        <w:t>la rapidité de chargement</w:t>
      </w:r>
      <w:r>
        <w:rPr/>
        <w:t xml:space="preserve"> et </w:t>
      </w:r>
      <w:r>
        <w:rPr>
          <w:rStyle w:val="Strong"/>
        </w:rPr>
        <w:t>la maîtrise absolue des coûts de démarrage</w:t>
      </w:r>
      <w:r>
        <w:rPr/>
        <w:t xml:space="preserve">. 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375" w:after="150"/>
        <w:jc w:val="start"/>
        <w:rPr/>
      </w:pPr>
      <w:r>
        <w:rPr/>
        <w:t>3.1. Vercel (Hébergement Cloud &amp; Edge Serverless)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Réseau CDN Mondial (Edge Network) :</w:t>
      </w:r>
      <w:r>
        <w:rPr/>
        <w:t xml:space="preserve"> Le site et ses ressources statiques sont distribués sur des dizaines de serveurs à travers le globe, garantissant un affichage instantané tant au Sénégal qu'à l'international.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Architecture Serverless Node.js :</w:t>
      </w:r>
      <w:r>
        <w:rPr/>
        <w:t xml:space="preserve"> L'API backend s'exécute à la demande sans serveur physique continu à administrer, éliminant les risques de panne serveur non supervisée.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Intégration &amp; Déploiement Continus (CI/CD) :</w:t>
      </w:r>
      <w:r>
        <w:rPr/>
        <w:t xml:space="preserve"> Chaque amélioration validée sur le dépôt Git déclenche un déploiement automatique en production en moins de 60 secondes.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Sécurité Maximale :</w:t>
      </w:r>
      <w:r>
        <w:rPr/>
        <w:t xml:space="preserve"> Certificats SSL HTTPS gérés automatiquement et protection native contre les attaques volumétriques (DDoS). 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375" w:after="150"/>
        <w:jc w:val="start"/>
        <w:rPr/>
      </w:pPr>
      <w:r>
        <w:rPr/>
        <w:t>3.2. Supabase (Base de Données PostgreSQL Managée)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Puissance de PostgreSQL :</w:t>
      </w:r>
      <w:r>
        <w:rPr/>
        <w:t xml:space="preserve"> Intégrité relationnelle stricte (ACID), requêtes optimisées et fiabilité éprouvée.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Prisma ORM :</w:t>
      </w:r>
      <w:r>
        <w:rPr/>
        <w:t xml:space="preserve"> Modélisation typée et sécurisée dans le code, empêchant structurellement les failles par injection SQL.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Sécurité Granulaire (Row-Level Security - RLS) :</w:t>
      </w:r>
      <w:r>
        <w:rPr/>
        <w:t xml:space="preserve"> Contrôle d'accès strict niveau base de données selon les rôles des utilisateurs.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Sauvegardes Automatiques :</w:t>
      </w:r>
      <w:r>
        <w:rPr/>
        <w:t xml:space="preserve"> Préservation continue des données des membres et de l'association. </w:t>
      </w:r>
    </w:p>
    <w:p>
      <w:pPr>
        <w:pStyle w:val="Heading2"/>
        <w:bidi w:val="0"/>
        <w:ind w:hanging="0" w:start="0" w:end="0"/>
        <w:jc w:val="start"/>
        <w:rPr/>
      </w:pPr>
      <w:r>
        <w:rPr/>
        <w:t>4. Analyse Économique &amp; Conversion en FCFA</w:t>
      </w:r>
    </w:p>
    <w:p>
      <w:pPr>
        <w:pStyle w:val="BodyText"/>
        <w:bidi w:val="0"/>
        <w:spacing w:before="0" w:after="60"/>
        <w:ind w:hanging="0" w:start="300" w:end="300"/>
        <w:rPr>
          <w:b/>
          <w:color w:val="0F172A"/>
          <w:sz w:val="22"/>
          <w:bdr w:val="single" w:sz="24" w:space="14" w:color="2563EB"/>
          <w:shd w:fill="EFF6FF" w:val="clear"/>
        </w:rPr>
      </w:pPr>
      <w:r>
        <w:rPr>
          <w:b/>
          <w:color w:val="0F172A"/>
          <w:sz w:val="22"/>
          <w:bdr w:val="single" w:sz="24" w:space="14" w:color="2563EB"/>
          <w:shd w:fill="EFF6FF" w:val="clear"/>
        </w:rPr>
        <w:t>Taux de Conversion Appliqué</w:t>
      </w:r>
    </w:p>
    <w:p>
      <w:pPr>
        <w:pStyle w:val="BodyText"/>
        <w:bidi w:val="0"/>
        <w:spacing w:before="300" w:after="300"/>
        <w:ind w:start="300" w:end="300"/>
        <w:rPr/>
      </w:pPr>
      <w:r>
        <w:rPr>
          <w:bdr w:val="single" w:sz="24" w:space="14" w:color="2563EB"/>
          <w:shd w:fill="EFF6FF" w:val="clear"/>
        </w:rPr>
        <w:t xml:space="preserve">Tous les tarifs internationaux sont convertis sur la base officielle de </w:t>
      </w:r>
      <w:r>
        <w:rPr>
          <w:rStyle w:val="Strong"/>
          <w:bdr w:val="single" w:sz="24" w:space="14" w:color="2563EB"/>
          <w:shd w:fill="EFF6FF" w:val="clear"/>
        </w:rPr>
        <w:t>1 USD = 615 FCFA</w:t>
      </w:r>
      <w:r>
        <w:rPr>
          <w:bdr w:val="single" w:sz="24" w:space="14" w:color="2563EB"/>
          <w:shd w:fill="EFF6FF" w:val="clear"/>
        </w:rPr>
        <w:t xml:space="preserve">. 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375" w:after="150"/>
        <w:jc w:val="start"/>
        <w:rPr/>
      </w:pPr>
      <w:r>
        <w:rPr/>
        <w:t>4.1. L'Offre Gratuite Actuelle (0 FCFA / mois)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À ce jour, la plateforme fonctionne </w:t>
      </w:r>
      <w:r>
        <w:rPr>
          <w:rStyle w:val="Strong"/>
        </w:rPr>
        <w:t>intégralement sur les formules gratuites</w:t>
      </w:r>
      <w:r>
        <w:rPr/>
        <w:t xml:space="preserve"> (Free Tier) de Vercel et de Supabase. Cela représente un avantage stratégique déterminant pour le club :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Vercel Hobby :</w:t>
      </w:r>
      <w:r>
        <w:rPr/>
        <w:t xml:space="preserve"> 100 Go de bande passante mensuelle, nombre illimité de déploiements, exécutions serverless largement suffisantes pour plusieurs dizaines de milliers de requêtes quotidiennes.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Supabase Free Tier :</w:t>
      </w:r>
      <w:r>
        <w:rPr/>
        <w:t xml:space="preserve"> 500 Mo d'espace de stockage PostgreSQL (soit plus de 50 000 profils membres complets), 1 Go de fichiers médias, et jusqu'à 50 000 utilisateurs actifs par mois.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Impact Budgétaire :</w:t>
      </w:r>
      <w:r>
        <w:rPr/>
        <w:t xml:space="preserve"> </w:t>
      </w:r>
      <w:r>
        <w:rPr>
          <w:rStyle w:val="Strong"/>
        </w:rPr>
        <w:t>0 FCFA / mois</w:t>
      </w:r>
      <w:r>
        <w:rPr/>
        <w:t xml:space="preserve">. Le club ne débourse aucun centime pour faire tourner la plateforme en phase de lancement et de test. 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375" w:after="150"/>
        <w:jc w:val="start"/>
        <w:rPr/>
      </w:pPr>
      <w:r>
        <w:rPr/>
        <w:t>4.2. Quand Faudra-t-il Passer à un Abonnement Payant ?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Le passage à une formule payante ne sera requis que si le club franchit un cap de croissance majeur :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Si le nombre de membres et de contenus dépasse les 500 Mo de base de données relationnelle.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Si le trafic mensuel dépasse les 100 Go de données transférées.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Si le club requiert une restauration continue de la base à la seconde près (Point-in-Time Recovery). 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375" w:after="150"/>
        <w:jc w:val="start"/>
        <w:rPr/>
      </w:pPr>
      <w:r>
        <w:rPr/>
        <w:t>4.3. Tableau Comparatif &amp; Tarification en FCFA</w:t>
      </w:r>
    </w:p>
    <w:tbl>
      <w:tblPr>
        <w:tblW w:w="1020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206"/>
      </w:tblGrid>
      <w:tr>
        <w:trPr>
          <w:tblHeader w:val="true"/>
        </w:trPr>
        <w:tc>
          <w:tcPr>
            <w:tcW w:w="10206" w:type="dxa"/>
            <w:tcBorders/>
            <w:vAlign w:val="center"/>
          </w:tcPr>
          <w:p>
            <w:pPr>
              <w:pStyle w:val="Titredetableau"/>
              <w:suppressLineNumbers/>
              <w:bidi w:val="0"/>
              <w:spacing w:before="0" w:after="180"/>
              <w:jc w:val="start"/>
              <w:rPr/>
            </w:pPr>
            <w:r>
              <w:rPr/>
              <w:t>Composant Technique</w:t>
            </w:r>
          </w:p>
        </w:tc>
      </w:tr>
      <w:tr>
        <w:trPr/>
        <w:tc>
          <w:tcPr>
            <w:tcW w:w="10206" w:type="dxa"/>
            <w:tcBorders/>
            <w:vAlign w:val="center"/>
          </w:tcPr>
          <w:p>
            <w:pPr>
              <w:pStyle w:val="Contenudetableau"/>
              <w:bidi w:val="0"/>
              <w:spacing w:before="0" w:after="180"/>
              <w:jc w:val="start"/>
              <w:rPr/>
            </w:pPr>
            <w:r>
              <w:rPr>
                <w:rStyle w:val="Strong"/>
              </w:rPr>
              <w:t>Vercel</w:t>
            </w:r>
            <w:r>
              <w:rPr/>
              <w:t xml:space="preserve"> (Front-end &amp; API Serverless)</w:t>
            </w:r>
          </w:p>
        </w:tc>
      </w:tr>
      <w:tr>
        <w:trPr/>
        <w:tc>
          <w:tcPr>
            <w:tcW w:w="10206" w:type="dxa"/>
            <w:tcBorders/>
            <w:vAlign w:val="center"/>
          </w:tcPr>
          <w:p>
            <w:pPr>
              <w:pStyle w:val="Contenudetableau"/>
              <w:bidi w:val="0"/>
              <w:spacing w:before="0" w:after="180"/>
              <w:jc w:val="start"/>
              <w:rPr/>
            </w:pPr>
            <w:r>
              <w:rPr>
                <w:rStyle w:val="Strong"/>
              </w:rPr>
              <w:t>Supabase</w:t>
            </w:r>
            <w:r>
              <w:rPr/>
              <w:t xml:space="preserve"> (PostgreSQL Managé)</w:t>
            </w:r>
          </w:p>
        </w:tc>
      </w:tr>
      <w:tr>
        <w:trPr/>
        <w:tc>
          <w:tcPr>
            <w:tcW w:w="10206" w:type="dxa"/>
            <w:tcBorders/>
            <w:shd w:fill="F1F5F9" w:val="clear"/>
            <w:vAlign w:val="center"/>
          </w:tcPr>
          <w:p>
            <w:pPr>
              <w:pStyle w:val="Contenudetableau"/>
              <w:bidi w:val="0"/>
              <w:spacing w:before="0" w:after="180"/>
              <w:jc w:val="start"/>
              <w:rPr/>
            </w:pPr>
            <w:r>
              <w:rPr/>
              <w:t>TOTAL INFRASTRUCTURE</w:t>
            </w:r>
          </w:p>
        </w:tc>
      </w:tr>
    </w:tbl>
    <w:p>
      <w:pPr>
        <w:pStyle w:val="BodyText"/>
        <w:bidi w:val="0"/>
        <w:spacing w:before="0" w:after="180"/>
        <w:jc w:val="both"/>
        <w:rPr/>
      </w:pPr>
      <w:r>
        <w:rPr>
          <w:rStyle w:val="Emphasis"/>
        </w:rPr>
        <w:t>À titre de comparaison :</w:t>
      </w:r>
      <w:r>
        <w:rPr/>
        <w:t xml:space="preserve"> La location d'un serveur dédié classique avec infogérance dans un centre de données traditionnel coûterait entre </w:t>
      </w:r>
      <w:r>
        <w:rPr>
          <w:rStyle w:val="Strong"/>
        </w:rPr>
        <w:t>150 000 FCFA et 300 000 FCFA par mois</w:t>
      </w:r>
      <w:r>
        <w:rPr/>
        <w:t xml:space="preserve">, sans offrir la redondance mondiale ni l'évolutivité automatique de notre architecture actuelle. </w:t>
      </w:r>
    </w:p>
    <w:p>
      <w:pPr>
        <w:pStyle w:val="Heading2"/>
        <w:bidi w:val="0"/>
        <w:ind w:hanging="0" w:start="0" w:end="0"/>
        <w:jc w:val="start"/>
        <w:rPr/>
      </w:pPr>
      <w:r>
        <w:rPr/>
        <w:t>5. Perspectives d'Évolution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Plusieurs fonctionnalités stratégiques peuvent être développées progressivement pour enrichir la plateforme : 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375" w:after="150"/>
        <w:jc w:val="start"/>
        <w:rPr/>
      </w:pPr>
      <w:r>
        <w:rPr/>
        <w:t xml:space="preserve">🎯 </w:t>
      </w:r>
      <w:r>
        <w:rPr/>
        <w:t>Orientation personnalisée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Permettre à un jeune de répondre à un questionnaire interactif en ligne et de recevoir des pistes d'orientation ciblées et adaptées à ses centres d'intérêt et compétences. 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375" w:after="150"/>
        <w:jc w:val="start"/>
        <w:rPr/>
      </w:pPr>
      <w:r>
        <w:rPr/>
        <w:t xml:space="preserve">📚 </w:t>
      </w:r>
      <w:r>
        <w:rPr/>
        <w:t>Bibliothèque de ressources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Créer un espace documentaire unifié regroupant :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guides méthodologiques 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documents et modèles téléchargeables (CV, lettres de motivation) 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vidéos et tutoriels de formation 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ressources éducatives certifiées 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liens utiles vers les organismes professionnels. 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375" w:after="150"/>
        <w:jc w:val="start"/>
        <w:rPr/>
      </w:pPr>
      <w:r>
        <w:rPr/>
        <w:t xml:space="preserve">🧑🏾‍🏫 </w:t>
      </w:r>
      <w:r>
        <w:rPr/>
        <w:t>Mentorat &amp; Parrainage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Mettre en relation directe les jeunes avec des professionnels expérimentés et des alumni du club pour un accompagnement individualisé. 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375" w:after="150"/>
        <w:jc w:val="start"/>
        <w:rPr/>
      </w:pPr>
      <w:r>
        <w:rPr/>
        <w:t xml:space="preserve">📝 </w:t>
      </w:r>
      <w:r>
        <w:rPr/>
        <w:t>Simulations d'entretien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Créer des exercices pratiques et des ateliers filmés permettant aux candidats de se préparer sereinement aux questions pièges des recruteurs. 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375" w:after="150"/>
        <w:jc w:val="start"/>
        <w:rPr/>
      </w:pPr>
      <w:r>
        <w:rPr/>
        <w:t xml:space="preserve">🏆 </w:t>
      </w:r>
      <w:r>
        <w:rPr/>
        <w:t>Système de progression &amp; Gamification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Ajouter un système de motivation stimulant :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badges de compétences acquis 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niveaux d'avancement 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certificats d'achèvement de parcours 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suivi dynamique de la progression dans les formations. 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375" w:after="150"/>
        <w:jc w:val="start"/>
        <w:rPr/>
      </w:pPr>
      <w:r>
        <w:rPr/>
        <w:t xml:space="preserve">📊 </w:t>
      </w:r>
      <w:r>
        <w:rPr/>
        <w:t>Tableau de bord individuel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Permettre aux membres de visualiser en un coup d'œil leur progression, leurs candidatures, leurs formations suivies et leurs objectifs. </w:t>
      </w:r>
    </w:p>
    <w:p>
      <w:pPr>
        <w:pStyle w:val="Heading3"/>
        <w:keepNext w:val="true"/>
        <w:numPr>
          <w:ilvl w:val="0"/>
          <w:numId w:val="0"/>
        </w:numPr>
        <w:bidi w:val="0"/>
        <w:spacing w:before="375" w:after="150"/>
        <w:jc w:val="start"/>
        <w:rPr/>
      </w:pPr>
      <w:r>
        <w:rPr/>
        <w:t xml:space="preserve">🤖 </w:t>
      </w:r>
      <w:r>
        <w:rPr/>
        <w:t>Intelligence artificielle</w:t>
      </w:r>
    </w:p>
    <w:p>
      <w:pPr>
        <w:pStyle w:val="BodyText"/>
        <w:bidi w:val="0"/>
        <w:spacing w:before="0" w:after="180"/>
        <w:jc w:val="both"/>
        <w:rPr/>
      </w:pPr>
      <w:r>
        <w:rPr/>
        <w:t xml:space="preserve">À plus long terme, l'IA pourrait intervenir comme accélérateur d'insertion pour :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l'orientation et la recommandation intelligente de filières 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la recherche d'informations personnalisées 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la préparation interactive aux entretiens via un agent conversationnel RH 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la personnalisation dynamique des parcours d'apprentissage 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l'analyse sémantique des compétences par rapport aux offres du marché. </w:t>
      </w:r>
    </w:p>
    <w:p>
      <w:pPr>
        <w:pStyle w:val="Heading2"/>
        <w:bidi w:val="0"/>
        <w:spacing w:before="450" w:after="450"/>
        <w:ind w:hanging="0" w:start="450" w:end="450"/>
        <w:jc w:val="start"/>
        <w:rPr>
          <w:color w:val="FFFFFF"/>
        </w:rPr>
      </w:pPr>
      <w:r>
        <w:rPr>
          <w:color w:val="FFFFFF"/>
        </w:rPr>
        <w:t>27. Conclusion Officielle</w:t>
      </w:r>
    </w:p>
    <w:p>
      <w:pPr>
        <w:pStyle w:val="BodyText"/>
        <w:bidi w:val="0"/>
        <w:spacing w:before="450" w:after="450"/>
        <w:ind w:hanging="0" w:start="450" w:end="450"/>
        <w:rPr>
          <w:b/>
          <w:color w:val="FFFFFF"/>
          <w:sz w:val="26"/>
        </w:rPr>
      </w:pPr>
      <w:r>
        <w:rPr>
          <w:b/>
          <w:color w:val="FFFFFF"/>
          <w:sz w:val="26"/>
        </w:rPr>
        <w:t xml:space="preserve">Le Monde du Travail n'est pas simplement un site web. </w:t>
      </w:r>
    </w:p>
    <w:p>
      <w:pPr>
        <w:pStyle w:val="BodyText"/>
        <w:bidi w:val="0"/>
        <w:spacing w:before="450" w:after="450"/>
        <w:ind w:hanging="0" w:start="450" w:end="450"/>
        <w:rPr>
          <w:color w:val="FFFFFF"/>
        </w:rPr>
      </w:pPr>
      <w:r>
        <w:rPr>
          <w:color w:val="FFFFFF"/>
        </w:rPr>
        <w:t xml:space="preserve">C'est une première étape vers la création d'un écosystème numérique dédié à la préparation professionnelle des jeunes. </w:t>
      </w:r>
    </w:p>
    <w:p>
      <w:pPr>
        <w:pStyle w:val="BodyText"/>
        <w:bidi w:val="0"/>
        <w:spacing w:before="450" w:after="450"/>
        <w:ind w:hanging="0" w:start="450" w:end="450"/>
        <w:rPr>
          <w:color w:val="FFFFFF"/>
        </w:rPr>
      </w:pPr>
      <w:r>
        <w:rPr>
          <w:color w:val="FFFFFF"/>
        </w:rPr>
        <w:t>Le projet combine de façon inédite :</w:t>
        <w:br/>
      </w:r>
      <w:r>
        <w:rPr>
          <w:b/>
          <w:color w:val="93C5FD"/>
          <w:sz w:val="24"/>
        </w:rPr>
        <w:t>Orientation + Formation + Information + Communauté + Technologie</w:t>
      </w:r>
      <w:r>
        <w:rPr>
          <w:color w:val="FFFFFF"/>
        </w:rPr>
        <w:t xml:space="preserve"> </w:t>
      </w:r>
    </w:p>
    <w:p>
      <w:pPr>
        <w:pStyle w:val="BodyText"/>
        <w:bidi w:val="0"/>
        <w:spacing w:before="450" w:after="450"/>
        <w:ind w:hanging="0" w:start="450" w:end="450"/>
        <w:rPr>
          <w:color w:val="FFFFFF"/>
        </w:rPr>
      </w:pPr>
      <w:r>
        <w:rPr>
          <w:color w:val="FFFFFF"/>
        </w:rPr>
        <w:t xml:space="preserve">Son infrastructure actuelle permet de commencer avec des coûts très faibles grâce aux offres gratuites de services comme Supabase et Vercel. </w:t>
      </w:r>
    </w:p>
    <w:p>
      <w:pPr>
        <w:pStyle w:val="BodyText"/>
        <w:bidi w:val="0"/>
        <w:spacing w:before="450" w:after="450"/>
        <w:ind w:hanging="0" w:start="450" w:end="450"/>
        <w:rPr>
          <w:color w:val="FFFFFF"/>
        </w:rPr>
      </w:pPr>
      <w:r>
        <w:rPr>
          <w:color w:val="FFFFFF"/>
        </w:rPr>
        <w:t xml:space="preserve">L'objectif n'est pas de construire immédiatement une plateforme gigantesque. </w:t>
      </w:r>
    </w:p>
    <w:p>
      <w:pPr>
        <w:pStyle w:val="BodyText"/>
        <w:bidi w:val="0"/>
        <w:spacing w:before="450" w:after="450"/>
        <w:ind w:hanging="0" w:start="450" w:end="450"/>
        <w:rPr>
          <w:b/>
          <w:color w:val="60A5FA"/>
          <w:sz w:val="24"/>
        </w:rPr>
      </w:pPr>
      <w:r>
        <w:rPr>
          <w:b/>
          <w:color w:val="60A5FA"/>
          <w:sz w:val="24"/>
        </w:rPr>
        <w:t>L'objectif est de :</w:t>
        <w:br/>
        <w:t xml:space="preserve">commencer → tester → recueillir les besoins → améliorer → développer la communauté → faire évoluer l'infrastructure. </w:t>
      </w:r>
    </w:p>
    <w:p>
      <w:pPr>
        <w:pStyle w:val="Lignehorizontale"/>
        <w:bidi w:val="0"/>
        <w:spacing w:before="450" w:after="450"/>
        <w:ind w:hanging="0" w:start="450" w:end="450"/>
        <w:jc w:val="start"/>
        <w:rPr/>
      </w:pPr>
      <w:r>
        <w:rPr/>
      </w:r>
    </w:p>
    <w:p>
      <w:pPr>
        <w:pStyle w:val="BodyText"/>
        <w:bidi w:val="0"/>
        <w:spacing w:before="450" w:after="450"/>
        <w:ind w:hanging="0" w:start="450" w:end="450"/>
        <w:rPr/>
      </w:pPr>
      <w:r>
        <w:rPr>
          <w:rStyle w:val="Strong"/>
          <w:color w:val="FFFFFF"/>
          <w:sz w:val="26"/>
        </w:rPr>
        <w:t>Notre vision :</w:t>
      </w:r>
      <w:r>
        <w:rPr>
          <w:color w:val="FFFFFF"/>
          <w:sz w:val="26"/>
        </w:rPr>
        <w:br/>
      </w:r>
      <w:r>
        <w:rPr>
          <w:rStyle w:val="Emphasis"/>
          <w:color w:val="FFFFFF"/>
          <w:sz w:val="26"/>
        </w:rPr>
        <w:t>Préparer aujourd'hui les professionnels et les citoyens qui construiront demain.</w:t>
      </w:r>
      <w:r>
        <w:rPr>
          <w:color w:val="FFFFFF"/>
          <w:sz w:val="26"/>
        </w:rPr>
        <w:t xml:space="preserve"> </w:t>
      </w:r>
    </w:p>
    <w:p>
      <w:pPr>
        <w:pStyle w:val="BodyText"/>
        <w:bidi w:val="0"/>
        <w:spacing w:before="375" w:after="180"/>
        <w:ind w:hanging="0" w:start="450" w:end="450"/>
        <w:jc w:val="end"/>
        <w:rPr>
          <w:color w:val="FFFFFF"/>
        </w:rPr>
      </w:pPr>
      <w:r>
        <w:rPr>
          <w:b/>
          <w:color w:val="FFFFFF"/>
          <w:spacing w:val="15"/>
          <w:sz w:val="28"/>
        </w:rPr>
        <w:t>LE MONDE DU TRAVAIL</w:t>
      </w:r>
      <w:r>
        <w:rPr>
          <w:color w:val="FFFFFF"/>
        </w:rPr>
        <w:br/>
      </w:r>
      <w:r>
        <w:rPr>
          <w:i/>
          <w:color w:val="93C5FD"/>
          <w:sz w:val="22"/>
        </w:rPr>
        <w:t>Demain se prépare aujourd'hui.</w:t>
      </w:r>
      <w:r>
        <w:rPr>
          <w:color w:val="FFFFFF"/>
        </w:rPr>
        <w:t xml:space="preserve"> </w:t>
      </w:r>
    </w:p>
    <w:sectPr>
      <w:type w:val="nextPage"/>
      <w:pgSz w:w="11906" w:h="16838"/>
      <w:pgMar w:left="850" w:right="850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egoe UI">
    <w:altName w:val="Arial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84"/>
    </w:pPr>
    <w:rPr>
      <w:rFonts w:ascii="Segoe UI;Arial;Helvetica;sans-serif" w:hAnsi="Segoe UI;Arial;Helvetica;sans-serif" w:eastAsia="Segoe UI;Arial;Helvetica;sans-serif" w:cs="Segoe UI;Arial;Helvetica;sans-serif"/>
      <w:color w:val="1E293B"/>
      <w:sz w:val="22"/>
      <w:szCs w:val="22"/>
      <w:lang w:val="fr-FR" w:eastAsia="zh-CN" w:bidi="hi-IN"/>
    </w:rPr>
  </w:style>
  <w:style w:type="paragraph" w:styleId="Heading1">
    <w:name w:val="heading 1"/>
    <w:basedOn w:val="Titre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Titre"/>
    <w:next w:val="BodyText"/>
    <w:qFormat/>
    <w:pPr>
      <w:keepNext w:val="true"/>
      <w:numPr>
        <w:ilvl w:val="0"/>
        <w:numId w:val="0"/>
      </w:numPr>
      <w:pBdr>
        <w:bottom w:val="single" w:sz="12" w:space="5" w:color="2563EB"/>
      </w:pBdr>
      <w:spacing w:before="525" w:after="225"/>
      <w:outlineLvl w:val="1"/>
    </w:pPr>
    <w:rPr>
      <w:rFonts w:ascii="Liberation Serif" w:hAnsi="Liberation Serif" w:eastAsia="Noto Serif CJK SC" w:cs="Noto Sans Devanagari"/>
      <w:b/>
      <w:bCs/>
      <w:color w:val="0F172A"/>
      <w:sz w:val="36"/>
      <w:szCs w:val="36"/>
    </w:rPr>
  </w:style>
  <w:style w:type="paragraph" w:styleId="Heading3">
    <w:name w:val="heading 3"/>
    <w:basedOn w:val="Titre"/>
    <w:next w:val="BodyText"/>
    <w:qFormat/>
    <w:pPr>
      <w:keepNext w:val="true"/>
      <w:numPr>
        <w:ilvl w:val="0"/>
        <w:numId w:val="0"/>
      </w:numPr>
      <w:spacing w:before="375" w:after="150"/>
      <w:outlineLvl w:val="2"/>
    </w:pPr>
    <w:rPr>
      <w:rFonts w:ascii="Liberation Serif" w:hAnsi="Liberation Serif" w:eastAsia="Noto Serif CJK SC" w:cs="Noto Sans Devanagari"/>
      <w:b/>
      <w:bCs/>
      <w:color w:val="1E3A8A"/>
      <w:sz w:val="26"/>
      <w:szCs w:val="2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resdenotedefin">
    <w:name w:val="Caractères de note de fin"/>
    <w:qFormat/>
    <w:rPr/>
  </w:style>
  <w:style w:type="character" w:styleId="Caractresdenotedebasdepage">
    <w:name w:val="Caractères de note de bas de page"/>
    <w:qFormat/>
    <w:rPr/>
  </w:style>
  <w:style w:type="character" w:styleId="Hyperlink">
    <w:name w:val="Hyperlink"/>
    <w:rPr>
      <w:color w:val="000080"/>
      <w:u w:val="single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Caractresdenumrotation">
    <w:name w:val="Caractères de numérotation"/>
    <w:qFormat/>
    <w:rPr/>
  </w:style>
  <w:style w:type="paragraph" w:styleId="Lignehorizontale">
    <w:name w:val="Ligne horizontal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180"/>
      <w:jc w:val="both"/>
    </w:pPr>
    <w:rPr/>
  </w:style>
  <w:style w:type="paragraph" w:styleId="EnvelopeReturn">
    <w:name w:val="envelope return"/>
    <w:basedOn w:val="Normal"/>
    <w:pPr/>
    <w:rPr>
      <w:i/>
    </w:rPr>
  </w:style>
  <w:style w:type="paragraph" w:styleId="Contenudetableau">
    <w:name w:val="Contenu de tableau"/>
    <w:basedOn w:val="BodyText"/>
    <w:qFormat/>
    <w:pPr>
      <w:jc w:val="start"/>
    </w:pPr>
    <w:rPr/>
  </w:style>
  <w:style w:type="paragraph" w:styleId="Titre">
    <w:name w:val="Titre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Titre1doc-title">
    <w:name w:val="Titre 1.doc-title"/>
    <w:basedOn w:val="Heading1"/>
    <w:qFormat/>
    <w:pPr>
      <w:spacing w:before="240" w:after="150"/>
    </w:pPr>
    <w:rPr>
      <w:color w:val="0F172A"/>
      <w:spacing w:val="0"/>
      <w:sz w:val="64"/>
      <w:szCs w:val="64"/>
    </w:rPr>
  </w:style>
  <w:style w:type="paragraph" w:styleId="Titredetableau">
    <w:name w:val="Titre de tableau"/>
    <w:basedOn w:val="Contenudetableau"/>
    <w:qFormat/>
    <w:pPr>
      <w:suppressLineNumbers/>
      <w:jc w:val="start"/>
    </w:pPr>
    <w:rPr>
      <w:b/>
      <w:bCs/>
      <w:color w:val="0F172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  <Pages>1</Pages>
  <Words>1448</Words>
  <Characters>8406</Characters>
  <CharactersWithSpaces>9769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>Présentation Officielle — Le Monde du Travail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