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A16B41">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A16B41">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A16B41">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A16B41">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A16B41">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A16B41">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A16B41">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A16B41">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A16B41">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A16B41">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A16B41">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A16B41">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A16B41">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A16B41">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A16B41">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A16B41">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A16B41">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A16B41">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A16B41">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A16B41">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A16B41">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A16B41">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A16B41">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A16B41">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A16B41">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A16B41">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A16B41">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A16B41">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A16B41">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A16B41">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A16B41">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A16B41">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A16B41">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A16B41">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A16B41">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A16B41">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A16B41">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A16B41">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A16B41">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A16B41">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A16B41">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A16B41">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A16B41">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A16B41">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A16B41">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A16B41">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A16B41">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A16B41">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A16B41">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A16B41">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A16B41">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A16B41">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A16B41">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A16B41">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A16B41">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A16B41">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A16B41">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A16B41">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A16B41">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A16B41">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A16B41">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A16B41">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A16B41">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A16B41">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A16B41">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A16B41">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A16B41">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A16B41">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A16B41">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A16B41">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A16B41">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A16B41">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A16B41">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A16B41">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A16B41">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A16B41">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A16B41">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A16B41">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A16B41">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bookmarkStart w:id="1" w:name="_GoBack"/>
            <w:bookmarkEnd w:id="1"/>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A16B41"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A16B41"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A16B41"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A16B41"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A16B41"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4" w:name="_Toc65502087"/>
      <w:r w:rsidRPr="00725240">
        <w:t>Resource: Calendar</w:t>
      </w:r>
      <w:bookmarkEnd w:id="44"/>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5" w:name="_Hlk6828695"/>
      <w:r w:rsidRPr="00725240">
        <w:rPr>
          <w:rFonts w:cs="Arial"/>
          <w:color w:val="185EAB"/>
          <w:szCs w:val="20"/>
        </w:rPr>
        <w:t>Instructional Days, Length of Day</w:t>
      </w:r>
      <w:bookmarkEnd w:id="45"/>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6" w:name="_Toc65502088"/>
      <w:bookmarkStart w:id="47" w:name="_Hlk26267175"/>
      <w:r w:rsidRPr="00725240">
        <w:t>Resource: Calendar</w:t>
      </w:r>
      <w:r>
        <w:t>Date</w:t>
      </w:r>
      <w:bookmarkEnd w:id="46"/>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8" w:name="_Toc65502089"/>
      <w:bookmarkEnd w:id="47"/>
      <w:r w:rsidRPr="00725240">
        <w:t xml:space="preserve">Resource: </w:t>
      </w:r>
      <w:r>
        <w:t>ClassPeriod</w:t>
      </w:r>
      <w:bookmarkEnd w:id="48"/>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49" w:name="_Toc65502090"/>
      <w:r w:rsidRPr="00725240">
        <w:t xml:space="preserve">Resource: </w:t>
      </w:r>
      <w:r>
        <w:t>GradingPeriod</w:t>
      </w:r>
      <w:bookmarkEnd w:id="49"/>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50" w:name="_Toc65502091"/>
      <w:r w:rsidRPr="00725240">
        <w:t xml:space="preserve">Resource: </w:t>
      </w:r>
      <w:r>
        <w:t>Session</w:t>
      </w:r>
      <w:bookmarkEnd w:id="50"/>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1" w:name="_Toc65502092"/>
      <w:r w:rsidRPr="00725240">
        <w:t xml:space="preserve">Resource: </w:t>
      </w:r>
      <w:r>
        <w:t>Course</w:t>
      </w:r>
      <w:bookmarkEnd w:id="51"/>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8"/>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78DE5" w14:textId="77777777" w:rsidR="00A16B41" w:rsidRDefault="00A16B41" w:rsidP="002E7FB8">
      <w:r>
        <w:separator/>
      </w:r>
    </w:p>
  </w:endnote>
  <w:endnote w:type="continuationSeparator" w:id="0">
    <w:p w14:paraId="593994A4" w14:textId="77777777" w:rsidR="00A16B41" w:rsidRDefault="00A16B41" w:rsidP="002E7FB8">
      <w:r>
        <w:continuationSeparator/>
      </w:r>
    </w:p>
  </w:endnote>
  <w:endnote w:type="continuationNotice" w:id="1">
    <w:p w14:paraId="041473C3" w14:textId="77777777" w:rsidR="00A16B41" w:rsidRDefault="00A16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A2BCD1E" w:rsidR="003D2883" w:rsidRDefault="003D2883">
        <w:pPr>
          <w:pStyle w:val="Footer"/>
          <w:jc w:val="right"/>
        </w:pPr>
        <w:r>
          <w:fldChar w:fldCharType="begin"/>
        </w:r>
        <w:r>
          <w:instrText xml:space="preserve"> PAGE   \* MERGEFORMAT </w:instrText>
        </w:r>
        <w:r>
          <w:fldChar w:fldCharType="separate"/>
        </w:r>
        <w:r w:rsidR="008C5148">
          <w:rPr>
            <w:noProof/>
          </w:rPr>
          <w:t>16</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A92AE" w14:textId="77777777" w:rsidR="00A16B41" w:rsidRDefault="00A16B41" w:rsidP="002E7FB8">
      <w:r>
        <w:separator/>
      </w:r>
    </w:p>
  </w:footnote>
  <w:footnote w:type="continuationSeparator" w:id="0">
    <w:p w14:paraId="5E63B57E" w14:textId="77777777" w:rsidR="00A16B41" w:rsidRDefault="00A16B41" w:rsidP="002E7FB8">
      <w:r>
        <w:continuationSeparator/>
      </w:r>
    </w:p>
  </w:footnote>
  <w:footnote w:type="continuationNotice" w:id="1">
    <w:p w14:paraId="7381D4B9" w14:textId="77777777" w:rsidR="00A16B41" w:rsidRDefault="00A16B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C08E2BC1-6006-429C-8CE5-7DDB7399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47</Pages>
  <Words>11544</Words>
  <Characters>65806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36</cp:revision>
  <cp:lastPrinted>2017-07-20T16:17:00Z</cp:lastPrinted>
  <dcterms:created xsi:type="dcterms:W3CDTF">2020-12-01T17:00:00Z</dcterms:created>
  <dcterms:modified xsi:type="dcterms:W3CDTF">2021-03-08T20:07:00Z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