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pPr/>
      <w:r>
        <w:rPr/>
        <w:t xml:space="preserve">main</w:t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endnote w:id="1">
    <w:p>
      <w:r>
        <w:t>end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sdt w:id="1">
    <w:p>
      <w:r>
        <w:t>footer</w:t>
      </w:r>
    </w:p>
  </w:sdt>
</w:ftr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footnote w:id="1">
    <w:p>
      <w:r>
        <w:t>note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sdt w:id="1">
    <w:p>
      <w:r>
        <w:t>header</w:t>
      </w:r>
    </w:p>
  </w:sdt>
</w:hdr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header" Target="header1.xml"/><Relationship Id="rIdX1" Type="http://schemas.openxmlformats.org/officeDocument/2006/relationships/footer" Target="footer1.xml"/><Relationship Id="rIdX2" Type="http://schemas.openxmlformats.org/officeDocument/2006/relationships/footnotes" Target="footnotes.xml"/><Relationship Id="rIdX3" Type="http://schemas.openxmlformats.org/officeDocument/2006/relationships/endnotes" Target="endnotes.xml"/></Relationships>
</file>