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0054A6"/>
          <w:sz w:val="44"/>
        </w:rPr>
        <w:t>BoomingFX Pricing Packages</w:t>
      </w:r>
    </w:p>
    <w:p>
      <w:pPr>
        <w:spacing w:before="160" w:after="160"/>
        <w:pBdr>
          <w:bottom w:val="single" w:sz="6" w:space="1" w:color="0054A6"/>
        </w:pBdr>
      </w:pPr>
    </w:p>
    <w:p>
      <w:pPr>
        <w:spacing w:before="240" w:after="80"/>
      </w:pPr>
      <w:r>
        <w:rPr>
          <w:rFonts w:ascii="Calibri" w:hAnsi="Calibri"/>
          <w:b/>
          <w:i w:val="0"/>
          <w:color w:val="0054A6"/>
          <w:sz w:val="28"/>
        </w:rPr>
        <w:t>What You're Stepping Into</w:t>
      </w:r>
    </w:p>
    <w:p>
      <w:pPr>
        <w:spacing w:after="100"/>
      </w:pPr>
      <w:r>
        <w:rPr>
          <w:rFonts w:ascii="Calibri" w:hAnsi="Calibri"/>
          <w:b w:val="0"/>
          <w:i w:val="0"/>
          <w:sz w:val="22"/>
        </w:rPr>
        <w:t>BoomingFX operates out of a professional trading office in downtown Edmonton — structured, disciplined, and built to mirror the environment of an actual trading firm. This isn't a course you watch alone and forget. From day one, you are placed inside a framework designed to develop serious traders.</w:t>
      </w:r>
    </w:p>
    <w:p>
      <w:pPr>
        <w:spacing w:after="100"/>
      </w:pPr>
      <w:r>
        <w:rPr>
          <w:rFonts w:ascii="Calibri" w:hAnsi="Calibri"/>
          <w:b w:val="0"/>
          <w:i w:val="0"/>
          <w:sz w:val="22"/>
        </w:rPr>
        <w:t>Our team includes dedicated instructors for technical analysis, fundamental analysis, and a risk management assessor whose sole focus is ensuring you understand how to protect your capital before you ever scale it. Every element of your education is intentional.</w:t>
      </w:r>
    </w:p>
    <w:p>
      <w:pPr>
        <w:spacing w:after="100"/>
      </w:pPr>
      <w:r>
        <w:rPr>
          <w:rFonts w:ascii="Calibri" w:hAnsi="Calibri"/>
          <w:b w:val="0"/>
          <w:i w:val="0"/>
          <w:sz w:val="22"/>
        </w:rPr>
        <w:t>We start you from scratch — no prior experience required. As you progress, we guide you through the process of acquiring additional trading capital via prop firm evaluations, giving you access to significantly more than you started with.</w:t>
      </w:r>
    </w:p>
    <w:p>
      <w:pPr>
        <w:spacing w:after="100"/>
      </w:pPr>
      <w:r>
        <w:rPr>
          <w:rFonts w:ascii="Calibri" w:hAnsi="Calibri"/>
          <w:b w:val="0"/>
          <w:i w:val="0"/>
          <w:sz w:val="22"/>
        </w:rPr>
        <w:t>We are selective about who we mentor because the environment we've built demands commitment. If you approach this with the seriousness it deserves, there is no reason your returns should not exceed the cost of your membership.</w:t>
      </w:r>
    </w:p>
    <w:p>
      <w:pPr>
        <w:spacing w:before="120" w:after="80"/>
      </w:pPr>
      <w:r>
        <w:rPr>
          <w:rFonts w:ascii="Calibri" w:hAnsi="Calibri"/>
          <w:b/>
          <w:i w:val="0"/>
          <w:sz w:val="22"/>
        </w:rPr>
        <w:t>The structure is here. The mentorship is here. The only variable is you.</w:t>
      </w:r>
    </w:p>
    <w:p>
      <w:r>
        <w:rPr>
          <w:rFonts w:ascii="Calibri" w:hAnsi="Calibri"/>
          <w:b w:val="0"/>
          <w:i/>
          <w:color w:val="0054A6"/>
          <w:sz w:val="22"/>
        </w:rPr>
        <w:t>We'll see you on the inside.</w:t>
      </w:r>
    </w:p>
    <w:p>
      <w:pPr>
        <w:spacing w:before="160" w:after="160"/>
        <w:pBdr>
          <w:bottom w:val="single" w:sz="6" w:space="1" w:color="0054A6"/>
        </w:pBdr>
      </w:pPr>
    </w:p>
    <w:p>
      <w:pPr>
        <w:spacing w:before="240" w:after="80"/>
      </w:pPr>
      <w:r>
        <w:rPr>
          <w:rFonts w:ascii="Calibri" w:hAnsi="Calibri"/>
          <w:b/>
          <w:i w:val="0"/>
          <w:color w:val="0054A6"/>
          <w:sz w:val="28"/>
        </w:rPr>
        <w:t>1. Monthly Access</w:t>
      </w:r>
    </w:p>
    <w:p>
      <w:pPr>
        <w:spacing w:before="240" w:after="80"/>
      </w:pPr>
      <w:r>
        <w:rPr>
          <w:rFonts w:ascii="Calibri" w:hAnsi="Calibri"/>
          <w:b/>
          <w:i w:val="0"/>
          <w:color w:val="1E1E1E"/>
          <w:sz w:val="24"/>
        </w:rPr>
        <w:t>$149.99 / month</w:t>
      </w:r>
    </w:p>
    <w:p>
      <w:pPr>
        <w:spacing w:after="100"/>
      </w:pPr>
      <w:r>
        <w:rPr>
          <w:rFonts w:ascii="Calibri" w:hAnsi="Calibri"/>
          <w:b w:val="0"/>
          <w:i/>
          <w:color w:val="646464"/>
          <w:sz w:val="22"/>
        </w:rPr>
        <w:t>Billed monthly. Cancel anytime.</w:t>
      </w:r>
    </w:p>
    <w:p>
      <w:pPr>
        <w:spacing w:after="100"/>
      </w:pPr>
      <w:r>
        <w:rPr>
          <w:rFonts w:ascii="Calibri" w:hAnsi="Calibri"/>
          <w:b w:val="0"/>
          <w:i w:val="0"/>
          <w:sz w:val="22"/>
        </w:rPr>
        <w:t>For traders who want full access to BoomingFX's mentorship and resources with complete flexibility.</w:t>
      </w:r>
    </w:p>
    <w:p>
      <w:pPr>
        <w:spacing w:after="100"/>
      </w:pPr>
      <w:r>
        <w:rPr>
          <w:rFonts w:ascii="Calibri" w:hAnsi="Calibri"/>
          <w:b/>
          <w:i w:val="0"/>
          <w:sz w:val="22"/>
        </w:rPr>
        <w:t>What's included:</w:t>
      </w:r>
    </w:p>
    <w:p>
      <w:pPr>
        <w:pStyle w:val="ListBullet"/>
        <w:spacing w:after="40"/>
      </w:pPr>
      <w:r>
        <w:rPr>
          <w:rFonts w:ascii="Calibri" w:hAnsi="Calibri"/>
          <w:b w:val="0"/>
          <w:i w:val="0"/>
          <w:sz w:val="22"/>
        </w:rPr>
        <w:t>Weekly live Zoom mentorship calls (Sunday–Thursday, 8 PM MST)</w:t>
      </w:r>
    </w:p>
    <w:p>
      <w:pPr>
        <w:pStyle w:val="ListBullet"/>
        <w:spacing w:after="40"/>
      </w:pPr>
      <w:r>
        <w:rPr>
          <w:rFonts w:ascii="Calibri" w:hAnsi="Calibri"/>
          <w:b w:val="0"/>
          <w:i w:val="0"/>
          <w:sz w:val="22"/>
        </w:rPr>
        <w:t>In-office sessions at the Edmonton location (max 15 per session)</w:t>
      </w:r>
    </w:p>
    <w:p>
      <w:pPr>
        <w:pStyle w:val="ListBullet"/>
        <w:spacing w:after="40"/>
      </w:pPr>
      <w:r>
        <w:rPr>
          <w:rFonts w:ascii="Calibri" w:hAnsi="Calibri"/>
          <w:b w:val="0"/>
          <w:i w:val="0"/>
          <w:sz w:val="22"/>
        </w:rPr>
        <w:t>"Road to Financial Freedom" self-paced course (15 hours, beginner to advanced)</w:t>
      </w:r>
    </w:p>
    <w:p>
      <w:pPr>
        <w:pStyle w:val="ListBullet"/>
        <w:spacing w:after="40"/>
      </w:pPr>
      <w:r>
        <w:rPr>
          <w:rFonts w:ascii="Calibri" w:hAnsi="Calibri"/>
          <w:b w:val="0"/>
          <w:i w:val="0"/>
          <w:sz w:val="22"/>
        </w:rPr>
        <w:t>Daily market analysis and weekly summaries</w:t>
      </w:r>
    </w:p>
    <w:p>
      <w:pPr>
        <w:pStyle w:val="ListBullet"/>
        <w:spacing w:after="40"/>
      </w:pPr>
      <w:r>
        <w:rPr>
          <w:rFonts w:ascii="Calibri" w:hAnsi="Calibri"/>
          <w:b w:val="0"/>
          <w:i w:val="0"/>
          <w:sz w:val="22"/>
        </w:rPr>
        <w:t>Trade copy signals via Telegram</w:t>
      </w:r>
    </w:p>
    <w:p>
      <w:pPr>
        <w:pStyle w:val="ListBullet"/>
        <w:spacing w:after="40"/>
      </w:pPr>
      <w:r>
        <w:rPr>
          <w:rFonts w:ascii="Calibri" w:hAnsi="Calibri"/>
          <w:b w:val="0"/>
          <w:i w:val="0"/>
          <w:sz w:val="22"/>
        </w:rPr>
        <w:t>1-on-1 coaching sessions</w:t>
      </w:r>
    </w:p>
    <w:p>
      <w:pPr>
        <w:pStyle w:val="ListBullet"/>
        <w:spacing w:after="40"/>
      </w:pPr>
      <w:r>
        <w:rPr>
          <w:rFonts w:ascii="Calibri" w:hAnsi="Calibri"/>
          <w:b w:val="0"/>
          <w:i w:val="0"/>
          <w:sz w:val="22"/>
        </w:rPr>
        <w:t>Networking events and community access</w:t>
      </w:r>
    </w:p>
    <w:p>
      <w:pPr>
        <w:spacing w:before="160" w:after="160"/>
        <w:pBdr>
          <w:bottom w:val="single" w:sz="6" w:space="1" w:color="0054A6"/>
        </w:pBdr>
      </w:pPr>
    </w:p>
    <w:p>
      <w:pPr>
        <w:spacing w:before="240" w:after="80"/>
      </w:pPr>
      <w:r>
        <w:rPr>
          <w:rFonts w:ascii="Calibri" w:hAnsi="Calibri"/>
          <w:b/>
          <w:i w:val="0"/>
          <w:color w:val="0054A6"/>
          <w:sz w:val="28"/>
        </w:rPr>
        <w:t>2. Semi-Annual Access</w:t>
      </w:r>
    </w:p>
    <w:p>
      <w:pPr>
        <w:spacing w:before="240" w:after="80"/>
      </w:pPr>
      <w:r>
        <w:rPr>
          <w:rFonts w:ascii="Calibri" w:hAnsi="Calibri"/>
          <w:b/>
          <w:i w:val="0"/>
          <w:color w:val="1E1E1E"/>
          <w:sz w:val="24"/>
        </w:rPr>
        <w:t>$749.99 for 6 months</w:t>
      </w:r>
    </w:p>
    <w:p>
      <w:pPr>
        <w:spacing w:after="100"/>
      </w:pPr>
      <w:r>
        <w:rPr>
          <w:rFonts w:ascii="Calibri" w:hAnsi="Calibri"/>
          <w:b w:val="0"/>
          <w:i/>
          <w:color w:val="646464"/>
          <w:sz w:val="22"/>
        </w:rPr>
        <w:t>Billed once every 6 months</w:t>
      </w:r>
    </w:p>
    <w:p>
      <w:pPr>
        <w:spacing w:after="100"/>
      </w:pPr>
      <w:r>
        <w:rPr>
          <w:rFonts w:ascii="Calibri" w:hAnsi="Calibri"/>
          <w:b/>
          <w:i w:val="0"/>
          <w:color w:val="00823C"/>
          <w:sz w:val="22"/>
        </w:rPr>
        <w:t>Save $150 compared to monthly billing.</w:t>
      </w:r>
    </w:p>
    <w:p>
      <w:pPr>
        <w:spacing w:after="100"/>
      </w:pPr>
      <w:r>
        <w:rPr>
          <w:rFonts w:ascii="Calibri" w:hAnsi="Calibri"/>
          <w:b w:val="0"/>
          <w:i w:val="0"/>
          <w:sz w:val="22"/>
        </w:rPr>
        <w:t>For traders ready to commit to a structured 6-month learning cycle at a reduced rate.</w:t>
      </w:r>
    </w:p>
    <w:p>
      <w:pPr>
        <w:spacing w:after="100"/>
      </w:pPr>
      <w:r>
        <w:rPr>
          <w:rFonts w:ascii="Calibri" w:hAnsi="Calibri"/>
          <w:b/>
          <w:i w:val="0"/>
          <w:sz w:val="22"/>
        </w:rPr>
        <w:t>What's included:</w:t>
      </w:r>
    </w:p>
    <w:p>
      <w:pPr>
        <w:pStyle w:val="ListBullet"/>
        <w:spacing w:after="40"/>
      </w:pPr>
      <w:r>
        <w:rPr>
          <w:rFonts w:ascii="Calibri" w:hAnsi="Calibri"/>
          <w:b w:val="0"/>
          <w:i w:val="0"/>
          <w:sz w:val="22"/>
        </w:rPr>
        <w:t>Everything in Monthly Access</w:t>
      </w:r>
    </w:p>
    <w:p>
      <w:pPr>
        <w:pStyle w:val="ListBullet"/>
        <w:spacing w:after="40"/>
      </w:pPr>
      <w:r>
        <w:rPr>
          <w:rFonts w:ascii="Calibri" w:hAnsi="Calibri"/>
          <w:b w:val="0"/>
          <w:i w:val="0"/>
          <w:sz w:val="22"/>
        </w:rPr>
        <w:t>Reduced effective rate vs. month-to-month</w:t>
      </w:r>
    </w:p>
    <w:p>
      <w:pPr>
        <w:pStyle w:val="ListBullet"/>
        <w:spacing w:after="40"/>
      </w:pPr>
      <w:r>
        <w:rPr>
          <w:rFonts w:ascii="Calibri" w:hAnsi="Calibri"/>
          <w:b w:val="0"/>
          <w:i w:val="0"/>
          <w:sz w:val="22"/>
        </w:rPr>
        <w:t>Uninterrupted 6-month access — no renewal friction</w:t>
      </w:r>
    </w:p>
    <w:p>
      <w:pPr>
        <w:pStyle w:val="ListBullet"/>
        <w:spacing w:after="40"/>
      </w:pPr>
      <w:r>
        <w:rPr>
          <w:rFonts w:ascii="Calibri" w:hAnsi="Calibri"/>
          <w:b w:val="0"/>
          <w:i w:val="0"/>
          <w:sz w:val="22"/>
        </w:rPr>
        <w:t>Priority Telegram signal chat access</w:t>
      </w:r>
    </w:p>
    <w:p>
      <w:pPr>
        <w:pStyle w:val="ListBullet"/>
        <w:spacing w:after="40"/>
      </w:pPr>
      <w:r>
        <w:rPr>
          <w:rFonts w:ascii="Calibri" w:hAnsi="Calibri"/>
          <w:b w:val="0"/>
          <w:i w:val="0"/>
          <w:sz w:val="22"/>
        </w:rPr>
        <w:t>Onboarding setup guide included</w:t>
      </w:r>
    </w:p>
    <w:p>
      <w:pPr>
        <w:spacing w:before="160" w:after="160"/>
        <w:pBdr>
          <w:bottom w:val="single" w:sz="6" w:space="1" w:color="0054A6"/>
        </w:pBdr>
      </w:pPr>
    </w:p>
    <w:p>
      <w:pPr>
        <w:spacing w:before="240" w:after="80"/>
      </w:pPr>
      <w:r>
        <w:rPr>
          <w:rFonts w:ascii="Calibri" w:hAnsi="Calibri"/>
          <w:b/>
          <w:i w:val="0"/>
          <w:color w:val="0054A6"/>
          <w:sz w:val="28"/>
        </w:rPr>
        <w:t>3. Annual Access</w:t>
      </w:r>
    </w:p>
    <w:p>
      <w:pPr>
        <w:spacing w:before="240" w:after="80"/>
      </w:pPr>
      <w:r>
        <w:rPr>
          <w:rFonts w:ascii="Calibri" w:hAnsi="Calibri"/>
          <w:b/>
          <w:i w:val="0"/>
          <w:color w:val="1E1E1E"/>
          <w:sz w:val="24"/>
        </w:rPr>
        <w:t>$949.99 / year</w:t>
      </w:r>
    </w:p>
    <w:p>
      <w:pPr>
        <w:spacing w:after="100"/>
      </w:pPr>
      <w:r>
        <w:rPr>
          <w:rFonts w:ascii="Calibri" w:hAnsi="Calibri"/>
          <w:b w:val="0"/>
          <w:i/>
          <w:color w:val="646464"/>
          <w:sz w:val="22"/>
        </w:rPr>
        <w:t>Billed once annually</w:t>
      </w:r>
    </w:p>
    <w:p>
      <w:pPr>
        <w:spacing w:after="100"/>
      </w:pPr>
      <w:r>
        <w:rPr>
          <w:rFonts w:ascii="Calibri" w:hAnsi="Calibri"/>
          <w:b/>
          <w:i w:val="0"/>
          <w:color w:val="00823C"/>
          <w:sz w:val="22"/>
        </w:rPr>
        <w:t>Save $850 compared to monthly — nearly 50% off.</w:t>
      </w:r>
    </w:p>
    <w:p>
      <w:pPr>
        <w:spacing w:after="100"/>
      </w:pPr>
      <w:r>
        <w:rPr>
          <w:rFonts w:ascii="Calibri" w:hAnsi="Calibri"/>
          <w:b w:val="0"/>
          <w:i w:val="0"/>
          <w:sz w:val="22"/>
        </w:rPr>
        <w:t>For traders serious about long-term skill development who want the best value and uninterrupted access year-round.</w:t>
      </w:r>
    </w:p>
    <w:p>
      <w:pPr>
        <w:spacing w:after="100"/>
      </w:pPr>
      <w:r>
        <w:rPr>
          <w:rFonts w:ascii="Calibri" w:hAnsi="Calibri"/>
          <w:b/>
          <w:i w:val="0"/>
          <w:sz w:val="22"/>
        </w:rPr>
        <w:t>What's included:</w:t>
      </w:r>
    </w:p>
    <w:p>
      <w:pPr>
        <w:pStyle w:val="ListBullet"/>
        <w:spacing w:after="40"/>
      </w:pPr>
      <w:r>
        <w:rPr>
          <w:rFonts w:ascii="Calibri" w:hAnsi="Calibri"/>
          <w:b w:val="0"/>
          <w:i w:val="0"/>
          <w:sz w:val="22"/>
        </w:rPr>
        <w:t>Everything in Monthly Access</w:t>
      </w:r>
    </w:p>
    <w:p>
      <w:pPr>
        <w:pStyle w:val="ListBullet"/>
        <w:spacing w:after="40"/>
      </w:pPr>
      <w:r>
        <w:rPr>
          <w:rFonts w:ascii="Calibri" w:hAnsi="Calibri"/>
          <w:b w:val="0"/>
          <w:i w:val="0"/>
          <w:sz w:val="22"/>
        </w:rPr>
        <w:t>Lowest cost per month of any plan</w:t>
      </w:r>
    </w:p>
    <w:p>
      <w:pPr>
        <w:pStyle w:val="ListBullet"/>
        <w:spacing w:after="40"/>
      </w:pPr>
      <w:r>
        <w:rPr>
          <w:rFonts w:ascii="Calibri" w:hAnsi="Calibri"/>
          <w:b w:val="0"/>
          <w:i w:val="0"/>
          <w:sz w:val="22"/>
        </w:rPr>
        <w:t>Priority Telegram signal chat access</w:t>
      </w:r>
    </w:p>
    <w:p>
      <w:pPr>
        <w:pStyle w:val="ListBullet"/>
        <w:spacing w:after="40"/>
      </w:pPr>
      <w:r>
        <w:rPr>
          <w:rFonts w:ascii="Calibri" w:hAnsi="Calibri"/>
          <w:b w:val="0"/>
          <w:i w:val="0"/>
          <w:sz w:val="22"/>
        </w:rPr>
        <w:t>Onboarding setup guide included</w:t>
      </w:r>
    </w:p>
    <w:p>
      <w:pPr>
        <w:pStyle w:val="ListBullet"/>
        <w:spacing w:after="40"/>
      </w:pPr>
      <w:r>
        <w:rPr>
          <w:rFonts w:ascii="Calibri" w:hAnsi="Calibri"/>
          <w:b w:val="0"/>
          <w:i w:val="0"/>
          <w:sz w:val="22"/>
        </w:rPr>
        <w:t>12 months of continuous mentorship — no gaps, no re-enrollment</w:t>
      </w:r>
    </w:p>
    <w:p>
      <w:pPr>
        <w:pStyle w:val="ListBullet"/>
        <w:spacing w:after="40"/>
      </w:pPr>
      <w:r>
        <w:rPr>
          <w:rFonts w:ascii="Calibri" w:hAnsi="Calibri"/>
          <w:b w:val="0"/>
          <w:i w:val="0"/>
          <w:sz w:val="22"/>
        </w:rPr>
        <w:t>Extra perks and exclusive member benefits</w:t>
      </w:r>
    </w:p>
    <w:p>
      <w:pPr>
        <w:spacing w:before="160" w:after="160"/>
        <w:pBdr>
          <w:bottom w:val="single" w:sz="6" w:space="1" w:color="0054A6"/>
        </w:pBdr>
      </w:pPr>
    </w:p>
    <w:p>
      <w:pPr>
        <w:spacing w:before="80"/>
      </w:pPr>
      <w:r>
        <w:rPr>
          <w:rFonts w:ascii="Calibri" w:hAnsi="Calibri"/>
          <w:b w:val="0"/>
          <w:i/>
          <w:color w:val="646464"/>
          <w:sz w:val="20"/>
        </w:rPr>
        <w:t xml:space="preserve">All prices are listed in USD (United States Dollars). </w:t>
      </w:r>
      <w:r>
        <w:rPr>
          <w:rFonts w:ascii="Calibri" w:hAnsi="Calibri"/>
          <w:b w:val="0"/>
          <w:i/>
          <w:color w:val="646464"/>
          <w:sz w:val="20"/>
        </w:rPr>
        <w:t>As a trading education program with mentees across the globe, we price in USD because it is the world's reserve currency and the standard across international financial markets. This ensures consistency and transparency for every member, regardless of where they are joining us from.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