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rPr>
          <w:rFonts w:ascii="Arial" w:eastAsia="Hiragino Sans" w:hAnsi="Arial"/>
          <w:snapToGrid w:val="false"/>
        </w:rPr>
        <w:t xml:space="preserve">すしバトル — 実装と運用ガイド</w:t>
      </w:r>
    </w:p>
    <w:p>
      <w:r>
        <w:rPr>
          <w:rFonts w:ascii="Arial" w:eastAsia="Hiragino Sans" w:hAnsi="Arial"/>
          <w:snapToGrid w:val="false"/>
        </w:rPr>
        <w:t xml:space="preserve">更新日：2026年10月7日。改善版のリポジトリ実装に基づく開発・配置の案内です。実行結果の記録とは分けて読み、最新の公開状態は Actions と公開画面で確認してください。</w:t>
      </w:r>
    </w:p>
    <w:p>
      <w:pPr>
        <w:pStyle w:val="Heading1"/>
        <w:keepNext/>
      </w:pPr>
      <w:r>
        <w:rPr>
          <w:rFonts w:ascii="Arial" w:eastAsia="Hiragino Sans" w:hAnsi="Arial"/>
          <w:snapToGrid w:val="false"/>
        </w:rPr>
        <w:t xml:space="preserve">1. 全体構成</w:t>
      </w:r>
    </w:p>
    <w:p>
      <w:r>
        <w:rPr>
          <w:rFonts w:ascii="Arial" w:eastAsia="Hiragino Sans" w:hAnsi="Arial"/>
          <w:snapToGrid w:val="false"/>
        </w:rPr>
        <w:t xml:space="preserve">ブラウザの画面は React・TypeScript・Vite、寿司の3Dは Three.js と React Three Fiber で構成します。対戦ルールを共通の処理へ分け、ローカル対戦とオンライン対戦から利用しています。</w:t>
      </w:r>
    </w:p>
    <w:p>
      <w:r>
        <w:rPr>
          <w:rFonts w:ascii="Arial" w:eastAsia="Hiragino Sans" w:hAnsi="Arial"/>
          <w:snapToGrid w:val="false"/>
        </w:rPr>
        <w:t xml:space="preserve">オンラインの部屋と対戦状態は Node.js のメモリに保持します。ローカル開発の標準通信は Socket.IO、GMS公開環境では PHP を窓口にした短いHTTP要求とポーリングです。PHPは決まった Node.js の処理へ中継し、ゲームルールは Node.js 側で判定します。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067"/>
        <w:gridCol w:w="7013"/>
      </w:tblGrid>
      <w:tr>
        <w:trPr>
          <w:cantSplit/>
          <w:tblHeader/>
        </w:trPr>
        <w:tc>
          <w:tcPr>
            <w:tcW w:type="dxa" w:w="30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44A5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/>
                <w:bCs/>
                <w:snapToGrid w:val="false"/>
                <w:color w:val="FFFFFF"/>
                <w:sz w:val="20"/>
                <w:szCs w:val="20"/>
              </w:rPr>
              <w:t xml:space="preserve">場所</w:t>
            </w:r>
          </w:p>
        </w:tc>
        <w:tc>
          <w:tcPr>
            <w:tcW w:type="dxa" w:w="70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44A5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/>
                <w:bCs/>
                <w:snapToGrid w:val="false"/>
                <w:color w:val="FFFFFF"/>
                <w:sz w:val="20"/>
                <w:szCs w:val="20"/>
              </w:rPr>
              <w:t xml:space="preserve">主な役割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src/data/cards.ts</w:t>
            </w:r>
          </w:p>
        </w:tc>
        <w:tc>
          <w:tcPr>
            <w:tcW w:type="dxa" w:w="70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通常カード55種と生成専用の生ハム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src/data/cardVariants.ts</w:t>
            </w:r>
          </w:p>
        </w:tc>
        <w:tc>
          <w:tcPr>
            <w:tcW w:type="dxa" w:w="70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横向き・ネタ落ち・レアカードの生成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src/data/sideMenus.ts</w:t>
            </w:r>
          </w:p>
        </w:tc>
        <w:tc>
          <w:tcPr>
            <w:tcW w:type="dxa" w:w="70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サイドメニューの価格・効果説明・再購入条件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src/game/battleRules.ts</w:t>
            </w:r>
          </w:p>
        </w:tc>
        <w:tc>
          <w:tcPr>
            <w:tcW w:type="dxa" w:w="70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ダメージ、カード効果、コンボ、防御の共通ルール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src/game/matchEngine.ts</w:t>
            </w:r>
          </w:p>
        </w:tc>
        <w:tc>
          <w:tcPr>
            <w:tcW w:type="dxa" w:w="70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試合状態の更新、手番、山札、勝敗、追加注文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src/features/draft/draftEngine.ts</w:t>
            </w:r>
          </w:p>
        </w:tc>
        <w:tc>
          <w:tcPr>
            <w:tcW w:type="dxa" w:w="70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購入、共通注文枠、大将のおすすめ、期限・予算検証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src/features/battle/battlePresentation.ts</w:t>
            </w:r>
          </w:p>
        </w:tc>
        <w:tc>
          <w:tcPr>
            <w:tcW w:type="dxa" w:w="70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共通のカード効果文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src/features/draft/models</w:t>
            </w:r>
          </w:p>
        </w:tc>
        <w:tc>
          <w:tcPr>
            <w:tcW w:type="dxa" w:w="70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寿司3Dモデル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src/components/SushiArt.tsx</w:t>
            </w:r>
          </w:p>
        </w:tc>
        <w:tc>
          <w:tcPr>
            <w:tcW w:type="dxa" w:w="70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カードなどに使うSVGイラスト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server/roomService.ts・onlineDraft.ts</w:t>
            </w:r>
          </w:p>
        </w:tc>
        <w:tc>
          <w:tcPr>
            <w:tcW w:type="dxa" w:w="70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部屋、購入状態、操作の検証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deploy/gms・deploy/gms-server</w:t>
            </w:r>
          </w:p>
        </w:tc>
        <w:tc>
          <w:tcPr>
            <w:tcW w:type="dxa" w:w="70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PHP中継、転送、起動、復旧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scripts・.github/workflows</w:t>
            </w:r>
          </w:p>
        </w:tc>
        <w:tc>
          <w:tcPr>
            <w:tcW w:type="dxa" w:w="70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テスト、配布物作成、CI、自動マージ</w:t>
            </w:r>
          </w:p>
        </w:tc>
      </w:tr>
    </w:tbl>
    <w:p>
      <w:pPr>
        <w:spacing w:after="100" w:line="80"/>
      </w:pPr>
    </w:p>
    <w:p>
      <w:pPr>
        <w:pStyle w:val="Heading1"/>
        <w:keepNext/>
      </w:pPr>
      <w:r>
        <w:rPr>
          <w:rFonts w:ascii="Arial" w:eastAsia="Hiragino Sans" w:hAnsi="Arial"/>
          <w:snapToGrid w:val="false"/>
        </w:rPr>
        <w:t xml:space="preserve">2. ローカルで動かす</w:t>
      </w:r>
    </w:p>
    <w:p>
      <w:r>
        <w:rPr>
          <w:rFonts w:ascii="Arial" w:eastAsia="Hiragino Sans" w:hAnsi="Arial"/>
          <w:snapToGrid w:val="false"/>
        </w:rPr>
        <w:t xml:space="preserve">開発・ビルド環境は CI に合わせた Node.js 24 を基準にします。初回または依存変更時は、プロジェクトルートで依存を入れます。</w:t>
      </w:r>
    </w:p>
    <w:p>
      <w:pPr>
        <w:keepNext/>
        <w:spacing w:after="40" w:before="0" w:line="270" w:lineRule="exact"/>
      </w:pPr>
      <w:r>
        <w:rPr>
          <w:rFonts w:ascii="Courier New" w:eastAsia="Hiragino Sans" w:hAnsi="Courier New"/>
          <w:sz w:val="20"/>
          <w:szCs w:val="20"/>
        </w:rPr>
        <w:t xml:space="preserve">npm ci</w:t>
      </w:r>
    </w:p>
    <w:p>
      <w:pPr>
        <w:keepNext w:val="false"/>
        <w:spacing w:after="40" w:before="0" w:line="270" w:lineRule="exact"/>
      </w:pPr>
      <w:r>
        <w:rPr>
          <w:rFonts w:ascii="Courier New" w:eastAsia="Hiragino Sans" w:hAnsi="Courier New"/>
          <w:sz w:val="20"/>
          <w:szCs w:val="20"/>
        </w:rPr>
        <w:t xml:space="preserve">npm run dev</w:t>
      </w:r>
    </w:p>
    <w:p>
      <w:r>
        <w:rPr>
          <w:rFonts w:ascii="Arial" w:eastAsia="Hiragino Sans" w:hAnsi="Arial"/>
          <w:snapToGrid w:val="false"/>
        </w:rPr>
        <w:t xml:space="preserve">オンラインも試す場合は別のターミナルで起動します。</w:t>
      </w:r>
    </w:p>
    <w:p>
      <w:pPr>
        <w:keepNext w:val="false"/>
        <w:spacing w:after="40" w:before="0" w:line="270" w:lineRule="exact"/>
      </w:pPr>
      <w:r>
        <w:rPr>
          <w:rFonts w:ascii="Courier New" w:eastAsia="Hiragino Sans" w:hAnsi="Courier New"/>
          <w:sz w:val="20"/>
          <w:szCs w:val="20"/>
        </w:rPr>
        <w:t xml:space="preserve">npm run server:dev</w:t>
      </w:r>
    </w:p>
    <w:p>
      <w:r>
        <w:rPr>
          <w:rFonts w:ascii="Arial" w:eastAsia="Hiragino Sans" w:hAnsi="Arial"/>
          <w:snapToGrid w:val="false"/>
        </w:rPr>
        <w:t xml:space="preserve">開発サーバーのURLは Vite が表示します。ポートを固定する場合は </w:t>
      </w:r>
      <w:r>
        <w:rPr>
          <w:rFonts w:ascii="Arial" w:eastAsia="Hiragino Sans" w:hAnsi="Arial"/>
          <w:snapToGrid w:val="false"/>
        </w:rPr>
        <w:t xml:space="preserve">npm run dev -- --host 127.0.0.1 --port 5178</w:t>
      </w:r>
      <w:r>
        <w:rPr>
          <w:rFonts w:ascii="Arial" w:eastAsia="Hiragino Sans" w:hAnsi="Arial"/>
          <w:snapToGrid w:val="false"/>
        </w:rPr>
        <w:t xml:space="preserve"> です。画面だけではオンラインの部屋は動かず、対戦サーバーも必要です。</w:t>
      </w:r>
    </w:p>
    <w:p>
      <w:r>
        <w:rPr>
          <w:rFonts w:ascii="Arial" w:eastAsia="Hiragino Sans" w:hAnsi="Arial"/>
          <w:snapToGrid w:val="false"/>
        </w:rPr>
        <w:t xml:space="preserve">対戦サーバーは標準で </w:t>
      </w:r>
      <w:r>
        <w:rPr>
          <w:rFonts w:ascii="Arial" w:eastAsia="Hiragino Sans" w:hAnsi="Arial"/>
          <w:snapToGrid w:val="false"/>
        </w:rPr>
        <w:t xml:space="preserve">127.0.0.1:3001</w:t>
      </w:r>
      <w:r>
        <w:rPr>
          <w:rFonts w:ascii="Arial" w:eastAsia="Hiragino Sans" w:hAnsi="Arial"/>
          <w:snapToGrid w:val="false"/>
        </w:rPr>
        <w:t xml:space="preserve"> に待ち受けます。</w:t>
      </w:r>
      <w:r>
        <w:rPr>
          <w:rFonts w:ascii="Arial" w:eastAsia="Hiragino Sans" w:hAnsi="Arial"/>
          <w:snapToGrid w:val="false"/>
        </w:rPr>
        <w:t xml:space="preserve">HOST</w:t>
      </w:r>
      <w:r>
        <w:rPr>
          <w:rFonts w:ascii="Arial" w:eastAsia="Hiragino Sans" w:hAnsi="Arial"/>
          <w:snapToGrid w:val="false"/>
        </w:rPr>
        <w:t xml:space="preserve">、</w:t>
      </w:r>
      <w:r>
        <w:rPr>
          <w:rFonts w:ascii="Arial" w:eastAsia="Hiragino Sans" w:hAnsi="Arial"/>
          <w:snapToGrid w:val="false"/>
        </w:rPr>
        <w:t xml:space="preserve">PORT</w:t>
      </w:r>
      <w:r>
        <w:rPr>
          <w:rFonts w:ascii="Arial" w:eastAsia="Hiragino Sans" w:hAnsi="Arial"/>
          <w:snapToGrid w:val="false"/>
        </w:rPr>
        <w:t xml:space="preserve">、</w:t>
      </w:r>
      <w:r>
        <w:rPr>
          <w:rFonts w:ascii="Arial" w:eastAsia="Hiragino Sans" w:hAnsi="Arial"/>
          <w:snapToGrid w:val="false"/>
        </w:rPr>
        <w:t xml:space="preserve">SUSHI_ALLOWED_ORIGINS</w:t>
      </w:r>
      <w:r>
        <w:rPr>
          <w:rFonts w:ascii="Arial" w:eastAsia="Hiragino Sans" w:hAnsi="Arial"/>
          <w:snapToGrid w:val="false"/>
        </w:rPr>
        <w:t xml:space="preserve"> で接続設定を指定します。PHP通信の画面をローカルで試すときは </w:t>
      </w:r>
      <w:r>
        <w:rPr>
          <w:rFonts w:ascii="Arial" w:eastAsia="Hiragino Sans" w:hAnsi="Arial"/>
          <w:snapToGrid w:val="false"/>
        </w:rPr>
        <w:t xml:space="preserve">VITE_ROOM_TRANSPORT=php npm run dev</w:t>
      </w:r>
      <w:r>
        <w:rPr>
          <w:rFonts w:ascii="Arial" w:eastAsia="Hiragino Sans" w:hAnsi="Arial"/>
          <w:snapToGrid w:val="false"/>
        </w:rPr>
        <w:t xml:space="preserve"> を使用します。Viteの中継確認と、実際のPHP実行確認は別の検証です。</w:t>
      </w:r>
    </w:p>
    <w:p>
      <w:pPr>
        <w:pStyle w:val="Heading2"/>
        <w:keepNext/>
      </w:pPr>
      <w:r>
        <w:rPr>
          <w:rFonts w:ascii="Arial" w:eastAsia="Hiragino Sans" w:hAnsi="Arial"/>
          <w:snapToGrid w:val="false"/>
        </w:rPr>
        <w:t xml:space="preserve">確認用の入口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067"/>
        <w:gridCol w:w="7013"/>
      </w:tblGrid>
      <w:tr>
        <w:trPr>
          <w:cantSplit/>
          <w:tblHeader/>
        </w:trPr>
        <w:tc>
          <w:tcPr>
            <w:tcW w:type="dxa" w:w="30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44A5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/>
                <w:bCs/>
                <w:snapToGrid w:val="false"/>
                <w:color w:val="FFFFFF"/>
                <w:sz w:val="20"/>
                <w:szCs w:val="20"/>
              </w:rPr>
              <w:t xml:space="preserve">URL末尾</w:t>
            </w:r>
          </w:p>
        </w:tc>
        <w:tc>
          <w:tcPr>
            <w:tcW w:type="dxa" w:w="70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44A5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/>
                <w:bCs/>
                <w:snapToGrid w:val="false"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/</w:t>
            </w:r>
          </w:p>
        </w:tc>
        <w:tc>
          <w:tcPr>
            <w:tcW w:type="dxa" w:w="70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通常のタイトル・モード選択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/#online</w:t>
            </w:r>
          </w:p>
        </w:tc>
        <w:tc>
          <w:tcPr>
            <w:tcW w:type="dxa" w:w="70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オンライン対戦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/#improvements-demo</w:t>
            </w:r>
          </w:p>
        </w:tc>
        <w:tc>
          <w:tcPr>
            <w:tcW w:type="dxa" w:w="70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改善したモデル・注文・防御・遊び方の確認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/#mobile-demo</w:t>
            </w:r>
          </w:p>
        </w:tc>
        <w:tc>
          <w:tcPr>
            <w:tcW w:type="dxa" w:w="70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モバイル向け購入画面の確認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/#vertical-draft-demo</w:t>
            </w:r>
          </w:p>
        </w:tc>
        <w:tc>
          <w:tcPr>
            <w:tcW w:type="dxa" w:w="70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縦方向の購入画面の確認</w:t>
            </w:r>
          </w:p>
        </w:tc>
      </w:tr>
    </w:tbl>
    <w:p>
      <w:pPr>
        <w:spacing w:after="100" w:line="80"/>
      </w:pPr>
    </w:p>
    <w:p>
      <w:r>
        <w:rPr>
          <w:rFonts w:ascii="Arial" w:eastAsia="Hiragino Sans" w:hAnsi="Arial"/>
          <w:snapToGrid w:val="false"/>
        </w:rPr>
        <w:t xml:space="preserve">ハッシュはアプリ初期化時に読むため、別の確認画面へ切り替えるときは目的のURLを開き直します。通常対戦の動作確認は、デモの表示確認とは別に行います。</w:t>
      </w:r>
    </w:p>
    <w:p>
      <w:pPr>
        <w:pStyle w:val="Heading1"/>
        <w:keepNext/>
      </w:pPr>
      <w:r>
        <w:rPr>
          <w:rFonts w:ascii="Arial" w:eastAsia="Hiragino Sans" w:hAnsi="Arial"/>
          <w:snapToGrid w:val="false"/>
        </w:rPr>
        <w:t xml:space="preserve">3. データ変更時に揃えるもの</w:t>
      </w:r>
    </w:p>
    <w:p>
      <w:r>
        <w:rPr>
          <w:rFonts w:ascii="Arial" w:eastAsia="Hiragino Sans" w:hAnsi="Arial"/>
          <w:snapToGrid w:val="false"/>
        </w:rPr>
        <w:t xml:space="preserve">カードを変更するときは、データ、対戦ルール、効果文、カードイラスト、3Dモデルの整合を確認します。購入価格、消費AP、攻撃、持続ターンは別の値です。</w:t>
      </w:r>
      <w:r>
        <w:rPr>
          <w:rFonts w:ascii="Arial" w:eastAsia="Hiragino Sans" w:hAnsi="Arial"/>
          <w:snapToGrid w:val="false"/>
        </w:rPr>
        <w:t xml:space="preserve">fullness</w:t>
      </w:r>
      <w:r>
        <w:rPr>
          <w:rFonts w:ascii="Arial" w:eastAsia="Hiragino Sans" w:hAnsi="Arial"/>
          <w:snapToGrid w:val="false"/>
        </w:rPr>
        <w:t xml:space="preserve"> は持続型の残存ターンを初期化するためにも使われており、プレイヤーのお腹を直接示す値ではありません。</w:t>
      </w:r>
    </w:p>
    <w:p>
      <w:r>
        <w:rPr>
          <w:rFonts w:ascii="Arial" w:eastAsia="Hiragino Sans" w:hAnsi="Arial"/>
          <w:snapToGrid w:val="false"/>
        </w:rPr>
        <w:t xml:space="preserve">カードの </w:t>
      </w:r>
      <w:r>
        <w:rPr>
          <w:rFonts w:ascii="Arial" w:eastAsia="Hiragino Sans" w:hAnsi="Arial"/>
          <w:snapToGrid w:val="false"/>
        </w:rPr>
        <w:t xml:space="preserve">base</w:t>
      </w:r>
      <w:r>
        <w:rPr>
          <w:rFonts w:ascii="Arial" w:eastAsia="Hiragino Sans" w:hAnsi="Arial"/>
          <w:snapToGrid w:val="false"/>
        </w:rPr>
        <w:t xml:space="preserve"> はネタの判定、</w:t>
      </w:r>
      <w:r>
        <w:rPr>
          <w:rFonts w:ascii="Arial" w:eastAsia="Hiragino Sans" w:hAnsi="Arial"/>
          <w:snapToGrid w:val="false"/>
        </w:rPr>
        <w:t xml:space="preserve">archetype</w:t>
      </w:r>
      <w:r>
        <w:rPr>
          <w:rFonts w:ascii="Arial" w:eastAsia="Hiragino Sans" w:hAnsi="Arial"/>
          <w:snapToGrid w:val="false"/>
        </w:rPr>
        <w:t xml:space="preserve"> は赤身・巻物・軍艦などのタグです。軍艦には巻物タグもあります。太巻きは兼用ネタを持ちますが、赤身三種盛りのマグロを代用しません。訳ありカードも元のIDを保ち、効果やコンボの所属を維持します。</w:t>
      </w:r>
    </w:p>
    <w:p>
      <w:r>
        <w:rPr>
          <w:rFonts w:ascii="Arial" w:eastAsia="Hiragino Sans" w:hAnsi="Arial"/>
          <w:snapToGrid w:val="false"/>
        </w:rPr>
        <w:t xml:space="preserve">購入処理は、予算・20枚上限・期限・二重操作・共通3回枠を検証してから更新します。特急、大将のおすすめ、サイドは同じ注文残数を使います。失敗時は消費せず、大将の抽選は購入成立後に一度だけ行い、オンラインでは結果を状態として保持します。</w:t>
      </w:r>
    </w:p>
    <w:p>
      <w:r>
        <w:rPr>
          <w:rFonts w:ascii="Arial" w:eastAsia="Hiragino Sans" w:hAnsi="Arial"/>
          <w:snapToGrid w:val="false"/>
        </w:rPr>
        <w:t xml:space="preserve">山札確認では本人の残りカードだけを集計します。山札の順序、相手の手札、参加用トークンを公開状態へ混ぜないようにします。クライアントだけの確認で済ませず、オンラインの操作はサーバーでも手番・AP・所有権・再送を検証します。</w:t>
      </w:r>
    </w:p>
    <w:p>
      <w:pPr>
        <w:pStyle w:val="Heading1"/>
        <w:keepNext/>
      </w:pPr>
      <w:r>
        <w:rPr>
          <w:rFonts w:ascii="Arial" w:eastAsia="Hiragino Sans" w:hAnsi="Arial"/>
          <w:snapToGrid w:val="false"/>
        </w:rPr>
        <w:t xml:space="preserve">4. 検証の使い分け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4922"/>
        <w:gridCol w:w="5158"/>
      </w:tblGrid>
      <w:tr>
        <w:trPr>
          <w:cantSplit/>
          <w:tblHeader/>
        </w:trPr>
        <w:tc>
          <w:tcPr>
            <w:tcW w:type="dxa" w:w="492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44A5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/>
                <w:bCs/>
                <w:snapToGrid w:val="false"/>
                <w:color w:val="FFFFFF"/>
                <w:sz w:val="20"/>
                <w:szCs w:val="20"/>
              </w:rPr>
              <w:t xml:space="preserve">コマンド</w:t>
            </w:r>
          </w:p>
        </w:tc>
        <w:tc>
          <w:tcPr>
            <w:tcW w:type="dxa" w:w="515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44A5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/>
                <w:bCs/>
                <w:snapToGrid w:val="false"/>
                <w:color w:val="FFFFFF"/>
                <w:sz w:val="20"/>
                <w:szCs w:val="20"/>
              </w:rPr>
              <w:t xml:space="preserve">確認すること</w:t>
            </w:r>
          </w:p>
        </w:tc>
      </w:tr>
      <w:tr>
        <w:trPr>
          <w:cantSplit/>
          <w:tblHeader w:val="false"/>
        </w:trPr>
        <w:tc>
          <w:tcPr>
            <w:tcW w:type="dxa" w:w="492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npm test</w:t>
            </w:r>
          </w:p>
        </w:tc>
        <w:tc>
          <w:tcPr>
            <w:tcW w:type="dxa" w:w="515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主要ルール、CPU、購入、防御、効果、デッキ表示など</w:t>
            </w:r>
          </w:p>
        </w:tc>
      </w:tr>
      <w:tr>
        <w:trPr>
          <w:cantSplit/>
          <w:tblHeader w:val="false"/>
        </w:trPr>
        <w:tc>
          <w:tcPr>
            <w:tcW w:type="dxa" w:w="492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npm run typecheck:server</w:t>
            </w:r>
          </w:p>
        </w:tc>
        <w:tc>
          <w:tcPr>
            <w:tcW w:type="dxa" w:w="515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サーバー側の型</w:t>
            </w:r>
          </w:p>
        </w:tc>
      </w:tr>
      <w:tr>
        <w:trPr>
          <w:cantSplit/>
          <w:tblHeader w:val="false"/>
        </w:trPr>
        <w:tc>
          <w:tcPr>
            <w:tcW w:type="dxa" w:w="492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npm run test:online</w:t>
            </w:r>
          </w:p>
        </w:tc>
        <w:tc>
          <w:tcPr>
            <w:tcW w:type="dxa" w:w="515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部屋、オンライン購入、同期、HTTP通信、各種効果</w:t>
            </w:r>
          </w:p>
        </w:tc>
      </w:tr>
      <w:tr>
        <w:trPr>
          <w:cantSplit/>
          <w:tblHeader w:val="false"/>
        </w:trPr>
        <w:tc>
          <w:tcPr>
            <w:tcW w:type="dxa" w:w="492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515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静的なコード検査</w:t>
            </w:r>
          </w:p>
        </w:tc>
      </w:tr>
      <w:tr>
        <w:trPr>
          <w:cantSplit/>
          <w:tblHeader w:val="false"/>
        </w:trPr>
        <w:tc>
          <w:tcPr>
            <w:tcW w:type="dxa" w:w="492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515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フロントの型確認と公開用ビルド</w:t>
            </w:r>
          </w:p>
        </w:tc>
      </w:tr>
      <w:tr>
        <w:trPr>
          <w:cantSplit/>
          <w:tblHeader w:val="false"/>
        </w:trPr>
        <w:tc>
          <w:tcPr>
            <w:tcW w:type="dxa" w:w="492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node --test scripts/test-auto-merge.mjs</w:t>
            </w:r>
          </w:p>
        </w:tc>
        <w:tc>
          <w:tcPr>
            <w:tcW w:type="dxa" w:w="515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自動マージ条件</w:t>
            </w:r>
          </w:p>
        </w:tc>
      </w:tr>
      <w:tr>
        <w:trPr>
          <w:cantSplit/>
          <w:tblHeader w:val="false"/>
        </w:trPr>
        <w:tc>
          <w:tcPr>
            <w:tcW w:type="dxa" w:w="492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php -l deploy/gms/api.php</w:t>
            </w:r>
          </w:p>
        </w:tc>
        <w:tc>
          <w:tcPr>
            <w:tcW w:type="dxa" w:w="515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PHP構文</w:t>
            </w:r>
          </w:p>
        </w:tc>
      </w:tr>
      <w:tr>
        <w:trPr>
          <w:cantSplit/>
          <w:tblHeader w:val="false"/>
        </w:trPr>
        <w:tc>
          <w:tcPr>
            <w:tcW w:type="dxa" w:w="492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node --import tsx scripts/test-php-bridge.mjs</w:t>
            </w:r>
          </w:p>
        </w:tc>
        <w:tc>
          <w:tcPr>
            <w:tcW w:type="dxa" w:w="515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PHP中継の動作</w:t>
            </w:r>
          </w:p>
        </w:tc>
      </w:tr>
    </w:tbl>
    <w:p>
      <w:pPr>
        <w:spacing w:after="100" w:line="80"/>
      </w:pPr>
    </w:p>
    <w:p>
      <w:r>
        <w:rPr>
          <w:rFonts w:ascii="Arial" w:eastAsia="Hiragino Sans" w:hAnsi="Arial"/>
          <w:snapToGrid w:val="false"/>
        </w:rPr>
        <w:t xml:space="preserve">日常の変更は関係するテストを選び、失敗・変更・未解決の懸念がない限り同じ確認を繰り返しません。公開用CIは上記に加え、配置と復旧のローカルテスト、配布物作成まで実行します。</w:t>
      </w:r>
    </w:p>
    <w:p>
      <w:r>
        <w:rPr>
          <w:rFonts w:ascii="Arial" w:eastAsia="Hiragino Sans" w:hAnsi="Arial"/>
          <w:snapToGrid w:val="false"/>
        </w:rPr>
        <w:t xml:space="preserve">見た目はビルド成功だけでは判断できません。寿司の3Dを斜め・横・上から見て、カードサイズのアイコンも確認します。モバイル幅ではボタン、本文、スクロール範囲が収まるかを見ます。今回の粒の配置や文字サイズは、実際の画面で確認する対象です。</w:t>
      </w:r>
    </w:p>
    <w:p>
      <w:r>
        <w:rPr>
          <w:rFonts w:ascii="Arial" w:eastAsia="Hiragino Sans" w:hAnsi="Arial"/>
          <w:snapToGrid w:val="false"/>
        </w:rPr>
        <w:t xml:space="preserve">公開前後は、別ブラウザの2画面で部屋参加、購入、召喚、ターン交代、防御、再読み込み後の復帰を確認します。公開PHPが応答しても、それだけで対戦全体を確認したことにはなりません。</w:t>
      </w:r>
    </w:p>
    <w:p>
      <w:pPr>
        <w:pStyle w:val="Heading1"/>
        <w:keepNext/>
      </w:pPr>
      <w:r>
        <w:rPr>
          <w:rFonts w:ascii="Arial" w:eastAsia="Hiragino Sans" w:hAnsi="Arial"/>
          <w:snapToGrid w:val="false"/>
        </w:rPr>
        <w:t xml:space="preserve">5. GitHubから公開まで</w:t>
      </w:r>
    </w:p>
    <w:p>
      <w:r>
        <w:rPr>
          <w:rFonts w:ascii="Arial" w:eastAsia="Hiragino Sans" w:hAnsi="Arial"/>
          <w:snapToGrid w:val="false"/>
        </w:rPr>
        <w:t xml:space="preserve">通常は変更をブランチへコミットし、mainへのPRで検証します。同一リポジトリの通常PRは、チェック成功後に </w:t>
      </w:r>
      <w:r>
        <w:rPr>
          <w:rFonts w:ascii="Arial" w:eastAsia="Hiragino Sans" w:hAnsi="Arial"/>
          <w:snapToGrid w:val="false"/>
        </w:rPr>
        <w:t xml:space="preserve">Merge verified pull requests</w:t>
      </w:r>
      <w:r>
        <w:rPr>
          <w:rFonts w:ascii="Arial" w:eastAsia="Hiragino Sans" w:hAnsi="Arial"/>
          <w:snapToGrid w:val="false"/>
        </w:rPr>
        <w:t xml:space="preserve"> がマージを試みます。Draftは自動マージ対象外です。必須レビュー・ブランチ保護・競合などの条件は引き続き適用されます。</w:t>
      </w:r>
    </w:p>
    <w:p>
      <w:r>
        <w:rPr>
          <w:rFonts w:ascii="Arial" w:eastAsia="Hiragino Sans" w:hAnsi="Arial"/>
          <w:snapToGrid w:val="false"/>
        </w:rPr>
        <w:t xml:space="preserve">mainへのpushで </w:t>
      </w:r>
      <w:r>
        <w:rPr>
          <w:rFonts w:ascii="Arial" w:eastAsia="Hiragino Sans" w:hAnsi="Arial"/>
          <w:snapToGrid w:val="false"/>
        </w:rPr>
        <w:t xml:space="preserve">Build and deploy to GMS</w:t>
      </w:r>
      <w:r>
        <w:rPr>
          <w:rFonts w:ascii="Arial" w:eastAsia="Hiragino Sans" w:hAnsi="Arial"/>
          <w:snapToGrid w:val="false"/>
        </w:rPr>
        <w:t xml:space="preserve"> が動きます。</w:t>
      </w:r>
      <w:r>
        <w:rPr>
          <w:rFonts w:ascii="Arial" w:eastAsia="Hiragino Sans" w:hAnsi="Arial"/>
          <w:snapToGrid w:val="false"/>
        </w:rPr>
        <w:t xml:space="preserve">GMS_AUTO_DEPLOY=true</w:t>
      </w:r>
      <w:r>
        <w:rPr>
          <w:rFonts w:ascii="Arial" w:eastAsia="Hiragino Sans" w:hAnsi="Arial"/>
          <w:snapToGrid w:val="false"/>
        </w:rPr>
        <w:t xml:space="preserve"> の場合はテスト・ビルド成功後に転送と再起動へ進みます。自動マージ側も、検証済みSHAを確認してから配布ワークフローを明示的に呼び出します。ローカルで保存またはコミットしただけでは公開されません。</w:t>
      </w:r>
    </w:p>
    <w:p>
      <w:r>
        <w:rPr>
          <w:rFonts w:ascii="Arial" w:eastAsia="Hiragino Sans" w:hAnsi="Arial"/>
          <w:snapToGrid w:val="false"/>
        </w:rPr>
        <w:t xml:space="preserve">手動実行の </w:t>
      </w:r>
      <w:r>
        <w:rPr>
          <w:rFonts w:ascii="Arial" w:eastAsia="Hiragino Sans" w:hAnsi="Arial"/>
          <w:snapToGrid w:val="false"/>
        </w:rPr>
        <w:t xml:space="preserve">operation: check</w:t>
      </w:r>
      <w:r>
        <w:rPr>
          <w:rFonts w:ascii="Arial" w:eastAsia="Hiragino Sans" w:hAnsi="Arial"/>
          <w:snapToGrid w:val="false"/>
        </w:rPr>
        <w:t xml:space="preserve"> は接続・配置の準備を調べ、ファイル転送や再起動をしません。</w:t>
      </w:r>
      <w:r>
        <w:rPr>
          <w:rFonts w:ascii="Arial" w:eastAsia="Hiragino Sans" w:hAnsi="Arial"/>
          <w:snapToGrid w:val="false"/>
        </w:rPr>
        <w:t xml:space="preserve">operation: deploy</w:t>
      </w:r>
      <w:r>
        <w:rPr>
          <w:rFonts w:ascii="Arial" w:eastAsia="Hiragino Sans" w:hAnsi="Arial"/>
          <w:snapToGrid w:val="false"/>
        </w:rPr>
        <w:t xml:space="preserve"> は配布と起動を行います。Secretsや鍵の初回手順は、現役の配置資料を参照してください。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067"/>
        <w:gridCol w:w="7013"/>
      </w:tblGrid>
      <w:tr>
        <w:trPr>
          <w:cantSplit/>
          <w:tblHeader/>
        </w:trPr>
        <w:tc>
          <w:tcPr>
            <w:tcW w:type="dxa" w:w="30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44A5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/>
                <w:bCs/>
                <w:snapToGrid w:val="false"/>
                <w:color w:val="FFFFFF"/>
                <w:sz w:val="20"/>
                <w:szCs w:val="20"/>
              </w:rPr>
              <w:t xml:space="preserve">配布に関係する場所</w:t>
            </w:r>
          </w:p>
        </w:tc>
        <w:tc>
          <w:tcPr>
            <w:tcW w:type="dxa" w:w="70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44A5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/>
                <w:bCs/>
                <w:snapToGrid w:val="false"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https://gms.gdl.jp/~ryom13/sushi-battle/</w:t>
            </w:r>
          </w:p>
        </w:tc>
        <w:tc>
          <w:tcPr>
            <w:tcW w:type="dxa" w:w="70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公開ゲーム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https://gms.gdl.jp/~ryom13/sushi-battle/api.php</w:t>
            </w:r>
          </w:p>
        </w:tc>
        <w:tc>
          <w:tcPr>
            <w:tcW w:type="dxa" w:w="70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公開通信の確認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/home/h0/ryom13/public_html/sushi-battle</w:t>
            </w:r>
          </w:p>
        </w:tc>
        <w:tc>
          <w:tcPr>
            <w:tcW w:type="dxa" w:w="70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公開画面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/home/h0/ryom13/.sushi-battle-deploy</w:t>
            </w:r>
          </w:p>
        </w:tc>
        <w:tc>
          <w:tcPr>
            <w:tcW w:type="dxa" w:w="70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配布履歴、専用PM2情報、アーカイブ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127.0.0.1:3001</w:t>
            </w:r>
          </w:p>
        </w:tc>
        <w:tc>
          <w:tcPr>
            <w:tcW w:type="dxa" w:w="70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90" w:lineRule="exact"/>
              <w:jc w:val="left"/>
            </w:pPr>
            <w:r>
              <w:rPr>
                <w:rFonts w:ascii="Arial" w:eastAsia="Hiragino Sans" w:hAnsi="Arial"/>
                <w:b w:val="false"/>
                <w:bCs w:val="false"/>
                <w:snapToGrid w:val="false"/>
                <w:color w:val="222222"/>
                <w:sz w:val="20"/>
                <w:szCs w:val="20"/>
              </w:rPr>
              <w:t xml:space="preserve">対戦プログラムの待受</w:t>
            </w:r>
          </w:p>
        </w:tc>
      </w:tr>
    </w:tbl>
    <w:p>
      <w:pPr>
        <w:spacing w:after="100" w:line="80"/>
      </w:pPr>
    </w:p>
    <w:p>
      <w:r>
        <w:rPr>
          <w:rFonts w:ascii="Arial" w:eastAsia="Hiragino Sans" w:hAnsi="Arial"/>
          <w:snapToGrid w:val="false"/>
        </w:rPr>
        <w:t xml:space="preserve">PM2は対戦プログラムをターミナルとは別に動かします。OS全体の設定や、他のアプリのプロセスを変更する構成ではありません。サーバー本体の再起動後に自動起動するOS設定は本構成に含みません。その場合は状態を確認し、Actionsのdeployで起動します。</w:t>
      </w:r>
    </w:p>
    <w:p>
      <w:pPr>
        <w:pStyle w:val="Heading1"/>
        <w:keepNext/>
      </w:pPr>
      <w:r>
        <w:rPr>
          <w:rFonts w:ascii="Arial" w:eastAsia="Hiragino Sans" w:hAnsi="Arial"/>
          <w:snapToGrid w:val="false"/>
        </w:rPr>
        <w:t xml:space="preserve">6. 更新時の注意と復旧</w:t>
      </w:r>
    </w:p>
    <w:p>
      <w:r>
        <w:rPr>
          <w:rFonts w:ascii="Arial" w:eastAsia="Hiragino Sans" w:hAnsi="Arial"/>
          <w:snapToGrid w:val="false"/>
        </w:rPr>
        <w:t xml:space="preserve">対戦状態はメモリ上にあるため、対戦サーバーの再起動で部屋と進行中の対戦は失われます。更新は対戦中の人がいないタイミングで行います。既存対戦を永続化して継続する仕組みはありません。</w:t>
      </w:r>
    </w:p>
    <w:p>
      <w:r>
        <w:rPr>
          <w:rFonts w:ascii="Arial" w:eastAsia="Hiragino Sans" w:hAnsi="Arial"/>
          <w:snapToGrid w:val="false"/>
        </w:rPr>
        <w:t xml:space="preserve">配布前の検証に失敗した場合は旧版を維持します。切り替え中の失敗では管理済みの旧版へ戻す処理があります。ただし公開URLの通信確認だけが失敗した場合は警告となり、自動で戻すとは限りません。ActionsのSummaryと対象ログを確認し、最新のmain・配布SHA・稼働状態を照合します。</w:t>
      </w:r>
    </w:p>
    <w:p>
      <w:r>
        <w:rPr>
          <w:rFonts w:ascii="Arial" w:eastAsia="Hiragino Sans" w:hAnsi="Arial"/>
          <w:snapToGrid w:val="false"/>
        </w:rPr>
        <w:t xml:space="preserve">診断で正常応答が戻ること、実際の2人対戦が成立することを順に確認します。多人数の同時負荷は別途測定が必要です。再接続・復帰があることを、データベース保存や無期限の復帰保証と混同しません。</w:t>
      </w:r>
    </w:p>
    <w:p>
      <w:pPr>
        <w:pStyle w:val="Heading1"/>
        <w:keepNext/>
      </w:pPr>
      <w:r>
        <w:rPr>
          <w:rFonts w:ascii="Arial" w:eastAsia="Hiragino Sans" w:hAnsi="Arial"/>
          <w:snapToGrid w:val="false"/>
        </w:rPr>
        <w:t xml:space="preserve">7. 文書の扱い</w:t>
      </w:r>
    </w:p>
    <w:p>
      <w:r>
        <w:rPr>
          <w:rFonts w:ascii="Arial" w:eastAsia="Hiragino Sans" w:hAnsi="Arial"/>
          <w:snapToGrid w:val="false"/>
        </w:rPr>
        <w:t xml:space="preserve">最新版は docs/latest、旧企画・過去検証・分析は docs/archive/2026-10-07 に保存します。元の資料パスには最新版とバックアップへの案内を残しています。過去の検証成功はその時点の記録であり、現在の版の成功を保証しません。</w:t>
      </w:r>
    </w:p>
    <w:p>
      <w:r>
        <w:rPr>
          <w:rFonts w:ascii="Arial" w:eastAsia="Hiragino Sans" w:hAnsi="Arial"/>
          <w:snapToGrid w:val="false"/>
        </w:rPr>
        <w:t xml:space="preserve">通常カード一覧はデータと表示用の効果文から抽出しています。今後カードを変更した際は一覧も更新し、Word版とMarkdown版を同じ日付・内容に揃えます。</w:t>
      </w:r>
    </w:p>
    <w:p>
      <w:r>
        <w:rPr>
          <w:rFonts w:ascii="Arial" w:eastAsia="Hiragino Sans" w:hAnsi="Arial"/>
          <w:snapToGrid w:val="false"/>
        </w:rPr>
        <w:t xml:space="preserve">詳細な配置手順は </w:t>
      </w:r>
      <w:r>
        <w:rPr>
          <w:rFonts w:ascii="Arial" w:eastAsia="Hiragino Sans" w:hAnsi="Arial"/>
          <w:snapToGrid w:val="false"/>
        </w:rPr>
        <w:t xml:space="preserve">GitHub Actions自動デプロイ</w:t>
      </w:r>
      <w:r>
        <w:rPr>
          <w:rFonts w:ascii="Arial" w:eastAsia="Hiragino Sans" w:hAnsi="Arial"/>
          <w:snapToGrid w:val="false"/>
        </w:rPr>
        <w:t xml:space="preserve">、</w:t>
      </w:r>
      <w:r>
        <w:rPr>
          <w:rFonts w:ascii="Arial" w:eastAsia="Hiragino Sans" w:hAnsi="Arial"/>
          <w:snapToGrid w:val="false"/>
        </w:rPr>
        <w:t xml:space="preserve">自動デプロイの実行フロー</w:t>
      </w:r>
      <w:r>
        <w:rPr>
          <w:rFonts w:ascii="Arial" w:eastAsia="Hiragino Sans" w:hAnsi="Arial"/>
          <w:snapToGrid w:val="false"/>
        </w:rPr>
        <w:t xml:space="preserve">、</w:t>
      </w:r>
      <w:r>
        <w:rPr>
          <w:rFonts w:ascii="Arial" w:eastAsia="Hiragino Sans" w:hAnsi="Arial"/>
          <w:snapToGrid w:val="false"/>
        </w:rPr>
        <w:t xml:space="preserve">PHP経由の配置手順</w:t>
      </w:r>
      <w:r>
        <w:rPr>
          <w:rFonts w:ascii="Arial" w:eastAsia="Hiragino Sans" w:hAnsi="Arial"/>
          <w:snapToGrid w:val="false"/>
        </w:rPr>
        <w:t xml:space="preserve"> を参照してください。これらは配布物の作成から参照されるため、元パスを維持します。</w:t>
      </w:r>
    </w:p>
    <w:sectPr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eastAsia="Hiragino Sans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  <w:rPr>
        <w:rFonts w:ascii="Arial" w:eastAsia="Hiragino Sans" w:hAnsi="Arial"/>
        <w:sz w:val="23"/>
        <w:szCs w:val="23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rFonts w:ascii="Arial" w:eastAsia="Hiragino Sans" w:hAnsi="Arial"/>
        <w:sz w:val="23"/>
        <w:szCs w:val="23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Hiragino Sans" w:hAnsi="Arial"/>
        <w:color w:val="222222"/>
        <w:sz w:val="23"/>
        <w:szCs w:val="23"/>
      </w:rPr>
    </w:rPrDefault>
    <w:pPrDefault>
      <w:pPr>
        <w:widowControl/>
        <w:spacing w:after="140" w:line="340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 w:before="0" w:line="580" w:lineRule="exact"/>
    </w:pPr>
    <w:rPr>
      <w:rFonts w:ascii="Arial" w:eastAsia="Hiragino Sans" w:hAnsi="Arial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pPr>
      <w:keepNext/>
      <w:spacing w:after="130" w:before="320" w:line="420" w:lineRule="exact"/>
    </w:pPr>
    <w:rPr>
      <w:rFonts w:ascii="Arial" w:eastAsia="Hiragino Sans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pPr>
      <w:keepNext/>
      <w:spacing w:after="100" w:before="240" w:line="360" w:lineRule="exact"/>
    </w:pPr>
    <w:rPr>
      <w:rFonts w:ascii="Arial" w:eastAsia="Hiragino Sans" w:hAnsi="Arial"/>
      <w:b/>
      <w:bCs/>
      <w:color w:val="0000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すしバトル 実装と運用ガイド</dc:title>
  <dc:creator>すしバトル</dc:creator>
  <dc:description>2026年10月7日の実装に基づく最新版</dc:description>
  <cp:lastModifiedBy>Un-named</cp:lastModifiedBy>
  <cp:revision>1</cp:revision>
  <dcterms:created xsi:type="dcterms:W3CDTF">2026-10-07T01:46:07.225Z</dcterms:created>
  <dcterms:modified xsi:type="dcterms:W3CDTF">2026-10-07T01:46:07.228Z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