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SLAPStack物流シミュレーション基盤設計書</w:t>
      </w:r>
    </w:p>
    <w:p>
      <w:r>
        <w:t>VRPBによる帰り荷計画と多人数参加型の倉庫運営</w:t>
      </w:r>
    </w:p>
    <w:p>
      <w:r>
        <w:t>版 1.0　2026年10月16日</w:t>
      </w:r>
    </w:p>
    <w:p>
      <w:pPr>
        <w:pStyle w:val="Heading2"/>
      </w:pPr>
      <w:r>
        <w:t>1 設計方針</w:t>
      </w:r>
    </w:p>
    <w:p>
      <w:r>
        <w:t>SLAPStackを庫内搬送エンジンとして採用し、トラック運行・バース管理・受発注を追加する。ローカルPC上にフロントエンド、バックエンド、PostgreSQLを配置する。荷主とドライバーは別の入口から同じシミュレーションに参加し、操作と閲覧をWeb画面で完結させる。</w:t>
      </w:r>
    </w:p>
    <w:p>
      <w:r>
        <w:t>帰り荷の最適化にはOR-Toolsを用いる。往路配送を終えてから集荷し、出発拠点へ戻るVRPBに時間枠を加え、倉庫での積込・荷下ろし待ちを計画に反映する。運行計画は予測、シミュレーションの完了イベントは実績として分離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315"/>
      </w:tblGrid>
      <w:tr>
        <w:trPr>
          <w:cantSplit/>
          <w:tblHeader/>
        </w:trPr>
        <w:tc>
          <w:tcPr>
            <w:tcW w:type="dxa" w:w="3053"/>
            <w:vAlign w:val="center"/>
            <w:shd w:fill="DCE6EF"/>
            <w:tcMar>
              <w:top w:w="65" w:type="dxa"/>
              <w:left w:w="65" w:type="dxa"/>
              <w:bottom w:w="65" w:type="dxa"/>
              <w:right w:w="65" w:type="dxa"/>
            </w:tcMar>
          </w:tcPr>
          <w:p>
            <w:pPr>
              <w:spacing w:after="0" w:before="0" w:line="260" w:lineRule="exact"/>
            </w:pPr>
            <w:r>
              <w:rPr>
                <w:b/>
                <w:sz w:val="19"/>
              </w:rPr>
              <w:t>決定項目</w:t>
            </w:r>
          </w:p>
        </w:tc>
        <w:tc>
          <w:tcPr>
            <w:tcW w:type="dxa" w:w="7315"/>
            <w:vAlign w:val="center"/>
            <w:shd w:fill="DCE6EF"/>
            <w:tcMar>
              <w:top w:w="65" w:type="dxa"/>
              <w:left w:w="65" w:type="dxa"/>
              <w:bottom w:w="65" w:type="dxa"/>
              <w:right w:w="65" w:type="dxa"/>
            </w:tcMar>
          </w:tcPr>
          <w:p>
            <w:pPr>
              <w:spacing w:after="0" w:before="0" w:line="260" w:lineRule="exact"/>
            </w:pPr>
            <w:r>
              <w:rPr>
                <w:b/>
                <w:sz w:val="19"/>
              </w:rPr>
              <w:t>採用案</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実行場所</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1台のローカルホスト。複数端末は同じLANから参加可能</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バックエンド</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Python、FastAPI、シミュレーション専用ワーカー</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フロントエンド</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React、TypeScript、2D表示。荷主とドライバーの入口を分離</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永続化</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PostgreSQL。コマンド、イベント、状態、再開用データを保存</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最適化</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OR-Tools RoutingによるVRPB、CP-SATによるバース計画</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時計</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セッションごとに1つ。SLAPStackの進行処理を拡張して統制</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人数</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固定人数を設けない。接続数と計算資源の上限は別に管理</w:t>
            </w:r>
          </w:p>
        </w:tc>
      </w:tr>
    </w:tbl>
    <w:p>
      <w:pPr>
        <w:spacing w:after="0" w:before="0" w:line="60" w:lineRule="exact"/>
      </w:pPr>
      <w:r>
        <w:rPr>
          <w:sz w:val="6"/>
        </w:rPr>
      </w:r>
    </w:p>
    <w:p>
      <w:r>
        <w:t>本書は基本設計と主要な詳細設計を対象とする。アプリケーション、DB定義、API、シミュレーターの実装は含めない。性能値は受入目標であり、測定済みの数値ではない。</w:t>
      </w:r>
    </w:p>
    <w:p>
      <w:r>
        <w:t>記載区分は「要件＝依頼内容」「採用案＝本設計で定める仕様」「確認事項＝実装前の検証項目」とする。SLAPStackの公開資料とソースから確認した機能は第4章、出典は末尾に記す。</w:t>
      </w:r>
    </w:p>
    <w:p>
      <w:pPr>
        <w:pStyle w:val="Heading2"/>
      </w:pPr>
      <w:r>
        <w:t>本書の構成</w:t>
      </w:r>
    </w:p>
    <w:p>
      <w:r>
        <w:t>2 要件と範囲　3 システム構成　4 SLAPStack統合　5 時間とイベント</w:t>
      </w:r>
    </w:p>
    <w:p>
      <w:r>
        <w:t>6 利用者と画面　7 倉庫と荷役　8 VRPBモデル　9 最適化方式</w:t>
      </w:r>
    </w:p>
    <w:p>
      <w:r>
        <w:t>10 計画と実績の連携　11 状態遷移　12 データモデル　13 API</w:t>
      </w:r>
    </w:p>
    <w:p>
      <w:r>
        <w:t>14 保存と再現　15 運用と性能　16 検証シナリオ　17 受入条件　18 出典</w:t>
      </w:r>
    </w:p>
    <w:p>
      <w:r>
        <w:br w:type="page"/>
      </w:r>
    </w:p>
    <w:p>
      <w:pPr>
        <w:pStyle w:val="Heading1"/>
      </w:pPr>
      <w:r>
        <w:t>2 要件と対象範囲</w:t>
      </w:r>
    </w:p>
    <w:p>
      <w:pPr>
        <w:pStyle w:val="Heading2"/>
      </w:pPr>
      <w:r>
        <w:t>2 1 必須要件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888"/>
        <w:gridCol w:w="5688"/>
      </w:tblGrid>
      <w:tr>
        <w:trPr>
          <w:cantSplit/>
          <w:tblHeader/>
        </w:trPr>
        <w:tc>
          <w:tcPr>
            <w:tcW w:type="dxa" w:w="792"/>
            <w:vAlign w:val="center"/>
            <w:shd w:fill="DCE6EF"/>
            <w:tcMar>
              <w:top w:w="65" w:type="dxa"/>
              <w:left w:w="65" w:type="dxa"/>
              <w:bottom w:w="65" w:type="dxa"/>
              <w:right w:w="65" w:type="dxa"/>
            </w:tcMar>
          </w:tcPr>
          <w:p>
            <w:pPr>
              <w:spacing w:after="0" w:before="0" w:line="260" w:lineRule="exact"/>
              <w:jc w:val="center"/>
            </w:pPr>
            <w:r>
              <w:rPr>
                <w:b/>
                <w:sz w:val="19"/>
              </w:rPr>
              <w:t>ID</w:t>
            </w:r>
          </w:p>
        </w:tc>
        <w:tc>
          <w:tcPr>
            <w:tcW w:type="dxa" w:w="3888"/>
            <w:vAlign w:val="center"/>
            <w:shd w:fill="DCE6EF"/>
            <w:tcMar>
              <w:top w:w="65" w:type="dxa"/>
              <w:left w:w="65" w:type="dxa"/>
              <w:bottom w:w="65" w:type="dxa"/>
              <w:right w:w="65" w:type="dxa"/>
            </w:tcMar>
          </w:tcPr>
          <w:p>
            <w:pPr>
              <w:spacing w:after="0" w:before="0" w:line="260" w:lineRule="exact"/>
            </w:pPr>
            <w:r>
              <w:rPr>
                <w:b/>
                <w:sz w:val="19"/>
              </w:rPr>
              <w:t>要件</w:t>
            </w:r>
          </w:p>
        </w:tc>
        <w:tc>
          <w:tcPr>
            <w:tcW w:type="dxa" w:w="5688"/>
            <w:vAlign w:val="center"/>
            <w:shd w:fill="DCE6EF"/>
            <w:tcMar>
              <w:top w:w="65" w:type="dxa"/>
              <w:left w:w="65" w:type="dxa"/>
              <w:bottom w:w="65" w:type="dxa"/>
              <w:right w:w="65" w:type="dxa"/>
            </w:tcMar>
          </w:tcPr>
          <w:p>
            <w:pPr>
              <w:spacing w:after="0" w:before="0" w:line="260" w:lineRule="exact"/>
            </w:pPr>
            <w:r>
              <w:rPr>
                <w:b/>
                <w:sz w:val="19"/>
              </w:rPr>
              <w:t>設計上の対応</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R01</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SLAPStackを基盤とする</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庫内の配置・搬送・イベント処理を継承する</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R02</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VRPBを組み込む</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配送先行、帰り荷、容量、時間枠を制約化する</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R03</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ローカルで動作する</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外部クラウド、外部認証、地図APIを必須にしない</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R04</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3層構成</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Web画面、APIと計算処理、DBを分離する</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R05</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入口を分ける</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/shipper と /driver を設ける</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R06</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荷主とドライバーを増やせる</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Userと参加Membershipを可変件数で保持する</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R07</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操作はフロントエンドのみ</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参加、設定、受発注、保存、再開を画面に設ける</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R08</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物流と最適化を連携する</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バース遅延をETA、契約リスク、利益に伝播する</w:t>
            </w:r>
          </w:p>
        </w:tc>
      </w:tr>
    </w:tbl>
    <w:p>
      <w:pPr>
        <w:spacing w:after="0" w:before="0" w:line="60" w:lineRule="exact"/>
      </w:pPr>
      <w:r>
        <w:rPr>
          <w:sz w:val="6"/>
        </w:rPr>
      </w:r>
    </w:p>
    <w:p>
      <w:pPr>
        <w:pStyle w:val="Heading2"/>
      </w:pPr>
      <w:r>
        <w:t>2 2 初期シナリオ</w:t>
      </w:r>
    </w:p>
    <w:p>
      <w:r>
        <w:t>詳細倉庫は1拠点とし、複数荷主が区画や在庫を共有する。倉庫の運営権限は一部の荷主ユーザーに付与し、権限がない荷主は自社の案件・在庫のみを操作する。配送先・集荷先は複数ノードとして用意し、初期版では荷役時間と営業時間で簡略化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464"/>
      </w:tblGrid>
      <w:tr>
        <w:trPr>
          <w:cantSplit/>
          <w:tblHeader/>
        </w:trPr>
        <w:tc>
          <w:tcPr>
            <w:tcW w:type="dxa" w:w="2088"/>
            <w:vAlign w:val="center"/>
            <w:shd w:fill="DCE6EF"/>
            <w:tcMar>
              <w:top w:w="65" w:type="dxa"/>
              <w:left w:w="65" w:type="dxa"/>
              <w:bottom w:w="65" w:type="dxa"/>
              <w:right w:w="65" w:type="dxa"/>
            </w:tcMar>
          </w:tcPr>
          <w:p>
            <w:pPr>
              <w:spacing w:after="0" w:before="0" w:line="260" w:lineRule="exact"/>
            </w:pPr>
            <w:r>
              <w:rPr>
                <w:b/>
                <w:sz w:val="19"/>
              </w:rPr>
              <w:t>項目</w:t>
            </w:r>
          </w:p>
        </w:tc>
        <w:tc>
          <w:tcPr>
            <w:tcW w:type="dxa" w:w="3816"/>
            <w:vAlign w:val="center"/>
            <w:shd w:fill="DCE6EF"/>
            <w:tcMar>
              <w:top w:w="65" w:type="dxa"/>
              <w:left w:w="65" w:type="dxa"/>
              <w:bottom w:w="65" w:type="dxa"/>
              <w:right w:w="65" w:type="dxa"/>
            </w:tcMar>
          </w:tcPr>
          <w:p>
            <w:pPr>
              <w:spacing w:after="0" w:before="0" w:line="260" w:lineRule="exact"/>
            </w:pPr>
            <w:r>
              <w:rPr>
                <w:b/>
                <w:sz w:val="19"/>
              </w:rPr>
              <w:t>初期値案</w:t>
            </w:r>
          </w:p>
        </w:tc>
        <w:tc>
          <w:tcPr>
            <w:tcW w:type="dxa" w:w="4464"/>
            <w:vAlign w:val="center"/>
            <w:shd w:fill="DCE6EF"/>
            <w:tcMar>
              <w:top w:w="65" w:type="dxa"/>
              <w:left w:w="65" w:type="dxa"/>
              <w:bottom w:w="65" w:type="dxa"/>
              <w:right w:w="65" w:type="dxa"/>
            </w:tcMar>
          </w:tcPr>
          <w:p>
            <w:pPr>
              <w:spacing w:after="0" w:before="0" w:line="260" w:lineRule="exact"/>
            </w:pPr>
            <w:r>
              <w:rPr>
                <w:b/>
                <w:sz w:val="19"/>
              </w:rPr>
              <w:t>変更方法</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バース／搬送車</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4基／3台</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開始前に画面で設定</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トラック</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稼働20台を標準負荷とする</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ユーザー数とは独立に追加</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荷物</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パレット単位、重量kgも保持</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SKUとパレットごとに登録</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時間倍率</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60倍。1倍、10倍、一時停止も用意</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ホスト権限の画面から変更</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営業時間</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08時～18時の10時間</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シナリオごとに設定</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経路</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拠点間の距離mと所要時間秒の行列</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CSV取込または画面編集</w:t>
            </w:r>
          </w:p>
        </w:tc>
      </w:tr>
    </w:tbl>
    <w:p>
      <w:pPr>
        <w:spacing w:after="0" w:before="0" w:line="60" w:lineRule="exact"/>
      </w:pPr>
      <w:r>
        <w:rPr>
          <w:sz w:val="6"/>
        </w:rPr>
      </w:r>
    </w:p>
    <w:p>
      <w:r>
        <w:t>初期版は単一デポ、分割配送なし、1台につき同時に1運行を対象とする。同じ車両の次の運行は帰庫・荷下ろし後に作成できる。複数運行の同時最適化、複数デポ、任意の地点間配送、実車追跡、3D物理、強化学習の訓練は拡張対象とする。</w:t>
      </w:r>
    </w:p>
    <w:p>
      <w:r>
        <w:t>途中参加者には新しい資産を自動生成しない。荷主は既存組織への参加または新組織の作成を選び、ドライバーは未割当車両を選択する。運転中の車両の引継ぎはホスト操作とし、履歴を残す。</w:t>
      </w:r>
    </w:p>
    <w:p>
      <w:r>
        <w:br w:type="page"/>
      </w:r>
    </w:p>
    <w:p>
      <w:pPr>
        <w:pStyle w:val="Heading1"/>
      </w:pPr>
      <w:r>
        <w:t>3 ローカルシステム構成</w:t>
      </w:r>
    </w:p>
    <w:p>
      <w:pPr>
        <w:pStyle w:val="Heading2"/>
      </w:pPr>
      <w:r>
        <w:t>3 1 配置と通信</w:t>
      </w:r>
    </w:p>
    <w:p>
      <w:pPr>
        <w:spacing w:line="240" w:lineRule="auto"/>
      </w:pPr>
      <w:r>
        <w:drawing>
          <wp:inline xmlns:a="http://schemas.openxmlformats.org/drawingml/2006/main" xmlns:pic="http://schemas.openxmlformats.org/drawingml/2006/picture">
            <wp:extent cx="6583680" cy="241401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583680" cy="2414016"/>
                    </a:xfrm>
                    <a:prstGeom prst="rect"/>
                  </pic:spPr>
                </pic:pic>
              </a:graphicData>
            </a:graphic>
          </wp:inline>
        </w:drawing>
      </w:r>
    </w:p>
    <w:p>
      <w:r>
        <w:t>外部に公開するのはWeb入口だけとする。リバースプロキシが静的画面、/api、/wsを同一オリジンで提供し、バックエンドやDBのポートはホスト外へ公開しない。ローカル単独利用はlocalhost、LAN利用はホストのLANアドレスでアクセス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464"/>
      </w:tblGrid>
      <w:tr>
        <w:trPr>
          <w:cantSplit/>
          <w:tblHeader/>
        </w:trPr>
        <w:tc>
          <w:tcPr>
            <w:tcW w:type="dxa" w:w="2088"/>
            <w:vAlign w:val="center"/>
            <w:shd w:fill="DCE6EF"/>
            <w:tcMar>
              <w:top w:w="65" w:type="dxa"/>
              <w:left w:w="65" w:type="dxa"/>
              <w:bottom w:w="65" w:type="dxa"/>
              <w:right w:w="65" w:type="dxa"/>
            </w:tcMar>
          </w:tcPr>
          <w:p>
            <w:pPr>
              <w:spacing w:after="0" w:before="0" w:line="260" w:lineRule="exact"/>
            </w:pPr>
            <w:r>
              <w:rPr>
                <w:b/>
                <w:sz w:val="19"/>
              </w:rPr>
              <w:t>構成要素</w:t>
            </w:r>
          </w:p>
        </w:tc>
        <w:tc>
          <w:tcPr>
            <w:tcW w:type="dxa" w:w="3816"/>
            <w:vAlign w:val="center"/>
            <w:shd w:fill="DCE6EF"/>
            <w:tcMar>
              <w:top w:w="65" w:type="dxa"/>
              <w:left w:w="65" w:type="dxa"/>
              <w:bottom w:w="65" w:type="dxa"/>
              <w:right w:w="65" w:type="dxa"/>
            </w:tcMar>
          </w:tcPr>
          <w:p>
            <w:pPr>
              <w:spacing w:after="0" w:before="0" w:line="260" w:lineRule="exact"/>
            </w:pPr>
            <w:r>
              <w:rPr>
                <w:b/>
                <w:sz w:val="19"/>
              </w:rPr>
              <w:t>責務</w:t>
            </w:r>
          </w:p>
        </w:tc>
        <w:tc>
          <w:tcPr>
            <w:tcW w:type="dxa" w:w="4464"/>
            <w:vAlign w:val="center"/>
            <w:shd w:fill="DCE6EF"/>
            <w:tcMar>
              <w:top w:w="65" w:type="dxa"/>
              <w:left w:w="65" w:type="dxa"/>
              <w:bottom w:w="65" w:type="dxa"/>
              <w:right w:w="65" w:type="dxa"/>
            </w:tcMar>
          </w:tcPr>
          <w:p>
            <w:pPr>
              <w:spacing w:after="0" w:before="0" w:line="260" w:lineRule="exact"/>
            </w:pPr>
            <w:r>
              <w:rPr>
                <w:b/>
                <w:sz w:val="19"/>
              </w:rPr>
              <w:t>状態の保持</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Webフロントエンド</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入力、倉庫・運行表示、権限に応じた画面</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表示キャッシュのみ</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APIプロセス</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認証、権限、入力検証、コマンド受付、照会</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DBの状態を読み出す</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シミュレーションワーカー</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時刻進行、荷役・走行、資産割当、契約確定</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セッション内の計算状態を所有</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最適化ワーカー</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状態コピーから計画候補を計算</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実行中の世界を直接変更しない</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PostgreSQL</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永続コマンドキュー、イベント、検索用状態、保存点</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コミット済み状態の正本</w:t>
            </w:r>
          </w:p>
        </w:tc>
      </w:tr>
    </w:tbl>
    <w:p>
      <w:pPr>
        <w:spacing w:after="0" w:before="0" w:line="60" w:lineRule="exact"/>
      </w:pPr>
      <w:r>
        <w:rPr>
          <w:sz w:val="6"/>
        </w:rPr>
      </w:r>
    </w:p>
    <w:p>
      <w:pPr>
        <w:pStyle w:val="Heading2"/>
      </w:pPr>
      <w:r>
        <w:t>3 2 実行単位</w:t>
      </w:r>
    </w:p>
    <w:p>
      <w:r>
        <w:t>1セッションの状態変更は1つのシミュレーションワーカーだけが行う。APIの複数リクエストや最適化計算がSLAPStackオブジェクトを同時更新する構成は採らない。セッションの占有ロックと世代番号をDBで管理し、旧ワーカーによるコミットを拒否する。</w:t>
      </w:r>
    </w:p>
    <w:p>
      <w:r>
        <w:t>初期版は1セッションを標準とする。複数セッションは独立したワーカープロセスで増やせる。SLAPStackのPython環境を分け、旧Gym依存がAPIや最適化側の依存更新を妨げない構成とする。</w:t>
      </w:r>
    </w:p>
    <w:p>
      <w:r>
        <w:t>Docker Composeによるローカル配置を採用案とする。起動・終了はホストの起動ランチャーで行い、ゲーム内操作はブラウザで完結する。必要なコンテナイメージを事前取得すれば、実行中のインターネット接続は不要とする。</w:t>
      </w:r>
    </w:p>
    <w:p>
      <w:r>
        <w:br w:type="page"/>
      </w:r>
    </w:p>
    <w:p>
      <w:pPr>
        <w:pStyle w:val="Heading1"/>
      </w:pPr>
      <w:r>
        <w:t>4 SLAPStackの利用境界</w:t>
      </w:r>
    </w:p>
    <w:p>
      <w:pPr>
        <w:pStyle w:val="Heading2"/>
      </w:pPr>
      <w:r>
        <w:t>4 1 既存機能と追加部分</w:t>
      </w:r>
    </w:p>
    <w:p>
      <w:r>
        <w:t>SLAPStackはブロック積み倉庫向けの離散事象シミュレーターであり、SlapEnvがSlapCoreを包む。格納位置、取り出す荷物、搬送経路、搬送車、将来イベントを扱う。ドック間搬送も説明されている。[S1]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315"/>
      </w:tblGrid>
      <w:tr>
        <w:trPr>
          <w:cantSplit/>
          <w:tblHeader/>
        </w:trPr>
        <w:tc>
          <w:tcPr>
            <w:tcW w:type="dxa" w:w="3053"/>
            <w:vAlign w:val="center"/>
            <w:shd w:fill="DCE6EF"/>
            <w:tcMar>
              <w:top w:w="65" w:type="dxa"/>
              <w:left w:w="65" w:type="dxa"/>
              <w:bottom w:w="65" w:type="dxa"/>
              <w:right w:w="65" w:type="dxa"/>
            </w:tcMar>
          </w:tcPr>
          <w:p>
            <w:pPr>
              <w:spacing w:after="0" w:before="0" w:line="260" w:lineRule="exact"/>
            </w:pPr>
            <w:r>
              <w:rPr>
                <w:b/>
                <w:sz w:val="19"/>
              </w:rPr>
              <w:t>対象</w:t>
            </w:r>
          </w:p>
        </w:tc>
        <w:tc>
          <w:tcPr>
            <w:tcW w:type="dxa" w:w="7315"/>
            <w:vAlign w:val="center"/>
            <w:shd w:fill="DCE6EF"/>
            <w:tcMar>
              <w:top w:w="65" w:type="dxa"/>
              <w:left w:w="65" w:type="dxa"/>
              <w:bottom w:w="65" w:type="dxa"/>
              <w:right w:w="65" w:type="dxa"/>
            </w:tcMar>
          </w:tcPr>
          <w:p>
            <w:pPr>
              <w:spacing w:after="0" w:before="0" w:line="260" w:lineRule="exact"/>
            </w:pPr>
            <w:r>
              <w:rPr>
                <w:b/>
                <w:sz w:val="19"/>
              </w:rPr>
              <w:t>利用方針</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レイアウトと庫内経路</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SLAPStackを利用。任意形状倉庫への適合は検証する</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格納位置と出庫対象</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既存の合法操作を取得し、権限検証後に適用する</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搬送車の明示割当</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拡張する。標準Gym操作だけで指定できると扱わない</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受付、バース、積卸作業</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独自の状態とイベントを追加する</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任意時刻までの進行</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1イベント単位の実行境界を追加する</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動的な荷役注文</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注文追加、集計更新、待機復帰を一体で拡張する</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保存と再開</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状態・キュー・乱数の保存形式を追加する</w:t>
            </w:r>
          </w:p>
        </w:tc>
      </w:tr>
    </w:tbl>
    <w:p>
      <w:pPr>
        <w:spacing w:after="0" w:before="0" w:line="60" w:lineRule="exact"/>
      </w:pPr>
      <w:r>
        <w:rPr>
          <w:sz w:val="6"/>
        </w:rPr>
      </w:r>
    </w:p>
    <w:p>
      <w:r>
        <w:t>確認したcore.pyではstep_no_actionが意思決定地点までイベントを進め、stepも内部で再度進行する。標準stepの反復呼出しだけではトラック到着時刻に正確に割り込めない。interface.pyの操作は格納・取り出し位置または戦略の選択で、描画は未実装である。[S2][S3]</w:t>
      </w:r>
    </w:p>
    <w:p>
      <w:pPr>
        <w:pStyle w:val="Heading2"/>
      </w:pPr>
      <w:r>
        <w:t>4 2 採用する拡張方式</w:t>
      </w:r>
    </w:p>
    <w:p>
      <w:r>
        <w:t>上流ソースをコミット固定して管理し、小さな差分を持つ派生版とWarehouseAdapterを設ける。SLAPStackのイベント処理を1件ずつ実行できるよう分離し、同じスケジューラーに業務イベントを登録する。SimPyやSimulatteの独立した時計は初期版に追加しない。</w:t>
      </w:r>
    </w:p>
    <w:p>
      <w:r>
        <w:t>Adapterの新設契約は、初期化、次イベント照会、1イベント実行、外部注文追加、合法操作一覧、判断適用、搬送車予約、状態出力、保存、復元とする。これらは本設計の追加インターフェースであり、既存APIの名称ではない。</w:t>
      </w:r>
    </w:p>
    <w:p>
      <w:r>
        <w:t>搬送車選択は配車ポリシーの差替え点を設ける。確認したget_close_agvは利用可能車両から距離に基づいて選ぶため、画面で指定した車両ID、予約状況、積載適合性を選択時に反映する拡張が必要である。[S4]</w:t>
      </w:r>
    </w:p>
    <w:p>
      <w:r>
        <w:t>標準注文が尽きてもセッションを終了しない。外部注文待ちのIDLEと倉庫の処理不能を分け、営業終了と残作業の完了をセッション終了条件とする。導入前に空注文からの起動と追加注文後の再開を検証する。</w:t>
      </w:r>
    </w:p>
    <w:p>
      <w:r>
        <w:br w:type="page"/>
      </w:r>
    </w:p>
    <w:p>
      <w:pPr>
        <w:pStyle w:val="Heading1"/>
      </w:pPr>
      <w:r>
        <w:t>5 シミュレーション時刻とイベント</w:t>
      </w:r>
    </w:p>
    <w:p>
      <w:pPr>
        <w:pStyle w:val="Heading2"/>
      </w:pPr>
      <w:r>
        <w:t>5 1 時計の定義</w:t>
      </w:r>
    </w:p>
    <w:p>
      <w:r>
        <w:t>時刻はセッション開始からの整数ミリ秒で保持し、表示だけ開始日時とタイムゾーンを加える。SLAPStackの秒と変換する境界では1ms単位へ切り上げ、同じ変換規則を固定する。庫内実装の丸め処理は精度を確認し、必要なら統一する。</w:t>
      </w:r>
    </w:p>
    <w:p>
      <w:r>
        <w:t>実時間は進行倍率とUI応答にのみ使う。1実秒で60シミュレーション秒進める場合も、途中の荷役・到着イベントを飛ばさない。処理が追いつかなければ表示倍率を下げ、イベントや待機時間を省略しない。外部イベント時にも進行中搬送の残時間を一度だけ更新し、二重加算を防ぐ。</w:t>
      </w:r>
    </w:p>
    <w:p>
      <w:pPr>
        <w:pStyle w:val="Heading2"/>
      </w:pPr>
      <w:r>
        <w:t>5 2 同時刻の処理順</w:t>
      </w:r>
    </w:p>
    <w:p>
      <w:r>
        <w:t>イベント順序は「予定時刻、優先度、登録連番」の組で確定する。遅れて実行可能になった待ち注文は元の発生時刻を属性に残し、現在時刻で実行する。時計の巻戻りを禁止する。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464"/>
      </w:tblGrid>
      <w:tr>
        <w:trPr>
          <w:cantSplit/>
          <w:tblHeader/>
        </w:trPr>
        <w:tc>
          <w:tcPr>
            <w:tcW w:type="dxa" w:w="2088"/>
            <w:vAlign w:val="center"/>
            <w:shd w:fill="DCE6EF"/>
            <w:tcMar>
              <w:top w:w="65" w:type="dxa"/>
              <w:left w:w="65" w:type="dxa"/>
              <w:bottom w:w="65" w:type="dxa"/>
              <w:right w:w="65" w:type="dxa"/>
            </w:tcMar>
          </w:tcPr>
          <w:p>
            <w:pPr>
              <w:spacing w:after="0" w:before="0" w:line="260" w:lineRule="exact"/>
            </w:pPr>
            <w:r>
              <w:rPr>
                <w:b/>
                <w:sz w:val="19"/>
              </w:rPr>
              <w:t>優先度</w:t>
            </w:r>
          </w:p>
        </w:tc>
        <w:tc>
          <w:tcPr>
            <w:tcW w:type="dxa" w:w="3816"/>
            <w:vAlign w:val="center"/>
            <w:shd w:fill="DCE6EF"/>
            <w:tcMar>
              <w:top w:w="65" w:type="dxa"/>
              <w:left w:w="65" w:type="dxa"/>
              <w:bottom w:w="65" w:type="dxa"/>
              <w:right w:w="65" w:type="dxa"/>
            </w:tcMar>
          </w:tcPr>
          <w:p>
            <w:pPr>
              <w:spacing w:after="0" w:before="0" w:line="260" w:lineRule="exact"/>
            </w:pPr>
            <w:r>
              <w:rPr>
                <w:b/>
                <w:sz w:val="19"/>
              </w:rPr>
              <w:t>イベント分類</w:t>
            </w:r>
          </w:p>
        </w:tc>
        <w:tc>
          <w:tcPr>
            <w:tcW w:type="dxa" w:w="4464"/>
            <w:vAlign w:val="center"/>
            <w:shd w:fill="DCE6EF"/>
            <w:tcMar>
              <w:top w:w="65" w:type="dxa"/>
              <w:left w:w="65" w:type="dxa"/>
              <w:bottom w:w="65" w:type="dxa"/>
              <w:right w:w="65" w:type="dxa"/>
            </w:tcMar>
          </w:tcPr>
          <w:p>
            <w:pPr>
              <w:spacing w:after="0" w:before="0" w:line="260" w:lineRule="exact"/>
            </w:pPr>
            <w:r>
              <w:rPr>
                <w:b/>
                <w:sz w:val="19"/>
              </w:rPr>
              <w:t>例</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0</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作業完了と資源解放</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荷役完了、搬送完了、バース退出</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1</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外部状態変化</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トラック到着、案件公開、障害発生</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2</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受理済み操作の適用</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受注、バース指示、計画承認</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3</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割当と作業開始</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資源予約、荷役開始、走行開始</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4</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期限判定と統計</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締切違反、KPI更新</w:t>
            </w:r>
          </w:p>
        </w:tc>
      </w:tr>
    </w:tbl>
    <w:p>
      <w:pPr>
        <w:spacing w:after="0" w:before="0" w:line="60" w:lineRule="exact"/>
      </w:pPr>
      <w:r>
        <w:rPr>
          <w:sz w:val="6"/>
        </w:rPr>
      </w:r>
    </w:p>
    <w:p>
      <w:r>
        <w:t>時刻境界は含む。15時00分ちょうどの完了は15時00分期限に間に合う。同時刻で発生した連鎖イベントは因果順を守り、処理済みの優先度に遡らせず後続の小段階として実行する。ゼロ時間イベントの無限生成は検出して停止する。</w:t>
      </w:r>
    </w:p>
    <w:p>
      <w:pPr>
        <w:pStyle w:val="Heading2"/>
      </w:pPr>
      <w:r>
        <w:t>5 3 人間の操作待ち</w:t>
      </w:r>
    </w:p>
    <w:p>
      <w:r>
        <w:t>複数人モードでは1人の判断待ちで全体を停止しない。プレイヤーは未着手作業の配車・優先順位・配置方針を事前設定し、意思決定地点でワーカーが適用する。未指定なら既定ポリシーを即時適用する。搬送中のパレットや車両の移動を途中で上書きしない。</w:t>
      </w:r>
    </w:p>
    <w:p>
      <w:r>
        <w:t>学習用には全体停止モードも設ける。停止・再開・倍率はホスト権限だけが変更し、全参加者に通知する。通常の受注締切はシミュレーション時刻、ログイン期限・接続監視は実時間として分離する。</w:t>
      </w:r>
    </w:p>
    <w:p>
      <w:pPr>
        <w:pStyle w:val="Heading2"/>
      </w:pPr>
      <w:r>
        <w:t>5 4 早着と遅延の入力</w:t>
      </w:r>
    </w:p>
    <w:p>
      <w:r>
        <w:t>自走トラックは出発時刻と走行時間から到着を計算する。外部流入車には予約時刻と到着偏差を与える。偏差の分布・上下限、走行時間の倍率分布、荷役時間のばらつきはシナリオ設定とし、乱数seedを保存する。所要時間は正値に制限し、同じ遅延を走行時間と到着偏差へ重複適用しない。将来の外乱実現値はプレイヤーや最適化へ公開しない。</w:t>
      </w:r>
    </w:p>
    <w:p>
      <w:r>
        <w:br w:type="page"/>
      </w:r>
    </w:p>
    <w:p>
      <w:pPr>
        <w:pStyle w:val="Heading1"/>
      </w:pPr>
      <w:r>
        <w:t>6 利用者とフロントエンド</w:t>
      </w:r>
    </w:p>
    <w:p>
      <w:pPr>
        <w:pStyle w:val="Heading2"/>
      </w:pPr>
      <w:r>
        <w:t>6 1 入口と参加モデル</w:t>
      </w:r>
    </w:p>
    <w:p>
      <w:r>
        <w:t>/shipperは荷主入口、/driverはドライバー入口とする。認証基盤は共通とし、セッション参加時にどちらか1つの役割を選ぶ。役割はそのセッション中固定する。ホスト権限と倉庫運営権限は追加権限であり、第3のプレイヤー種別にはし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464"/>
      </w:tblGrid>
      <w:tr>
        <w:trPr>
          <w:cantSplit/>
          <w:tblHeader/>
        </w:trPr>
        <w:tc>
          <w:tcPr>
            <w:tcW w:type="dxa" w:w="2088"/>
            <w:vAlign w:val="center"/>
            <w:shd w:fill="DCE6EF"/>
            <w:tcMar>
              <w:top w:w="65" w:type="dxa"/>
              <w:left w:w="65" w:type="dxa"/>
              <w:bottom w:w="65" w:type="dxa"/>
              <w:right w:w="65" w:type="dxa"/>
            </w:tcMar>
          </w:tcPr>
          <w:p>
            <w:pPr>
              <w:spacing w:after="0" w:before="0" w:line="260" w:lineRule="exact"/>
            </w:pPr>
            <w:r>
              <w:rPr>
                <w:b/>
                <w:sz w:val="19"/>
              </w:rPr>
              <w:t>操作または情報</w:t>
            </w:r>
          </w:p>
        </w:tc>
        <w:tc>
          <w:tcPr>
            <w:tcW w:type="dxa" w:w="3816"/>
            <w:vAlign w:val="center"/>
            <w:shd w:fill="DCE6EF"/>
            <w:tcMar>
              <w:top w:w="65" w:type="dxa"/>
              <w:left w:w="65" w:type="dxa"/>
              <w:bottom w:w="65" w:type="dxa"/>
              <w:right w:w="65" w:type="dxa"/>
            </w:tcMar>
          </w:tcPr>
          <w:p>
            <w:pPr>
              <w:spacing w:after="0" w:before="0" w:line="260" w:lineRule="exact"/>
            </w:pPr>
            <w:r>
              <w:rPr>
                <w:b/>
                <w:sz w:val="19"/>
              </w:rPr>
              <w:t>荷主</w:t>
            </w:r>
          </w:p>
        </w:tc>
        <w:tc>
          <w:tcPr>
            <w:tcW w:type="dxa" w:w="4464"/>
            <w:vAlign w:val="center"/>
            <w:shd w:fill="DCE6EF"/>
            <w:tcMar>
              <w:top w:w="65" w:type="dxa"/>
              <w:left w:w="65" w:type="dxa"/>
              <w:bottom w:w="65" w:type="dxa"/>
              <w:right w:w="65" w:type="dxa"/>
            </w:tcMar>
          </w:tcPr>
          <w:p>
            <w:pPr>
              <w:spacing w:after="0" w:before="0" w:line="260" w:lineRule="exact"/>
            </w:pPr>
            <w:r>
              <w:rPr>
                <w:b/>
                <w:sz w:val="19"/>
              </w:rPr>
              <w:t>ドライバー</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案件作成、報酬、時間枠</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自社案件を操作</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公開情報を閲覧</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受注</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受注結果を閲覧</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自分の担当車両で申請</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倉庫在庫</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自社在庫を閲覧・予約</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自分の契約の荷物のみ</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バースと搬送車</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運営権限の対象倉庫で指示</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指定結果と待ち時間を閲覧</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運行計画</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自社貨物のETAを閲覧</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自分の計画を作成・承認</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他社情報</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公開案件と集計値</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公開案件と集計値</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全体の保存や速度変更</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ホスト権限があれば可能</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ホスト権限があれば可能</w:t>
            </w:r>
          </w:p>
        </w:tc>
      </w:tr>
    </w:tbl>
    <w:p>
      <w:pPr>
        <w:spacing w:after="0" w:before="0" w:line="60" w:lineRule="exact"/>
      </w:pPr>
      <w:r>
        <w:rPr>
          <w:sz w:val="6"/>
        </w:rPr>
      </w:r>
    </w:p>
    <w:p>
      <w:r>
        <w:t>複数荷主ユーザーは同じ組織に所属できる。ドライバーは初期版では1人1台を担当し、車両とユーザーを別エンティティにする。参加上限をプログラムの固定配列に埋め込まず、必要ならホストがセッション単位の接続上限を設定する。</w:t>
      </w:r>
    </w:p>
    <w:p>
      <w:pPr>
        <w:pStyle w:val="Heading2"/>
      </w:pPr>
      <w:r>
        <w:t>6 2 主要画面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315"/>
      </w:tblGrid>
      <w:tr>
        <w:trPr>
          <w:cantSplit/>
          <w:tblHeader/>
        </w:trPr>
        <w:tc>
          <w:tcPr>
            <w:tcW w:type="dxa" w:w="3053"/>
            <w:vAlign w:val="center"/>
            <w:shd w:fill="DCE6EF"/>
            <w:tcMar>
              <w:top w:w="65" w:type="dxa"/>
              <w:left w:w="65" w:type="dxa"/>
              <w:bottom w:w="65" w:type="dxa"/>
              <w:right w:w="65" w:type="dxa"/>
            </w:tcMar>
          </w:tcPr>
          <w:p>
            <w:pPr>
              <w:spacing w:after="0" w:before="0" w:line="260" w:lineRule="exact"/>
            </w:pPr>
            <w:r>
              <w:rPr>
                <w:b/>
                <w:sz w:val="19"/>
              </w:rPr>
              <w:t>画面</w:t>
            </w:r>
          </w:p>
        </w:tc>
        <w:tc>
          <w:tcPr>
            <w:tcW w:type="dxa" w:w="7315"/>
            <w:vAlign w:val="center"/>
            <w:shd w:fill="DCE6EF"/>
            <w:tcMar>
              <w:top w:w="65" w:type="dxa"/>
              <w:left w:w="65" w:type="dxa"/>
              <w:bottom w:w="65" w:type="dxa"/>
              <w:right w:w="65" w:type="dxa"/>
            </w:tcMar>
          </w:tcPr>
          <w:p>
            <w:pPr>
              <w:spacing w:after="0" w:before="0" w:line="260" w:lineRule="exact"/>
            </w:pPr>
            <w:r>
              <w:rPr>
                <w:b/>
                <w:sz w:val="19"/>
              </w:rPr>
              <w:t>表示と操作</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荷主ホーム</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自社在庫、公開・契約済み案件、納品予測、輸送費</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倉庫運営</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2D倉庫、バース別待ち列、搬送車状態、仮置き容量、割当</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ドライバーホーム</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担当車両、積載、現在作業、次の行先、収支</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案件市場</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往路・帰り荷、報酬、時間枠、空走距離、受注可能理由</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計画比較</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手動案と推奨案、予測待機、余裕時間、変更箇所、承認</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セッション管理</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参加、資産追加、シナリオ編集、開始、保存、再開</w:t>
            </w:r>
          </w:p>
        </w:tc>
      </w:tr>
    </w:tbl>
    <w:p>
      <w:pPr>
        <w:spacing w:after="0" w:before="0" w:line="60" w:lineRule="exact"/>
      </w:pPr>
      <w:r>
        <w:rPr>
          <w:sz w:val="6"/>
        </w:rPr>
      </w:r>
    </w:p>
    <w:p>
      <w:r>
        <w:t>走行とチェックインは計画に従ってバックエンドが実行する。ドライバーは行先・出発・受注を判断し、到着完了を自己申告して時刻を短縮することはできない。切断中は最後の確定計画を継続し、新規契約を自動で増やさない。再接続時は最新状態を取得する。</w:t>
      </w:r>
    </w:p>
    <w:p>
      <w:r>
        <w:br w:type="page"/>
      </w:r>
    </w:p>
    <w:p>
      <w:pPr>
        <w:pStyle w:val="Heading1"/>
      </w:pPr>
      <w:r>
        <w:t>7 倉庫と荷役のモデル</w:t>
      </w:r>
    </w:p>
    <w:p>
      <w:pPr>
        <w:pStyle w:val="Heading2"/>
      </w:pPr>
      <w:r>
        <w:t>7 1 トラックと倉庫の接続</w:t>
      </w:r>
    </w:p>
    <w:p>
      <w:r>
        <w:t>トラック到着から受付、待機、バース入場、積卸、書類処理、退出までを業務側で扱う。SLAPStackへ渡すのはパレットごとの庫内搬送注文とする。SLAPStackのDeliveryは倉庫への入庫、Retrievalは倉庫からの出庫であり、道路配送の意味とは区別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464"/>
      </w:tblGrid>
      <w:tr>
        <w:trPr>
          <w:cantSplit/>
          <w:tblHeader/>
        </w:trPr>
        <w:tc>
          <w:tcPr>
            <w:tcW w:type="dxa" w:w="2088"/>
            <w:vAlign w:val="center"/>
            <w:shd w:fill="DCE6EF"/>
            <w:tcMar>
              <w:top w:w="65" w:type="dxa"/>
              <w:left w:w="65" w:type="dxa"/>
              <w:bottom w:w="65" w:type="dxa"/>
              <w:right w:w="65" w:type="dxa"/>
            </w:tcMar>
          </w:tcPr>
          <w:p>
            <w:pPr>
              <w:spacing w:after="0" w:before="0" w:line="260" w:lineRule="exact"/>
            </w:pPr>
            <w:r>
              <w:rPr>
                <w:b/>
                <w:sz w:val="19"/>
              </w:rPr>
              <w:t>工程</w:t>
            </w:r>
          </w:p>
        </w:tc>
        <w:tc>
          <w:tcPr>
            <w:tcW w:type="dxa" w:w="3816"/>
            <w:vAlign w:val="center"/>
            <w:shd w:fill="DCE6EF"/>
            <w:tcMar>
              <w:top w:w="65" w:type="dxa"/>
              <w:left w:w="65" w:type="dxa"/>
              <w:bottom w:w="65" w:type="dxa"/>
              <w:right w:w="65" w:type="dxa"/>
            </w:tcMar>
          </w:tcPr>
          <w:p>
            <w:pPr>
              <w:spacing w:after="0" w:before="0" w:line="260" w:lineRule="exact"/>
            </w:pPr>
            <w:r>
              <w:rPr>
                <w:b/>
                <w:sz w:val="19"/>
              </w:rPr>
              <w:t>パレットの移動</w:t>
            </w:r>
          </w:p>
        </w:tc>
        <w:tc>
          <w:tcPr>
            <w:tcW w:type="dxa" w:w="4464"/>
            <w:vAlign w:val="center"/>
            <w:shd w:fill="DCE6EF"/>
            <w:tcMar>
              <w:top w:w="65" w:type="dxa"/>
              <w:left w:w="65" w:type="dxa"/>
              <w:bottom w:w="65" w:type="dxa"/>
              <w:right w:w="65" w:type="dxa"/>
            </w:tcMar>
          </w:tcPr>
          <w:p>
            <w:pPr>
              <w:spacing w:after="0" w:before="0" w:line="260" w:lineRule="exact"/>
            </w:pPr>
            <w:r>
              <w:rPr>
                <w:b/>
                <w:sz w:val="19"/>
              </w:rPr>
              <w:t>完了判定の責任</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荷下ろし</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トラック → 入庫仮置き</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業務側の荷下ろしイベント</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格納</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入庫仮置き → 棚・床置き区画</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SLAPStackの搬送完了</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出庫搬送</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保管区画 → 出庫仮置き</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SLAPStackの搬送完了</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積込み</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出庫仮置き → トラック</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業務側の積込イベント</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クロスドック</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入庫側 → 出庫側</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対応する搬送の完了通知</w:t>
            </w:r>
          </w:p>
        </w:tc>
      </w:tr>
    </w:tbl>
    <w:p>
      <w:pPr>
        <w:spacing w:after="0" w:before="0" w:line="60" w:lineRule="exact"/>
      </w:pPr>
      <w:r>
        <w:rPr>
          <w:sz w:val="6"/>
        </w:rPr>
      </w:r>
    </w:p>
    <w:p>
      <w:r>
        <w:t>初期版は荷下ろし・積込みにも同じ3台の搬送車を使う。Adapterの共通予約表で車両を占有し、庫内搬送との二重予約を防ぐ。トラックと仮置きの間の作業時間だけを業務側で加算し、SLAPStackが計算した庫内移動時間を重ねて加算しない。作業完了時には共通予約と内部車両状態を同時に解放する。</w:t>
      </w:r>
    </w:p>
    <w:p>
      <w:pPr>
        <w:pStyle w:val="Heading2"/>
      </w:pPr>
      <w:r>
        <w:t>7 2 資源制約と割当</w:t>
      </w:r>
    </w:p>
    <w:p>
      <w:r>
        <w:t>バースは車格、荷姿、取扱温度帯、積込・荷下ろし可否を持つ。搬送車は容量、速度、利用可能状態を持ち、仮置き場はパレット数で上限を持つ。初期版は一定速度と固定荷役時間を使い、通路内の衝突回避を物理的に保証するモデルとはしない。</w:t>
      </w:r>
    </w:p>
    <w:p>
      <w:r>
        <w:t>次のパレット搬送先の空きと作業車両を同時に確保してから作業を開始する。仮置き場が満杯なら荷下ろしを待機させ、満杯の場所へ荷物を生成しない。進行不能時は出庫・仮置き解放を優先する既定ポリシーへ切り替え、解消できなければ資源待ちを表示する。</w:t>
      </w:r>
    </w:p>
    <w:p>
      <w:r>
        <w:t>庫内搬送とトラック荷役はパレット単位で連続処理できる。トラックの出発可能条件は、予定数量の積卸完了、積荷整合、書類完了、退出経路の利用可能である。荷下ろし済みパレットの全格納完了までは待たなくてよい。</w:t>
      </w:r>
    </w:p>
    <w:p>
      <w:r>
        <w:t>バース予約は予定、実際のバース占有は実績として分ける。先行車の遅延中は次の予約を強制開始しない。標準割当は適合性を確認した先着順とし、荷主の手動指示または自動計画で未着手分を変更できる。</w:t>
      </w:r>
    </w:p>
    <w:p>
      <w:r>
        <w:br w:type="page"/>
      </w:r>
    </w:p>
    <w:p>
      <w:pPr>
        <w:pStyle w:val="Heading1"/>
      </w:pPr>
      <w:r>
        <w:t>8 VRPBの数理モデル</w:t>
      </w:r>
    </w:p>
    <w:p>
      <w:pPr>
        <w:pStyle w:val="Heading2"/>
      </w:pPr>
      <w:r>
        <w:t>8 1 適用する問題</w:t>
      </w:r>
    </w:p>
    <w:p>
      <w:r>
        <w:t>標準VRPBは、同じデポを出発・帰着点とし、配送先を訪問した後に帰り荷の集荷先を訪問する問題である。[S6] 本設計は時間枠と案件選択を加えた拡張VRPBとする。デポ以外へ帰り荷を届ける案件は初期版では受け付けず、将来のPickup and Delivery拡張に分類する。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315"/>
      </w:tblGrid>
      <w:tr>
        <w:trPr>
          <w:cantSplit/>
          <w:tblHeader/>
        </w:trPr>
        <w:tc>
          <w:tcPr>
            <w:tcW w:type="dxa" w:w="3053"/>
            <w:vAlign w:val="center"/>
            <w:shd w:fill="DCE6EF"/>
            <w:tcMar>
              <w:top w:w="65" w:type="dxa"/>
              <w:left w:w="65" w:type="dxa"/>
              <w:bottom w:w="65" w:type="dxa"/>
              <w:right w:w="65" w:type="dxa"/>
            </w:tcMar>
          </w:tcPr>
          <w:p>
            <w:pPr>
              <w:spacing w:after="0" w:before="0" w:line="260" w:lineRule="exact"/>
            </w:pPr>
            <w:r>
              <w:rPr>
                <w:b/>
                <w:sz w:val="19"/>
              </w:rPr>
              <w:t>記号</w:t>
            </w:r>
          </w:p>
        </w:tc>
        <w:tc>
          <w:tcPr>
            <w:tcW w:type="dxa" w:w="7315"/>
            <w:vAlign w:val="center"/>
            <w:shd w:fill="DCE6EF"/>
            <w:tcMar>
              <w:top w:w="65" w:type="dxa"/>
              <w:left w:w="65" w:type="dxa"/>
              <w:bottom w:w="65" w:type="dxa"/>
              <w:right w:w="65" w:type="dxa"/>
            </w:tcMar>
          </w:tcPr>
          <w:p>
            <w:pPr>
              <w:spacing w:after="0" w:before="0" w:line="260" w:lineRule="exact"/>
            </w:pPr>
            <w:r>
              <w:rPr>
                <w:b/>
                <w:sz w:val="19"/>
              </w:rPr>
              <w:t>意味</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D、L、B、K</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デポ、配送ノード集合、集荷ノード集合、車両集合</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x(i,j,k)、y(r,k)</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車両kがiからjへ移動するか、案件rを担当するか</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q(r)、Q(k)</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案件量と車両容量。パレット数と重量で別々に評価</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a(i)、b(i)、s(i)</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荷役開始可能時刻、開始期限、荷役所要時間</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t(i,k)、load(i,k)</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荷役開始時刻、ノード作業後の積載量</w:t>
            </w:r>
          </w:p>
        </w:tc>
      </w:tr>
    </w:tbl>
    <w:p>
      <w:pPr>
        <w:spacing w:after="0" w:before="0" w:line="60" w:lineRule="exact"/>
      </w:pPr>
      <w:r>
        <w:rPr>
          <w:sz w:val="6"/>
        </w:rPr>
      </w:r>
    </w:p>
    <w:p>
      <w:pPr>
        <w:pStyle w:val="Heading2"/>
      </w:pPr>
      <w:r>
        <w:t>8 2 必須制約</w:t>
      </w:r>
    </w:p>
    <w:p>
      <w:pPr>
        <w:ind w:left="202" w:hanging="202"/>
      </w:pPr>
      <w:r>
        <w:t>1. 契約済み案件は指定車両が1回履行する。公開案件は未選択を許す。1案件の車両分割はしない。</w:t>
      </w:r>
    </w:p>
    <w:p>
      <w:pPr>
        <w:ind w:left="202" w:hanging="202"/>
      </w:pPr>
      <w:r>
        <w:t>2. 各運行はDから出発してDに戻る。車両ごとの経路連続性と巡回の除去を保証する。</w:t>
      </w:r>
    </w:p>
    <w:p>
      <w:pPr>
        <w:ind w:left="202" w:hanging="202"/>
      </w:pPr>
      <w:r>
        <w:t>3. 同じ運行の全Lを全Bより前に訪問する。Bの後にLへ向かう遷移を禁止する。</w:t>
      </w:r>
    </w:p>
    <w:p>
      <w:pPr>
        <w:ind w:left="202" w:hanging="202"/>
      </w:pPr>
      <w:r>
        <w:t>4. 出発時積載は担当するLの総量。配送で減り、集荷で増える。全区間で0以上Q以下を満たす。重量とパレット数の両方を確認する。</w:t>
      </w:r>
    </w:p>
    <w:p>
      <w:pPr>
        <w:ind w:left="202" w:hanging="202"/>
      </w:pPr>
      <w:r>
        <w:t>5. 荷役開始はa以上b以下。次地点の開始は前地点の開始＋荷役＋走行時間以降とする。待機は許す。デポの積込・帰庫荷下ろしも時間に含める。</w:t>
      </w:r>
    </w:p>
    <w:p>
      <w:pPr>
        <w:ind w:left="202" w:hanging="202"/>
      </w:pPr>
      <w:r>
        <w:t>6. 車両適合、在庫、荷主ごとの貨物所有権、勤務終了、確定済み作業を守る。道路移動を瞬間移動に置き換えない。</w:t>
      </w:r>
    </w:p>
    <w:p>
      <w:pPr>
        <w:pStyle w:val="Heading2"/>
      </w:pPr>
      <w:r>
        <w:t>8 3 時間枠と目的</w:t>
      </w:r>
    </w:p>
    <w:p>
      <w:r>
        <w:t>案件の時間枠は「荷役開始可能時間帯」と定義し、別項目の納品完了期限も扱う。契約後の遅延は実世界状態として許容し、違反・費用を記録する。計画不能だから契約を無言で削除することはしない。</w:t>
      </w:r>
    </w:p>
    <w:p>
      <w:r>
        <w:t>最適化は、既契約の履行と違反抑制を優先し、次に追加運行利益を最大化する。追加利益は受注報酬から走行費、時間費、外部支払費、遅延費を控除する。空車距離は別指標と同利益時の優先条件に使い、走行費との重複課金を避ける。</w:t>
      </w:r>
    </w:p>
    <w:p>
      <w:r>
        <w:br w:type="page"/>
      </w:r>
    </w:p>
    <w:p>
      <w:pPr>
        <w:pStyle w:val="Heading1"/>
      </w:pPr>
      <w:r>
        <w:t>9 OR Toolsによる計画生成</w:t>
      </w:r>
    </w:p>
    <w:p>
      <w:pPr>
        <w:pStyle w:val="Heading2"/>
      </w:pPr>
      <w:r>
        <w:t>9 1 配送と帰り荷の計画</w:t>
      </w:r>
    </w:p>
    <w:p>
      <w:r>
        <w:t>Routingモデルに訪問順、車両適合、時間、重量、パレット容量を設定する。初期出発積載を0固定にしない。配送量を減算、集荷量を加算する積載モデルと、担当配送量に一致する出発積載の制約を持たせる。</w:t>
      </w:r>
    </w:p>
    <w:p>
      <w:r>
        <w:t>VRPBの順序制約は明示的にBからLへの接続を禁止するか、経路上で単調に変わる配送・集荷フェーズを使う。時刻の大小だけで代用しない。AddPickupAndDeliveryは対応する集荷・配達ペアを扱う機能であり、それだけでは全配送を全集荷より先にするVRPB制約にはならない。[S7]</w:t>
      </w:r>
    </w:p>
    <w:p>
      <w:r>
        <w:t>公開案件は選択を任意とする。距離費・時間費に、未選択案件の報酬相当の機会費用を組み合わせ、利益最大化と等価な目的へ変換する。係数は整数円へ統一する。全件を捨てる方が有利になる設定ミスを、検証例で検出する。</w:t>
      </w:r>
    </w:p>
    <w:p>
      <w:r>
        <w:t>既契約は原則必須ノードとする。遅延で時間枠を満たせなくなった場合は、救済計画モードで期限超過量を評価する。容量や所有権まで緩和しない。最適化の結果はOPTIMAL、FEASIBLE、TIME_LIMIT、INFEASIBLE、ERRORを区別し、可行解だけ得られた場合に最適と表示しない。</w:t>
      </w:r>
    </w:p>
    <w:p>
      <w:pPr>
        <w:pStyle w:val="Heading2"/>
      </w:pPr>
      <w:r>
        <w:t>9 2 バースと倉庫待ちの計画</w:t>
      </w:r>
    </w:p>
    <w:p>
      <w:r>
        <w:t>CP-SATではトラック荷役を区間、バースを排他資源として扱う。適合しない組合せを禁止し、同一バースの区間重複を禁止する。搬送車数と仮置き容量も、見積り粒度に応じた累積資源として評価する。[S8]</w:t>
      </w:r>
    </w:p>
    <w:p>
      <w:r>
        <w:t>初期版は厳密な一括最適化を行わない。配送の到着予測からバース案を作り、バース待ち予測を配送案へ戻す分解方式とする。最大3反復または計算期限で打ち切り、最後に全制約を再検証して可行な最良案を残す。可行案がなければ現行案と先着順を維持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464"/>
      </w:tblGrid>
      <w:tr>
        <w:trPr>
          <w:cantSplit/>
          <w:tblHeader/>
        </w:trPr>
        <w:tc>
          <w:tcPr>
            <w:tcW w:type="dxa" w:w="2088"/>
            <w:vAlign w:val="center"/>
            <w:shd w:fill="DCE6EF"/>
            <w:tcMar>
              <w:top w:w="65" w:type="dxa"/>
              <w:left w:w="65" w:type="dxa"/>
              <w:bottom w:w="65" w:type="dxa"/>
              <w:right w:w="65" w:type="dxa"/>
            </w:tcMar>
          </w:tcPr>
          <w:p>
            <w:pPr>
              <w:spacing w:after="0" w:before="0" w:line="260" w:lineRule="exact"/>
            </w:pPr>
            <w:r>
              <w:rPr>
                <w:b/>
                <w:sz w:val="19"/>
              </w:rPr>
              <w:t>実行モード</w:t>
            </w:r>
          </w:p>
        </w:tc>
        <w:tc>
          <w:tcPr>
            <w:tcW w:type="dxa" w:w="3816"/>
            <w:vAlign w:val="center"/>
            <w:shd w:fill="DCE6EF"/>
            <w:tcMar>
              <w:top w:w="65" w:type="dxa"/>
              <w:left w:w="65" w:type="dxa"/>
              <w:bottom w:w="65" w:type="dxa"/>
              <w:right w:w="65" w:type="dxa"/>
            </w:tcMar>
          </w:tcPr>
          <w:p>
            <w:pPr>
              <w:spacing w:after="0" w:before="0" w:line="260" w:lineRule="exact"/>
            </w:pPr>
            <w:r>
              <w:rPr>
                <w:b/>
                <w:sz w:val="19"/>
              </w:rPr>
              <w:t>計算時間の目安となる上限案</w:t>
            </w:r>
          </w:p>
        </w:tc>
        <w:tc>
          <w:tcPr>
            <w:tcW w:type="dxa" w:w="4464"/>
            <w:vAlign w:val="center"/>
            <w:shd w:fill="DCE6EF"/>
            <w:tcMar>
              <w:top w:w="65" w:type="dxa"/>
              <w:left w:w="65" w:type="dxa"/>
              <w:bottom w:w="65" w:type="dxa"/>
              <w:right w:w="65" w:type="dxa"/>
            </w:tcMar>
          </w:tcPr>
          <w:p>
            <w:pPr>
              <w:spacing w:after="0" w:before="0" w:line="260" w:lineRule="exact"/>
            </w:pPr>
            <w:r>
              <w:rPr>
                <w:b/>
                <w:sz w:val="19"/>
              </w:rPr>
              <w:t>適用方法</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対話型の提案</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実時間2秒</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本人が承認してから適用</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自動運用</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実時間5秒</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権限を持つ自動運用主体だけに適用</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比較実験</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実時間30秒</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シミュレーションを止めて評価</w:t>
            </w:r>
          </w:p>
        </w:tc>
      </w:tr>
    </w:tbl>
    <w:p>
      <w:pPr>
        <w:spacing w:after="0" w:before="0" w:line="60" w:lineRule="exact"/>
      </w:pPr>
      <w:r>
        <w:rPr>
          <w:sz w:val="6"/>
        </w:rPr>
      </w:r>
    </w:p>
    <w:p>
      <w:r>
        <w:t>最適化は候補集合・対象車両・目的・情報範囲を記録する。ドライバー向け提案は自分の車両と閲覧可能案件だけを使い、他人の契約を再割当しない。全車両最適化は自動運用シナリオ用とする。</w:t>
      </w:r>
    </w:p>
    <w:p>
      <w:r>
        <w:br w:type="page"/>
      </w:r>
    </w:p>
    <w:p>
      <w:pPr>
        <w:pStyle w:val="Heading1"/>
      </w:pPr>
      <w:r>
        <w:t>10 計画と実績の連携</w:t>
      </w:r>
    </w:p>
    <w:p>
      <w:pPr>
        <w:pStyle w:val="Heading2"/>
      </w:pPr>
      <w:r>
        <w:t>10 1 再計画の契機</w:t>
      </w:r>
    </w:p>
    <w:p>
      <w:r>
        <w:t>案件公開、受注成立、バース変更、荷役遅延、車両解放を契機に影響する運行を再評価する。通常はシミュレーション5分間隔でも更新し、短時間に連続した変更はまとめる。再計画対象は未着手区間とし、開始済み荷役と走行中の区間を固定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315"/>
      </w:tblGrid>
      <w:tr>
        <w:trPr>
          <w:cantSplit/>
          <w:tblHeader/>
        </w:trPr>
        <w:tc>
          <w:tcPr>
            <w:tcW w:type="dxa" w:w="3053"/>
            <w:vAlign w:val="center"/>
            <w:shd w:fill="DCE6EF"/>
            <w:tcMar>
              <w:top w:w="65" w:type="dxa"/>
              <w:left w:w="65" w:type="dxa"/>
              <w:bottom w:w="65" w:type="dxa"/>
              <w:right w:w="65" w:type="dxa"/>
            </w:tcMar>
          </w:tcPr>
          <w:p>
            <w:pPr>
              <w:spacing w:after="0" w:before="0" w:line="260" w:lineRule="exact"/>
            </w:pPr>
            <w:r>
              <w:rPr>
                <w:b/>
                <w:sz w:val="19"/>
              </w:rPr>
              <w:t>計画時の状態</w:t>
            </w:r>
          </w:p>
        </w:tc>
        <w:tc>
          <w:tcPr>
            <w:tcW w:type="dxa" w:w="7315"/>
            <w:vAlign w:val="center"/>
            <w:shd w:fill="DCE6EF"/>
            <w:tcMar>
              <w:top w:w="65" w:type="dxa"/>
              <w:left w:w="65" w:type="dxa"/>
              <w:bottom w:w="65" w:type="dxa"/>
              <w:right w:w="65" w:type="dxa"/>
            </w:tcMar>
          </w:tcPr>
          <w:p>
            <w:pPr>
              <w:spacing w:after="0" w:before="0" w:line="260" w:lineRule="exact"/>
            </w:pPr>
            <w:r>
              <w:rPr>
                <w:b/>
                <w:sz w:val="19"/>
              </w:rPr>
              <w:t>再計画で守る内容</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デポで出発前</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在庫と積込見込みを確認して配送案件を追加可能</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配送中</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現在積載した未配送Lを保持。未積込のLは追加不可</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集荷フェーズ</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未履行Bを保持。新たなLは追加不可</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走行中</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到着地点と残走行時間を固定。仮想始点で残区間を表現</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帰庫後</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荷下ろしを完了し、次の運行を新規作成</w:t>
            </w:r>
          </w:p>
        </w:tc>
      </w:tr>
    </w:tbl>
    <w:p>
      <w:pPr>
        <w:spacing w:after="0" w:before="0" w:line="60" w:lineRule="exact"/>
      </w:pPr>
      <w:r>
        <w:rPr>
          <w:sz w:val="6"/>
        </w:rPr>
      </w:r>
    </w:p>
    <w:p>
      <w:r>
        <w:t>計画にはstate_version、計算基準時刻、対象資源の版、予測モデル版、有効期限を付ける。承認時に現在時刻、車両位置、案件契約、在庫、資源予約を再検証する。条件が変わって成立しない提案は理由付きで失効させる。実時間2秒でも60倍では2分進む点を考慮する。</w:t>
      </w:r>
    </w:p>
    <w:p>
      <w:pPr>
        <w:pStyle w:val="Heading2"/>
      </w:pPr>
      <w:r>
        <w:t>10 2 受注を確定する手順</w:t>
      </w:r>
    </w:p>
    <w:p>
      <w:r>
        <w:t>公開案件の受注申請を受けると、ワーカーが車両適合・契約競合・予定容量・時間枠を検証する。合格した申請について契約、在庫予約、運行版、イベントを同じDBトランザクションで確定する。推奨表示だけでは案件を占有しない。</w:t>
      </w:r>
    </w:p>
    <w:p>
      <w:r>
        <w:t>同じ案件への同時申請はサーバー受理連番の先着で1件だけ成功する。案件IDの有効契約一意制約をDBでも設ける。競合した利用者には「他のドライバーが受注済み」と最新状態を返す。既契約の変更は当事者の合意操作として別コマンドにする。</w:t>
      </w:r>
    </w:p>
    <w:p>
      <w:pPr>
        <w:pStyle w:val="Heading2"/>
      </w:pPr>
      <w:r>
        <w:t>10 3 遅延が帰り荷へ波及する例</w:t>
      </w:r>
    </w:p>
    <w:p>
      <w:r>
        <w:t>名古屋で配送Aの荷下ろし完了を14時30分、帰り荷Bの集荷地点まで20分、集荷開始枠を15時00分～16時00分とする。通常は14時50分到着、10分待って集荷できる。</w:t>
      </w:r>
    </w:p>
    <w:p>
      <w:r>
        <w:t>Aのバース待ちで完了が15時50分になればBへの到着は16時10分となり、開始期限を10分超過する。未受注Bは候補から外し、受注済みBは違反見込みを表示して救済計画を作る。予測遅延を伝えるだけで契約を消さず、実際の開始時刻で最終判定する。数値は検証用の仮定である。</w:t>
      </w:r>
    </w:p>
    <w:p>
      <w:r>
        <w:br w:type="page"/>
      </w:r>
    </w:p>
    <w:p>
      <w:pPr>
        <w:pStyle w:val="Heading1"/>
      </w:pPr>
      <w:r>
        <w:t>11 状態遷移と整合性</w:t>
      </w:r>
    </w:p>
    <w:p>
      <w:pPr>
        <w:pStyle w:val="Heading2"/>
      </w:pPr>
      <w:r>
        <w:t>11 1 主要な状態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464"/>
      </w:tblGrid>
      <w:tr>
        <w:trPr>
          <w:cantSplit/>
          <w:tblHeader/>
        </w:trPr>
        <w:tc>
          <w:tcPr>
            <w:tcW w:type="dxa" w:w="2088"/>
            <w:vAlign w:val="center"/>
            <w:shd w:fill="DCE6EF"/>
            <w:tcMar>
              <w:top w:w="65" w:type="dxa"/>
              <w:left w:w="65" w:type="dxa"/>
              <w:bottom w:w="65" w:type="dxa"/>
              <w:right w:w="65" w:type="dxa"/>
            </w:tcMar>
          </w:tcPr>
          <w:p>
            <w:pPr>
              <w:spacing w:after="0" w:before="0" w:line="260" w:lineRule="exact"/>
            </w:pPr>
            <w:r>
              <w:rPr>
                <w:b/>
                <w:sz w:val="19"/>
              </w:rPr>
              <w:t>対象</w:t>
            </w:r>
          </w:p>
        </w:tc>
        <w:tc>
          <w:tcPr>
            <w:tcW w:type="dxa" w:w="3816"/>
            <w:vAlign w:val="center"/>
            <w:shd w:fill="DCE6EF"/>
            <w:tcMar>
              <w:top w:w="65" w:type="dxa"/>
              <w:left w:w="65" w:type="dxa"/>
              <w:bottom w:w="65" w:type="dxa"/>
              <w:right w:w="65" w:type="dxa"/>
            </w:tcMar>
          </w:tcPr>
          <w:p>
            <w:pPr>
              <w:spacing w:after="0" w:before="0" w:line="260" w:lineRule="exact"/>
            </w:pPr>
            <w:r>
              <w:rPr>
                <w:b/>
                <w:sz w:val="19"/>
              </w:rPr>
              <w:t>基本的な遷移</w:t>
            </w:r>
          </w:p>
        </w:tc>
        <w:tc>
          <w:tcPr>
            <w:tcW w:type="dxa" w:w="4464"/>
            <w:vAlign w:val="center"/>
            <w:shd w:fill="DCE6EF"/>
            <w:tcMar>
              <w:top w:w="65" w:type="dxa"/>
              <w:left w:w="65" w:type="dxa"/>
              <w:bottom w:w="65" w:type="dxa"/>
              <w:right w:w="65" w:type="dxa"/>
            </w:tcMar>
          </w:tcPr>
          <w:p>
            <w:pPr>
              <w:spacing w:after="0" w:before="0" w:line="260" w:lineRule="exact"/>
            </w:pPr>
            <w:r>
              <w:rPr>
                <w:b/>
                <w:sz w:val="19"/>
              </w:rPr>
              <w:t>補足</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案件</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DRAFT → OPEN → CONTRACTED → IN_PROGRESS → COMPLETED</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CANCELLEDとFAILEDは理由を保持</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バース訪問</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PLANNED → ARRIVED → QUEUED → DOCKED → HANDLING → RELEASED</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出口待ちも占有時間へ含める</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トラック</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AVAILABLE → LOADING → TRAVELLING → WAITING → HANDLING → RETURNING</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WAITINGとHANDLINGは訪問ごとに反復</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パレット</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STORED → RESERVED → IN_TRANSIT → STAGED → ON_TRUCK</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入庫側は逆方向の工程で処理</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搬送車</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IDLE → RESERVED → TRAVELLING → HANDLING → IDLE</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停止状態OUT_OF_SERVICEも保持</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計画</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PROPOSED → VALIDATING → APPLIED</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STALE、REJECTED、EXPIREDを区別</w:t>
            </w:r>
          </w:p>
        </w:tc>
      </w:tr>
    </w:tbl>
    <w:p>
      <w:pPr>
        <w:spacing w:after="0" w:before="0" w:line="60" w:lineRule="exact"/>
      </w:pPr>
      <w:r>
        <w:rPr>
          <w:sz w:val="6"/>
        </w:rPr>
      </w:r>
    </w:p>
    <w:p>
      <w:r>
        <w:t>運行と訪問は別に管理する。トラックの表示状態だけで契約完了やパレット所有権を判断しない。案件完了は必要数量の引渡しイベントが全件そろった時点とする。遅延フラグは契約状態と独立し、遅延して完了した案件も表現する。</w:t>
      </w:r>
    </w:p>
    <w:p>
      <w:pPr>
        <w:pStyle w:val="Heading2"/>
      </w:pPr>
      <w:r>
        <w:t>11 2 常に守る条件</w:t>
      </w:r>
    </w:p>
    <w:p>
      <w:pPr>
        <w:ind w:left="202" w:hanging="202"/>
      </w:pPr>
      <w:r>
        <w:t>1. パレットは保管区画、仮置き、搬送中、トラック、引渡済みのどれか1か所にだけ存在する。予約は物理的な位置と分ける。</w:t>
      </w:r>
    </w:p>
    <w:p>
      <w:pPr>
        <w:ind w:left="202" w:hanging="202"/>
      </w:pPr>
      <w:r>
        <w:t>2. 1バースの実占有トラックは最大1台。同一搬送車の同時作業は最大1件とする。</w:t>
      </w:r>
    </w:p>
    <w:p>
      <w:pPr>
        <w:ind w:left="202" w:hanging="202"/>
      </w:pPr>
      <w:r>
        <w:t>3. 予約数量は引当可能数量以下。異なる荷主の同一SKUを混同しない。</w:t>
      </w:r>
    </w:p>
    <w:p>
      <w:pPr>
        <w:ind w:left="202" w:hanging="202"/>
      </w:pPr>
      <w:r>
        <w:t>4. 積載と仮置き容量を超えない。全体時刻、イベント連番、状態版は単調に増加する。</w:t>
      </w:r>
    </w:p>
    <w:p>
      <w:pPr>
        <w:ind w:left="202" w:hanging="202"/>
      </w:pPr>
      <w:r>
        <w:t>5. 契約、貨物移動、金銭台帳を案件IDで追跡できる。完了通知の再送で数量や支払を重複計上しない。</w:t>
      </w:r>
    </w:p>
    <w:p>
      <w:pPr>
        <w:pStyle w:val="Heading2"/>
      </w:pPr>
      <w:r>
        <w:t>11 3 例外の扱い</w:t>
      </w:r>
    </w:p>
    <w:p>
      <w:r>
        <w:t>在庫不足は受注前に拒否し、契約後に発覚した場合は例外としてホストと荷主に通知する。出発済み運行のキャンセルは荷物を削除せず、帰庫・返却の作業を追加する。シナリオ途中の車両削除は稼働中・契約中なら拒否し、利用停止予約だけを受け付ける。</w:t>
      </w:r>
    </w:p>
    <w:p>
      <w:r>
        <w:t>庫内の合法操作が0件なら満庫、対象在庫なし、搬送車なしを区別する。資源が後で解放される場合は待機し、将来解放も予定されていない場合は進行不能として停止理由を記録する。</w:t>
      </w:r>
    </w:p>
    <w:p>
      <w:r>
        <w:br w:type="page"/>
      </w:r>
    </w:p>
    <w:p>
      <w:pPr>
        <w:pStyle w:val="Heading1"/>
      </w:pPr>
      <w:r>
        <w:t>12 データベース設計</w:t>
      </w:r>
    </w:p>
    <w:p>
      <w:r>
        <w:t>すべてのシミュレーションデータはsession_idを持つ。主キーはUUID、時刻はBIGINTのシミュレーションms、金額は整数円、重量は整数g、距離は整数mとする。実時間はUTCのtimestamp with time zoneで別記録する。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315"/>
      </w:tblGrid>
      <w:tr>
        <w:trPr>
          <w:cantSplit/>
          <w:tblHeader/>
        </w:trPr>
        <w:tc>
          <w:tcPr>
            <w:tcW w:type="dxa" w:w="3053"/>
            <w:vAlign w:val="center"/>
            <w:shd w:fill="DCE6EF"/>
            <w:tcMar>
              <w:top w:w="65" w:type="dxa"/>
              <w:left w:w="65" w:type="dxa"/>
              <w:bottom w:w="65" w:type="dxa"/>
              <w:right w:w="65" w:type="dxa"/>
            </w:tcMar>
          </w:tcPr>
          <w:p>
            <w:pPr>
              <w:spacing w:after="0" w:before="0" w:line="260" w:lineRule="exact"/>
            </w:pPr>
            <w:r>
              <w:rPr>
                <w:b/>
                <w:sz w:val="19"/>
              </w:rPr>
              <w:t>テーブル群</w:t>
            </w:r>
          </w:p>
        </w:tc>
        <w:tc>
          <w:tcPr>
            <w:tcW w:type="dxa" w:w="7315"/>
            <w:vAlign w:val="center"/>
            <w:shd w:fill="DCE6EF"/>
            <w:tcMar>
              <w:top w:w="65" w:type="dxa"/>
              <w:left w:w="65" w:type="dxa"/>
              <w:bottom w:w="65" w:type="dxa"/>
              <w:right w:w="65" w:type="dxa"/>
            </w:tcMar>
          </w:tcPr>
          <w:p>
            <w:pPr>
              <w:spacing w:after="0" w:before="0" w:line="260" w:lineRule="exact"/>
            </w:pPr>
            <w:r>
              <w:rPr>
                <w:b/>
                <w:sz w:val="19"/>
              </w:rPr>
              <w:t>主要項目と関係</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users、auth_sessions</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user_id、認証情報、セッション失効時刻</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sessions、memberships</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scenario_version、seed、sim_time、role、organization_id、追加権限</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organizations、facilities</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荷主組織、施設種別、所在地、管理組織、倉庫設定</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docks、staging_areas</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facility_id、適合条件、容量、状態版</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trucks、driver_assignments</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capacity、home_depot、稼働状態、担当者と担当期間</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forklifts、warehouse_tasks</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搬送車仕様、外部作業ID、SLAPStack注文ID、作業状態</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skus、pallets、reservations</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荷主、SKU、重量、場所、予約案件、数量</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jobs、contracts</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種別L/B、発着地、時間枠、報酬、荷主、担当車両、契約版</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routes、route_stops、visits</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運行版、訪問順、計画／実績時刻、荷役数量、バース</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travel_edges</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発着ノード、距離、基準時間、時間帯係数、版</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commands、domain_events</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冪等キー、受理連番、適用時刻、結果、因果ID</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plans、optimizer_runs</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基準状態版、入力ハッシュ、結果、制約違反、計算時間</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ledger_entries、kpi_samples</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案件別入出金、距離、時間、定義版、集計時点</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snapshots、outbox</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エンジン保存点、整合ハッシュ、通知待ちイベント</w:t>
            </w:r>
          </w:p>
        </w:tc>
      </w:tr>
    </w:tbl>
    <w:p>
      <w:pPr>
        <w:spacing w:after="0" w:before="0" w:line="60" w:lineRule="exact"/>
      </w:pPr>
      <w:r>
        <w:rPr>
          <w:sz w:val="6"/>
        </w:rPr>
      </w:r>
    </w:p>
    <w:p>
      <w:pPr>
        <w:pStyle w:val="Heading2"/>
      </w:pPr>
      <w:r>
        <w:t>12 1 関係と制約</w:t>
      </w:r>
    </w:p>
    <w:p>
      <w:r>
        <w:t>UserとSessionはMembershipで多対多、OrganizationとJobは1対多とする。Jobは有効Contractを最大1件持ち、RouteはRouteStopを複数持つ。RouteStopとVisitは予定と実際の訪問を対応付ける。WarehouseTaskはVisitとPalletを参照する。</w:t>
      </w:r>
    </w:p>
    <w:p>
      <w:r>
        <w:t>Membershipは同じセッション・ユーザーで一意にする。車両の有効担当者、案件の有効契約、パレットの有効予約は一意制約で保護する。参照キーにsession_idを含め、別セッションの車両や契約の誤参照を防ぐ。</w:t>
      </w:r>
    </w:p>
    <w:p>
      <w:r>
        <w:t>commandsはsession_id＋user_id＋idempotency_key、domain_eventsはsession_id＋event_seqを一意にする。案件検索は状態・拠点・時間枠、イベント読出しはsession_id・event_seq、待ち列は施設・状態・受付時刻を索引化する。</w:t>
      </w:r>
    </w:p>
    <w:p>
      <w:r>
        <w:t>SLAPStackの行列と内部キューは内部保存形式でスナップショット化し、一般画面へ直接公開しない。palletsなどの検索用テーブルは同一コミットで更新し、エンジンから独立して在庫数を書き換える処理を禁止する。</w:t>
      </w:r>
    </w:p>
    <w:p>
      <w:r>
        <w:br w:type="page"/>
      </w:r>
    </w:p>
    <w:p>
      <w:pPr>
        <w:pStyle w:val="Heading1"/>
      </w:pPr>
      <w:r>
        <w:t>13 APIと同時操作</w:t>
      </w:r>
    </w:p>
    <w:p>
      <w:pPr>
        <w:pStyle w:val="Heading2"/>
      </w:pPr>
      <w:r>
        <w:t>13 1 画面向け契約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4608"/>
      </w:tblGrid>
      <w:tr>
        <w:trPr>
          <w:cantSplit/>
          <w:tblHeader/>
        </w:trPr>
        <w:tc>
          <w:tcPr>
            <w:tcW w:type="dxa" w:w="5760"/>
            <w:vAlign w:val="center"/>
            <w:shd w:fill="DCE6EF"/>
            <w:tcMar>
              <w:top w:w="65" w:type="dxa"/>
              <w:left w:w="65" w:type="dxa"/>
              <w:bottom w:w="65" w:type="dxa"/>
              <w:right w:w="65" w:type="dxa"/>
            </w:tcMar>
          </w:tcPr>
          <w:p>
            <w:pPr>
              <w:spacing w:after="0" w:before="0" w:line="260" w:lineRule="exact"/>
            </w:pPr>
            <w:r>
              <w:rPr>
                <w:b/>
                <w:sz w:val="19"/>
              </w:rPr>
              <w:t>HTTPと経路案</w:t>
            </w:r>
          </w:p>
        </w:tc>
        <w:tc>
          <w:tcPr>
            <w:tcW w:type="dxa" w:w="4608"/>
            <w:vAlign w:val="center"/>
            <w:shd w:fill="DCE6EF"/>
            <w:tcMar>
              <w:top w:w="65" w:type="dxa"/>
              <w:left w:w="65" w:type="dxa"/>
              <w:bottom w:w="65" w:type="dxa"/>
              <w:right w:w="65" w:type="dxa"/>
            </w:tcMar>
          </w:tcPr>
          <w:p>
            <w:pPr>
              <w:spacing w:after="0" w:before="0" w:line="260" w:lineRule="exact"/>
            </w:pPr>
            <w:r>
              <w:rPr>
                <w:b/>
                <w:sz w:val="19"/>
              </w:rPr>
              <w:t>用途と権限</w:t>
            </w:r>
          </w:p>
        </w:tc>
      </w:tr>
      <w:tr>
        <w:trPr>
          <w:cantSplit/>
        </w:trPr>
        <w:tc>
          <w:tcPr>
            <w:tcW w:type="dxa" w:w="5760"/>
            <w:vAlign w:val="center"/>
            <w:shd w:fill="FFFFFF"/>
            <w:tcMar>
              <w:top w:w="65" w:type="dxa"/>
              <w:left w:w="65" w:type="dxa"/>
              <w:bottom w:w="65" w:type="dxa"/>
              <w:right w:w="65" w:type="dxa"/>
            </w:tcMar>
          </w:tcPr>
          <w:p>
            <w:pPr>
              <w:spacing w:after="0" w:before="0" w:line="260" w:lineRule="exact"/>
            </w:pPr>
            <w:r>
              <w:rPr>
                <w:b w:val="0"/>
                <w:sz w:val="19"/>
              </w:rPr>
              <w:t>POST /api/v1/auth/login</w:t>
            </w:r>
          </w:p>
        </w:tc>
        <w:tc>
          <w:tcPr>
            <w:tcW w:type="dxa" w:w="4608"/>
            <w:vAlign w:val="center"/>
            <w:shd w:fill="FFFFFF"/>
            <w:tcMar>
              <w:top w:w="65" w:type="dxa"/>
              <w:left w:w="65" w:type="dxa"/>
              <w:bottom w:w="65" w:type="dxa"/>
              <w:right w:w="65" w:type="dxa"/>
            </w:tcMar>
          </w:tcPr>
          <w:p>
            <w:pPr>
              <w:spacing w:after="0" w:before="0" w:line="260" w:lineRule="exact"/>
            </w:pPr>
            <w:r>
              <w:rPr>
                <w:b w:val="0"/>
                <w:sz w:val="19"/>
              </w:rPr>
              <w:t>ローカルアカウントでログイン</w:t>
            </w:r>
          </w:p>
        </w:tc>
      </w:tr>
      <w:tr>
        <w:trPr>
          <w:cantSplit/>
        </w:trPr>
        <w:tc>
          <w:tcPr>
            <w:tcW w:type="dxa" w:w="5760"/>
            <w:vAlign w:val="center"/>
            <w:shd w:fill="F5F7F9"/>
            <w:tcMar>
              <w:top w:w="65" w:type="dxa"/>
              <w:left w:w="65" w:type="dxa"/>
              <w:bottom w:w="65" w:type="dxa"/>
              <w:right w:w="65" w:type="dxa"/>
            </w:tcMar>
          </w:tcPr>
          <w:p>
            <w:pPr>
              <w:spacing w:after="0" w:before="0" w:line="260" w:lineRule="exact"/>
            </w:pPr>
            <w:r>
              <w:rPr>
                <w:b w:val="0"/>
                <w:sz w:val="19"/>
              </w:rPr>
              <w:t>POST /api/v1/sessions/{s}/join</w:t>
            </w:r>
          </w:p>
        </w:tc>
        <w:tc>
          <w:tcPr>
            <w:tcW w:type="dxa" w:w="4608"/>
            <w:vAlign w:val="center"/>
            <w:shd w:fill="F5F7F9"/>
            <w:tcMar>
              <w:top w:w="65" w:type="dxa"/>
              <w:left w:w="65" w:type="dxa"/>
              <w:bottom w:w="65" w:type="dxa"/>
              <w:right w:w="65" w:type="dxa"/>
            </w:tcMar>
          </w:tcPr>
          <w:p>
            <w:pPr>
              <w:spacing w:after="0" w:before="0" w:line="260" w:lineRule="exact"/>
            </w:pPr>
            <w:r>
              <w:rPr>
                <w:b w:val="0"/>
                <w:sz w:val="19"/>
              </w:rPr>
              <w:t>入口に対応した役割で参加</w:t>
            </w:r>
          </w:p>
        </w:tc>
      </w:tr>
      <w:tr>
        <w:trPr>
          <w:cantSplit/>
        </w:trPr>
        <w:tc>
          <w:tcPr>
            <w:tcW w:type="dxa" w:w="5760"/>
            <w:vAlign w:val="center"/>
            <w:shd w:fill="FFFFFF"/>
            <w:tcMar>
              <w:top w:w="65" w:type="dxa"/>
              <w:left w:w="65" w:type="dxa"/>
              <w:bottom w:w="65" w:type="dxa"/>
              <w:right w:w="65" w:type="dxa"/>
            </w:tcMar>
          </w:tcPr>
          <w:p>
            <w:pPr>
              <w:spacing w:after="0" w:before="0" w:line="260" w:lineRule="exact"/>
            </w:pPr>
            <w:r>
              <w:rPr>
                <w:b w:val="0"/>
                <w:sz w:val="19"/>
              </w:rPr>
              <w:t>GET /api/v1/sessions/{s}/state</w:t>
            </w:r>
          </w:p>
        </w:tc>
        <w:tc>
          <w:tcPr>
            <w:tcW w:type="dxa" w:w="4608"/>
            <w:vAlign w:val="center"/>
            <w:shd w:fill="FFFFFF"/>
            <w:tcMar>
              <w:top w:w="65" w:type="dxa"/>
              <w:left w:w="65" w:type="dxa"/>
              <w:bottom w:w="65" w:type="dxa"/>
              <w:right w:w="65" w:type="dxa"/>
            </w:tcMar>
          </w:tcPr>
          <w:p>
            <w:pPr>
              <w:spacing w:after="0" w:before="0" w:line="260" w:lineRule="exact"/>
            </w:pPr>
            <w:r>
              <w:rPr>
                <w:b w:val="0"/>
                <w:sz w:val="19"/>
              </w:rPr>
              <w:t>権限で絞った現在状態と版</w:t>
            </w:r>
          </w:p>
        </w:tc>
      </w:tr>
      <w:tr>
        <w:trPr>
          <w:cantSplit/>
        </w:trPr>
        <w:tc>
          <w:tcPr>
            <w:tcW w:type="dxa" w:w="5760"/>
            <w:vAlign w:val="center"/>
            <w:shd w:fill="F5F7F9"/>
            <w:tcMar>
              <w:top w:w="65" w:type="dxa"/>
              <w:left w:w="65" w:type="dxa"/>
              <w:bottom w:w="65" w:type="dxa"/>
              <w:right w:w="65" w:type="dxa"/>
            </w:tcMar>
          </w:tcPr>
          <w:p>
            <w:pPr>
              <w:spacing w:after="0" w:before="0" w:line="260" w:lineRule="exact"/>
            </w:pPr>
            <w:r>
              <w:rPr>
                <w:b w:val="0"/>
                <w:sz w:val="19"/>
              </w:rPr>
              <w:t>GET /api/v1/sessions/{s}/jobs</w:t>
            </w:r>
          </w:p>
        </w:tc>
        <w:tc>
          <w:tcPr>
            <w:tcW w:type="dxa" w:w="4608"/>
            <w:vAlign w:val="center"/>
            <w:shd w:fill="F5F7F9"/>
            <w:tcMar>
              <w:top w:w="65" w:type="dxa"/>
              <w:left w:w="65" w:type="dxa"/>
              <w:bottom w:w="65" w:type="dxa"/>
              <w:right w:w="65" w:type="dxa"/>
            </w:tcMar>
          </w:tcPr>
          <w:p>
            <w:pPr>
              <w:spacing w:after="0" w:before="0" w:line="260" w:lineRule="exact"/>
            </w:pPr>
            <w:r>
              <w:rPr>
                <w:b w:val="0"/>
                <w:sz w:val="19"/>
              </w:rPr>
              <w:t>自社・公開・契約関係の案件一覧</w:t>
            </w:r>
          </w:p>
        </w:tc>
      </w:tr>
      <w:tr>
        <w:trPr>
          <w:cantSplit/>
        </w:trPr>
        <w:tc>
          <w:tcPr>
            <w:tcW w:type="dxa" w:w="5760"/>
            <w:vAlign w:val="center"/>
            <w:shd w:fill="FFFFFF"/>
            <w:tcMar>
              <w:top w:w="65" w:type="dxa"/>
              <w:left w:w="65" w:type="dxa"/>
              <w:bottom w:w="65" w:type="dxa"/>
              <w:right w:w="65" w:type="dxa"/>
            </w:tcMar>
          </w:tcPr>
          <w:p>
            <w:pPr>
              <w:spacing w:after="0" w:before="0" w:line="260" w:lineRule="exact"/>
            </w:pPr>
            <w:r>
              <w:rPr>
                <w:b w:val="0"/>
                <w:sz w:val="19"/>
              </w:rPr>
              <w:t>POST /api/v1/sessions/{s}/commands</w:t>
            </w:r>
          </w:p>
        </w:tc>
        <w:tc>
          <w:tcPr>
            <w:tcW w:type="dxa" w:w="4608"/>
            <w:vAlign w:val="center"/>
            <w:shd w:fill="FFFFFF"/>
            <w:tcMar>
              <w:top w:w="65" w:type="dxa"/>
              <w:left w:w="65" w:type="dxa"/>
              <w:bottom w:w="65" w:type="dxa"/>
              <w:right w:w="65" w:type="dxa"/>
            </w:tcMar>
          </w:tcPr>
          <w:p>
            <w:pPr>
              <w:spacing w:after="0" w:before="0" w:line="260" w:lineRule="exact"/>
            </w:pPr>
            <w:r>
              <w:rPr>
                <w:b w:val="0"/>
                <w:sz w:val="19"/>
              </w:rPr>
              <w:t>受注、案件公開、配車、出発、保存など</w:t>
            </w:r>
          </w:p>
        </w:tc>
      </w:tr>
      <w:tr>
        <w:trPr>
          <w:cantSplit/>
        </w:trPr>
        <w:tc>
          <w:tcPr>
            <w:tcW w:type="dxa" w:w="5760"/>
            <w:vAlign w:val="center"/>
            <w:shd w:fill="F5F7F9"/>
            <w:tcMar>
              <w:top w:w="65" w:type="dxa"/>
              <w:left w:w="65" w:type="dxa"/>
              <w:bottom w:w="65" w:type="dxa"/>
              <w:right w:w="65" w:type="dxa"/>
            </w:tcMar>
          </w:tcPr>
          <w:p>
            <w:pPr>
              <w:spacing w:after="0" w:before="0" w:line="260" w:lineRule="exact"/>
            </w:pPr>
            <w:r>
              <w:rPr>
                <w:b w:val="0"/>
                <w:sz w:val="19"/>
              </w:rPr>
              <w:t>GET /api/v1/commands/{id}</w:t>
            </w:r>
          </w:p>
        </w:tc>
        <w:tc>
          <w:tcPr>
            <w:tcW w:type="dxa" w:w="4608"/>
            <w:vAlign w:val="center"/>
            <w:shd w:fill="F5F7F9"/>
            <w:tcMar>
              <w:top w:w="65" w:type="dxa"/>
              <w:left w:w="65" w:type="dxa"/>
              <w:bottom w:w="65" w:type="dxa"/>
              <w:right w:w="65" w:type="dxa"/>
            </w:tcMar>
          </w:tcPr>
          <w:p>
            <w:pPr>
              <w:spacing w:after="0" w:before="0" w:line="260" w:lineRule="exact"/>
            </w:pPr>
            <w:r>
              <w:rPr>
                <w:b w:val="0"/>
                <w:sz w:val="19"/>
              </w:rPr>
              <w:t>ACCEPTED、APPLIED、REJECTEDの結果</w:t>
            </w:r>
          </w:p>
        </w:tc>
      </w:tr>
      <w:tr>
        <w:trPr>
          <w:cantSplit/>
        </w:trPr>
        <w:tc>
          <w:tcPr>
            <w:tcW w:type="dxa" w:w="5760"/>
            <w:vAlign w:val="center"/>
            <w:shd w:fill="FFFFFF"/>
            <w:tcMar>
              <w:top w:w="65" w:type="dxa"/>
              <w:left w:w="65" w:type="dxa"/>
              <w:bottom w:w="65" w:type="dxa"/>
              <w:right w:w="65" w:type="dxa"/>
            </w:tcMar>
          </w:tcPr>
          <w:p>
            <w:pPr>
              <w:spacing w:after="0" w:before="0" w:line="260" w:lineRule="exact"/>
            </w:pPr>
            <w:r>
              <w:rPr>
                <w:b w:val="0"/>
                <w:sz w:val="19"/>
              </w:rPr>
              <w:t>POST /api/v1/sessions/{s}/plans</w:t>
            </w:r>
          </w:p>
        </w:tc>
        <w:tc>
          <w:tcPr>
            <w:tcW w:type="dxa" w:w="4608"/>
            <w:vAlign w:val="center"/>
            <w:shd w:fill="FFFFFF"/>
            <w:tcMar>
              <w:top w:w="65" w:type="dxa"/>
              <w:left w:w="65" w:type="dxa"/>
              <w:bottom w:w="65" w:type="dxa"/>
              <w:right w:w="65" w:type="dxa"/>
            </w:tcMar>
          </w:tcPr>
          <w:p>
            <w:pPr>
              <w:spacing w:after="0" w:before="0" w:line="260" w:lineRule="exact"/>
            </w:pPr>
            <w:r>
              <w:rPr>
                <w:b w:val="0"/>
                <w:sz w:val="19"/>
              </w:rPr>
              <w:t>対象資源を指定して提案計算を依頼</w:t>
            </w:r>
          </w:p>
        </w:tc>
      </w:tr>
      <w:tr>
        <w:trPr>
          <w:cantSplit/>
        </w:trPr>
        <w:tc>
          <w:tcPr>
            <w:tcW w:type="dxa" w:w="5760"/>
            <w:vAlign w:val="center"/>
            <w:shd w:fill="F5F7F9"/>
            <w:tcMar>
              <w:top w:w="65" w:type="dxa"/>
              <w:left w:w="65" w:type="dxa"/>
              <w:bottom w:w="65" w:type="dxa"/>
              <w:right w:w="65" w:type="dxa"/>
            </w:tcMar>
          </w:tcPr>
          <w:p>
            <w:pPr>
              <w:spacing w:after="0" w:before="0" w:line="260" w:lineRule="exact"/>
            </w:pPr>
            <w:r>
              <w:rPr>
                <w:b w:val="0"/>
                <w:sz w:val="19"/>
              </w:rPr>
              <w:t>GET /api/v1/sessions/{s}/plans/{id}</w:t>
            </w:r>
          </w:p>
        </w:tc>
        <w:tc>
          <w:tcPr>
            <w:tcW w:type="dxa" w:w="4608"/>
            <w:vAlign w:val="center"/>
            <w:shd w:fill="F5F7F9"/>
            <w:tcMar>
              <w:top w:w="65" w:type="dxa"/>
              <w:left w:w="65" w:type="dxa"/>
              <w:bottom w:w="65" w:type="dxa"/>
              <w:right w:w="65" w:type="dxa"/>
            </w:tcMar>
          </w:tcPr>
          <w:p>
            <w:pPr>
              <w:spacing w:after="0" w:before="0" w:line="260" w:lineRule="exact"/>
            </w:pPr>
            <w:r>
              <w:rPr>
                <w:b w:val="0"/>
                <w:sz w:val="19"/>
              </w:rPr>
              <w:t>提案と予測根拠を取得</w:t>
            </w:r>
          </w:p>
        </w:tc>
      </w:tr>
      <w:tr>
        <w:trPr>
          <w:cantSplit/>
        </w:trPr>
        <w:tc>
          <w:tcPr>
            <w:tcW w:type="dxa" w:w="5760"/>
            <w:vAlign w:val="center"/>
            <w:shd w:fill="FFFFFF"/>
            <w:tcMar>
              <w:top w:w="65" w:type="dxa"/>
              <w:left w:w="65" w:type="dxa"/>
              <w:bottom w:w="65" w:type="dxa"/>
              <w:right w:w="65" w:type="dxa"/>
            </w:tcMar>
          </w:tcPr>
          <w:p>
            <w:pPr>
              <w:spacing w:after="0" w:before="0" w:line="260" w:lineRule="exact"/>
            </w:pPr>
            <w:r>
              <w:rPr>
                <w:b w:val="0"/>
                <w:sz w:val="19"/>
              </w:rPr>
              <w:t>WS /ws/v1/sessions/{s}</w:t>
            </w:r>
          </w:p>
        </w:tc>
        <w:tc>
          <w:tcPr>
            <w:tcW w:type="dxa" w:w="4608"/>
            <w:vAlign w:val="center"/>
            <w:shd w:fill="FFFFFF"/>
            <w:tcMar>
              <w:top w:w="65" w:type="dxa"/>
              <w:left w:w="65" w:type="dxa"/>
              <w:bottom w:w="65" w:type="dxa"/>
              <w:right w:w="65" w:type="dxa"/>
            </w:tcMar>
          </w:tcPr>
          <w:p>
            <w:pPr>
              <w:spacing w:after="0" w:before="0" w:line="260" w:lineRule="exact"/>
            </w:pPr>
            <w:r>
              <w:rPr>
                <w:b w:val="0"/>
                <w:sz w:val="19"/>
              </w:rPr>
              <w:t>状態差分、操作結果、警告を受信</w:t>
            </w:r>
          </w:p>
        </w:tc>
      </w:tr>
    </w:tbl>
    <w:p>
      <w:pPr>
        <w:spacing w:after="0" w:before="0" w:line="60" w:lineRule="exact"/>
      </w:pPr>
      <w:r>
        <w:rPr>
          <w:sz w:val="6"/>
        </w:rPr>
      </w:r>
    </w:p>
    <w:p>
      <w:r>
        <w:t>コマンドはcommand_id、type、対象ID、expected_entity_version、idempotency_key、payloadを含む。ユーザーIDと権限はログイン状態から導出し、payloadのroleを信用しない。クライアントから過去の適用時刻を指定できない。</w:t>
      </w:r>
    </w:p>
    <w:p>
      <w:r>
        <w:t>受付時に形式・権限を検証し、DB保存後に202とcommand_idを返す。成功確定はワーカーが現在状態で再検証してAPPLIEDを保存した時点とする。202だけで「受注済み」と表示せず、確定イベントまたは状態照会を待つ。</w:t>
      </w:r>
    </w:p>
    <w:p>
      <w:pPr>
        <w:pStyle w:val="Heading2"/>
      </w:pPr>
      <w:r>
        <w:t>13 2 競合と通信切断</w:t>
      </w:r>
    </w:p>
    <w:p>
      <w:r>
        <w:t>同じ対象を変更するコマンドは版を比較する。全体の時刻更新だけで画面操作が常に競合しないよう、expected_entity_versionは案件・車両・バースなど対象単位とする。計画には関係する全資源の版も記録する。</w:t>
      </w:r>
    </w:p>
    <w:p>
      <w:r>
        <w:t>同期エラーは401、403、404、409、422、429で区別する。受付後の失敗は同等の理由コードをコマンド結果へ保存する。再送された冪等キーが同じ内容なら元の結果を返し、内容が違えば競合として拒否する。</w:t>
      </w:r>
    </w:p>
    <w:p>
      <w:r>
        <w:t>WebSocketには通知seq、sim_time、state_version、種類、表示用payloadを含める。再接続時は最後のseq以降を取得し、保存期間外なら全状態を再取得する。閲覧権限で非表示イベントがあるため、配信用seqは購読者のストリーム単位に発行する。</w:t>
      </w:r>
    </w:p>
    <w:p>
      <w:r>
        <w:t>画面更新は初期値5Hz、移動表示は位置・速度から補間する。補間座標は表示専用で、荷役完了や到着を判定しない。ブラウザからDBや内部ワーカーへ直接接続する経路は提供しない。</w:t>
      </w:r>
    </w:p>
    <w:p>
      <w:r>
        <w:br w:type="page"/>
      </w:r>
    </w:p>
    <w:p>
      <w:pPr>
        <w:pStyle w:val="Heading1"/>
      </w:pPr>
      <w:r>
        <w:t>14 永続化と再現性</w:t>
      </w:r>
    </w:p>
    <w:p>
      <w:pPr>
        <w:pStyle w:val="Heading2"/>
      </w:pPr>
      <w:r>
        <w:t>14 1 コミット境界</w:t>
      </w:r>
    </w:p>
    <w:p>
      <w:r>
        <w:t>ワーカーは1コマンドまたは1イベントの適用結果を、イベント履歴・検索用状態・通知outboxと同じDBトランザクションで保存する。DBコミット後に画面へ通知する。APIが検索用状態だけを先に変更することはない。</w:t>
      </w:r>
    </w:p>
    <w:p>
      <w:r>
        <w:t>エンジンは計算中の状態をメモリに持つが、永続化失敗時はそのまま進行しない。直前の復元可能状態に戻すかワーカーを停止し、保存点と確定済み履歴から再開する。通知失敗はoutboxから再送し、受信側のseqで二重反映を防ぐ。</w:t>
      </w:r>
    </w:p>
    <w:p>
      <w:pPr>
        <w:pStyle w:val="Heading2"/>
      </w:pPr>
      <w:r>
        <w:t>14 2 保存点</w:t>
      </w:r>
    </w:p>
    <w:p>
      <w:r>
        <w:t>シミュレーション60秒経過または500イベントごと、および明示保存時に、イベント境界で保存する。状態とevent_seqを同時に固定し、書込み途中の保存点は有効化しない。頻度は負荷測定後に調整できる。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315"/>
      </w:tblGrid>
      <w:tr>
        <w:trPr>
          <w:cantSplit/>
          <w:tblHeader/>
        </w:trPr>
        <w:tc>
          <w:tcPr>
            <w:tcW w:type="dxa" w:w="3053"/>
            <w:vAlign w:val="center"/>
            <w:shd w:fill="DCE6EF"/>
            <w:tcMar>
              <w:top w:w="65" w:type="dxa"/>
              <w:left w:w="65" w:type="dxa"/>
              <w:bottom w:w="65" w:type="dxa"/>
              <w:right w:w="65" w:type="dxa"/>
            </w:tcMar>
          </w:tcPr>
          <w:p>
            <w:pPr>
              <w:spacing w:after="0" w:before="0" w:line="260" w:lineRule="exact"/>
            </w:pPr>
            <w:r>
              <w:rPr>
                <w:b/>
                <w:sz w:val="19"/>
              </w:rPr>
              <w:t>保存内容</w:t>
            </w:r>
          </w:p>
        </w:tc>
        <w:tc>
          <w:tcPr>
            <w:tcW w:type="dxa" w:w="7315"/>
            <w:vAlign w:val="center"/>
            <w:shd w:fill="DCE6EF"/>
            <w:tcMar>
              <w:top w:w="65" w:type="dxa"/>
              <w:left w:w="65" w:type="dxa"/>
              <w:bottom w:w="65" w:type="dxa"/>
              <w:right w:w="65" w:type="dxa"/>
            </w:tcMar>
          </w:tcPr>
          <w:p>
            <w:pPr>
              <w:spacing w:after="0" w:before="0" w:line="260" w:lineRule="exact"/>
            </w:pPr>
            <w:r>
              <w:rPr>
                <w:b/>
                <w:sz w:val="19"/>
              </w:rPr>
              <w:t>目的</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SLAPStack状態と進行中搬送</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行列、車両、注文、位置、残時間の復元</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将来イベントと登録連番</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同時刻順序を含む残工程の復元</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業務状態と資源予約</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トラック、契約、バース、仮置きとの整合</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乱数状態と外乱履歴</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走行遅延・荷役時間の同じ系列を復元</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シナリオ版と依存版</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異なるエンジンでの誤読込を拒否</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event_seqと状態ハッシュ</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適用済み範囲と再生結果の検証</w:t>
            </w:r>
          </w:p>
        </w:tc>
      </w:tr>
    </w:tbl>
    <w:p>
      <w:pPr>
        <w:spacing w:after="0" w:before="0" w:line="60" w:lineRule="exact"/>
      </w:pPr>
      <w:r>
        <w:rPr>
          <w:sz w:val="6"/>
        </w:rPr>
      </w:r>
    </w:p>
    <w:p>
      <w:r>
        <w:t>内部オブジェクトを単にpickle化して互換性を保証したことにしない。保存形式に版を持たせ、動作確認済みのエンジン版でのみ再開する。ユーザーが持ち込んだ実行可能なシリアライズデータは読み込まない。</w:t>
      </w:r>
    </w:p>
    <w:p>
      <w:pPr>
        <w:pStyle w:val="Heading2"/>
      </w:pPr>
      <w:r>
        <w:t>14 3 比較実験</w:t>
      </w:r>
    </w:p>
    <w:p>
      <w:r>
        <w:t>同じ初期状態、外乱、案件到着列で、手動、先着順、帰り荷なし、VRPBを比較する。乱数は交通・荷役・需要で系列を分け、操作により乱数消費順が変わっても外乱が変質しないよう、対象IDと発生回数で対応させる。</w:t>
      </w:r>
    </w:p>
    <w:p>
      <w:r>
        <w:t>最適化の採用結果そのものを履歴に保存し、再生時にソルバーを再実行しない。ソルバーの並列性や時間制限で結果が変わる問題を避ける。停止からの再開試験では、イベント順と貨物・契約・台帳のハッシュが中断なし実行と一致することを確認する。</w:t>
      </w:r>
    </w:p>
    <w:p>
      <w:r>
        <w:br w:type="page"/>
      </w:r>
    </w:p>
    <w:p>
      <w:pPr>
        <w:pStyle w:val="Heading1"/>
      </w:pPr>
      <w:r>
        <w:t>15 運用と性能</w:t>
      </w:r>
    </w:p>
    <w:p>
      <w:pPr>
        <w:pStyle w:val="Heading2"/>
      </w:pPr>
      <w:r>
        <w:t>15 1 ローカル運用</w:t>
      </w:r>
    </w:p>
    <w:p>
      <w:r>
        <w:t>初期構築時にローカル管理アカウントを作り、参加者の追加・無効化は管理画面から行う。LAN参加はセッションコードを用いる。ログインはHttpOnly Cookieを使い、CSRF対策、WebSocketのOrigin確認、リソース所有権確認を実施する。LANではHTTPSを採用する。</w:t>
      </w:r>
    </w:p>
    <w:p>
      <w:r>
        <w:t>ユーザーが画面以外から内部サービスへ接続できない配置とする。ただしWeb画面の通信自体はHTTP APIなので、不正なAPI呼出しもサーバー側で認可する。「画面にボタンがない」ことを権限制御にしない。</w:t>
      </w:r>
    </w:p>
    <w:p>
      <w:r>
        <w:t>DBは専用ボリュームへ保存し、ホスト画面からセッションの保存・複製・CSV出力・バックアップを実行する。全体バックアップにはシナリオ、DB、保存形式版、依存版情報を含める。復元は別セッションで試し、既存セッションへの上書きを既定にしない。</w:t>
      </w:r>
    </w:p>
    <w:p>
      <w:pPr>
        <w:pStyle w:val="Heading2"/>
      </w:pPr>
      <w:r>
        <w:t>15 2 負荷目標</w:t>
      </w:r>
    </w:p>
    <w:p>
      <w:r>
        <w:t>基準環境案は8 CPUコア、メモリ16GB、SSDのローカルホストとする。OSやCPU差による性能差を計測し、Apple Silicon向け依存の適合も確認する。以下は実装後の測定条件と目標である。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464"/>
      </w:tblGrid>
      <w:tr>
        <w:trPr>
          <w:cantSplit/>
          <w:tblHeader/>
        </w:trPr>
        <w:tc>
          <w:tcPr>
            <w:tcW w:type="dxa" w:w="2088"/>
            <w:vAlign w:val="center"/>
            <w:shd w:fill="DCE6EF"/>
            <w:tcMar>
              <w:top w:w="65" w:type="dxa"/>
              <w:left w:w="65" w:type="dxa"/>
              <w:bottom w:w="65" w:type="dxa"/>
              <w:right w:w="65" w:type="dxa"/>
            </w:tcMar>
          </w:tcPr>
          <w:p>
            <w:pPr>
              <w:spacing w:after="0" w:before="0" w:line="260" w:lineRule="exact"/>
            </w:pPr>
            <w:r>
              <w:rPr>
                <w:b/>
                <w:sz w:val="19"/>
              </w:rPr>
              <w:t>指標</w:t>
            </w:r>
          </w:p>
        </w:tc>
        <w:tc>
          <w:tcPr>
            <w:tcW w:type="dxa" w:w="3816"/>
            <w:vAlign w:val="center"/>
            <w:shd w:fill="DCE6EF"/>
            <w:tcMar>
              <w:top w:w="65" w:type="dxa"/>
              <w:left w:w="65" w:type="dxa"/>
              <w:bottom w:w="65" w:type="dxa"/>
              <w:right w:w="65" w:type="dxa"/>
            </w:tcMar>
          </w:tcPr>
          <w:p>
            <w:pPr>
              <w:spacing w:after="0" w:before="0" w:line="260" w:lineRule="exact"/>
            </w:pPr>
            <w:r>
              <w:rPr>
                <w:b/>
                <w:sz w:val="19"/>
              </w:rPr>
              <w:t>標準負荷</w:t>
            </w:r>
          </w:p>
        </w:tc>
        <w:tc>
          <w:tcPr>
            <w:tcW w:type="dxa" w:w="4464"/>
            <w:vAlign w:val="center"/>
            <w:shd w:fill="DCE6EF"/>
            <w:tcMar>
              <w:top w:w="65" w:type="dxa"/>
              <w:left w:w="65" w:type="dxa"/>
              <w:bottom w:w="65" w:type="dxa"/>
              <w:right w:w="65" w:type="dxa"/>
            </w:tcMar>
          </w:tcPr>
          <w:p>
            <w:pPr>
              <w:spacing w:after="0" w:before="0" w:line="260" w:lineRule="exact"/>
            </w:pPr>
            <w:r>
              <w:rPr>
                <w:b/>
                <w:sz w:val="19"/>
              </w:rPr>
              <w:t>拡張確認</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同時接続</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20人、荷主・ドライバー各10人</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100人まで段階的に増加</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資産</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20トラック、4バース、3搬送車</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接続数と独立に負荷を増加</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コマンド受付</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p95 300ms以内</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混雑時は受付制限を表示</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操作の確定通知</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p95 実時間1秒以内</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最適化依頼は別計測</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表示更新</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5Hz、全量転送を避ける</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差分結合・更新頻度低下を許す</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時計進行</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標準シナリオで60倍を維持</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維持不能なら実効倍率を表示</w:t>
            </w:r>
          </w:p>
        </w:tc>
      </w:tr>
    </w:tbl>
    <w:p>
      <w:pPr>
        <w:spacing w:after="0" w:before="0" w:line="60" w:lineRule="exact"/>
      </w:pPr>
      <w:r>
        <w:rPr>
          <w:sz w:val="6"/>
        </w:rPr>
      </w:r>
    </w:p>
    <w:p>
      <w:r>
        <w:t>人数は無制限の性能保証を意味しない。モデルは任意件数を許し、実用上の同時接続数は設定と計測で定める。負荷超過時は表示頻度と最適化頻度を下げ、コマンドの黙示破棄や時刻イベントの欠落は許さない。</w:t>
      </w:r>
    </w:p>
    <w:p>
      <w:pPr>
        <w:pStyle w:val="Heading2"/>
      </w:pPr>
      <w:r>
        <w:t>15 3 監視項目</w:t>
      </w:r>
    </w:p>
    <w:p>
      <w:r>
        <w:t>実効倍率、未処理コマンド数、イベント処理時間、最適化時間、DBコミット時間、切断数、資源待ち理由をホスト画面へ表示する。ログにはsession_id、command_id、event_seq、plan_idを含め、画面の失敗理由から追跡できるようにする。</w:t>
      </w:r>
    </w:p>
    <w:p>
      <w:r>
        <w:br w:type="page"/>
      </w:r>
    </w:p>
    <w:p>
      <w:pPr>
        <w:pStyle w:val="Heading1"/>
      </w:pPr>
      <w:r>
        <w:t>16 成績と検証シナリオ</w:t>
      </w:r>
    </w:p>
    <w:p>
      <w:pPr>
        <w:pStyle w:val="Heading2"/>
      </w:pPr>
      <w:r>
        <w:t>16 1 KPIの定義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315"/>
      </w:tblGrid>
      <w:tr>
        <w:trPr>
          <w:cantSplit/>
          <w:tblHeader/>
        </w:trPr>
        <w:tc>
          <w:tcPr>
            <w:tcW w:type="dxa" w:w="3053"/>
            <w:vAlign w:val="center"/>
            <w:shd w:fill="DCE6EF"/>
            <w:tcMar>
              <w:top w:w="65" w:type="dxa"/>
              <w:left w:w="65" w:type="dxa"/>
              <w:bottom w:w="65" w:type="dxa"/>
              <w:right w:w="65" w:type="dxa"/>
            </w:tcMar>
          </w:tcPr>
          <w:p>
            <w:pPr>
              <w:spacing w:after="0" w:before="0" w:line="260" w:lineRule="exact"/>
            </w:pPr>
            <w:r>
              <w:rPr>
                <w:b/>
                <w:sz w:val="19"/>
              </w:rPr>
              <w:t>指標</w:t>
            </w:r>
          </w:p>
        </w:tc>
        <w:tc>
          <w:tcPr>
            <w:tcW w:type="dxa" w:w="7315"/>
            <w:vAlign w:val="center"/>
            <w:shd w:fill="DCE6EF"/>
            <w:tcMar>
              <w:top w:w="65" w:type="dxa"/>
              <w:left w:w="65" w:type="dxa"/>
              <w:bottom w:w="65" w:type="dxa"/>
              <w:right w:w="65" w:type="dxa"/>
            </w:tcMar>
          </w:tcPr>
          <w:p>
            <w:pPr>
              <w:spacing w:after="0" w:before="0" w:line="260" w:lineRule="exact"/>
            </w:pPr>
            <w:r>
              <w:rPr>
                <w:b/>
                <w:sz w:val="19"/>
              </w:rPr>
              <w:t>計算規則</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バース待機時間</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実荷役開始－受付完了。早着による待機も内訳表示</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荷役処理量</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計測期間中にトラックと倉庫間で完了したパレット数</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空車走行率</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積載0の区間距離／全走行距離。走行0なら未定義</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時間枠遵守率</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開始期限内の訪問数／期限付き完了訪問数</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搬送車稼働率</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移動・荷役時間／利用可能時間。待機は別集計</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ドライバー利益</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運賃収入－走行費－稼働時間費－外部費用－違約金</w:t>
            </w:r>
          </w:p>
        </w:tc>
      </w:tr>
      <w:tr>
        <w:trPr>
          <w:cantSplit/>
        </w:trPr>
        <w:tc>
          <w:tcPr>
            <w:tcW w:type="dxa" w:w="3053"/>
            <w:vAlign w:val="center"/>
            <w:shd w:fill="FFFFFF"/>
            <w:tcMar>
              <w:top w:w="65" w:type="dxa"/>
              <w:left w:w="65" w:type="dxa"/>
              <w:bottom w:w="65" w:type="dxa"/>
              <w:right w:w="65" w:type="dxa"/>
            </w:tcMar>
          </w:tcPr>
          <w:p>
            <w:pPr>
              <w:spacing w:after="0" w:before="0" w:line="260" w:lineRule="exact"/>
            </w:pPr>
            <w:r>
              <w:rPr>
                <w:b w:val="0"/>
                <w:sz w:val="19"/>
              </w:rPr>
              <w:t>荷主費用</w:t>
            </w:r>
          </w:p>
        </w:tc>
        <w:tc>
          <w:tcPr>
            <w:tcW w:type="dxa" w:w="7315"/>
            <w:vAlign w:val="center"/>
            <w:shd w:fill="FFFFFF"/>
            <w:tcMar>
              <w:top w:w="65" w:type="dxa"/>
              <w:left w:w="65" w:type="dxa"/>
              <w:bottom w:w="65" w:type="dxa"/>
              <w:right w:w="65" w:type="dxa"/>
            </w:tcMar>
          </w:tcPr>
          <w:p>
            <w:pPr>
              <w:spacing w:after="0" w:before="0" w:line="260" w:lineRule="exact"/>
            </w:pPr>
            <w:r>
              <w:rPr>
                <w:b w:val="0"/>
                <w:sz w:val="19"/>
              </w:rPr>
              <w:t>運賃＋倉庫費＋契約上負担する待機費等－受取違約金</w:t>
            </w:r>
          </w:p>
        </w:tc>
      </w:tr>
      <w:tr>
        <w:trPr>
          <w:cantSplit/>
        </w:trPr>
        <w:tc>
          <w:tcPr>
            <w:tcW w:type="dxa" w:w="3053"/>
            <w:vAlign w:val="center"/>
            <w:shd w:fill="F5F7F9"/>
            <w:tcMar>
              <w:top w:w="65" w:type="dxa"/>
              <w:left w:w="65" w:type="dxa"/>
              <w:bottom w:w="65" w:type="dxa"/>
              <w:right w:w="65" w:type="dxa"/>
            </w:tcMar>
          </w:tcPr>
          <w:p>
            <w:pPr>
              <w:spacing w:after="0" w:before="0" w:line="260" w:lineRule="exact"/>
            </w:pPr>
            <w:r>
              <w:rPr>
                <w:b w:val="0"/>
                <w:sz w:val="19"/>
              </w:rPr>
              <w:t>システム総費用</w:t>
            </w:r>
          </w:p>
        </w:tc>
        <w:tc>
          <w:tcPr>
            <w:tcW w:type="dxa" w:w="7315"/>
            <w:vAlign w:val="center"/>
            <w:shd w:fill="F5F7F9"/>
            <w:tcMar>
              <w:top w:w="65" w:type="dxa"/>
              <w:left w:w="65" w:type="dxa"/>
              <w:bottom w:w="65" w:type="dxa"/>
              <w:right w:w="65" w:type="dxa"/>
            </w:tcMar>
          </w:tcPr>
          <w:p>
            <w:pPr>
              <w:spacing w:after="0" w:before="0" w:line="260" w:lineRule="exact"/>
            </w:pPr>
            <w:r>
              <w:rPr>
                <w:b w:val="0"/>
                <w:sz w:val="19"/>
              </w:rPr>
              <w:t>外部資源費用と未履行損失。内部の運賃移転は相殺</w:t>
            </w:r>
          </w:p>
        </w:tc>
      </w:tr>
    </w:tbl>
    <w:p>
      <w:pPr>
        <w:spacing w:after="0" w:before="0" w:line="60" w:lineRule="exact"/>
      </w:pPr>
      <w:r>
        <w:rPr>
          <w:sz w:val="6"/>
        </w:rPr>
      </w:r>
    </w:p>
    <w:p>
      <w:r>
        <w:t>待機時間と遅刻を区別し、早着・予約前・混雑による内訳を保持する。ドライバーと荷主の収支は同じ台帳の貸借で表現し、運賃を全体の新たな利益として二重計上しない。利益順位だけで物流効率を評価せず、未履行件数と処理量も表示する。</w:t>
      </w:r>
    </w:p>
    <w:p>
      <w:pPr>
        <w:pStyle w:val="Heading2"/>
      </w:pPr>
      <w:r>
        <w:t>16 2 帰り荷の比較例</w:t>
      </w:r>
    </w:p>
    <w:p>
      <w:r>
        <w:t>検証用の仮定として、デポDから配送先Lまで100km、Lから帰り荷集荷先Bまで10km、BからDまで100kmとする。LからDへの直帰は100km、往路報酬30,000円、帰り荷報酬22,000円。燃料等の走行費は100円/kmとし、時間費などは比較のため0円に置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464"/>
      </w:tblGrid>
      <w:tr>
        <w:trPr>
          <w:cantSplit/>
          <w:tblHeader/>
        </w:trPr>
        <w:tc>
          <w:tcPr>
            <w:tcW w:type="dxa" w:w="2088"/>
            <w:vAlign w:val="center"/>
            <w:shd w:fill="DCE6EF"/>
            <w:tcMar>
              <w:top w:w="65" w:type="dxa"/>
              <w:left w:w="65" w:type="dxa"/>
              <w:bottom w:w="65" w:type="dxa"/>
              <w:right w:w="65" w:type="dxa"/>
            </w:tcMar>
          </w:tcPr>
          <w:p>
            <w:pPr>
              <w:spacing w:after="0" w:before="0" w:line="260" w:lineRule="exact"/>
            </w:pPr>
            <w:r>
              <w:rPr>
                <w:b/>
                <w:sz w:val="19"/>
              </w:rPr>
              <w:t>比較</w:t>
            </w:r>
          </w:p>
        </w:tc>
        <w:tc>
          <w:tcPr>
            <w:tcW w:type="dxa" w:w="3816"/>
            <w:vAlign w:val="center"/>
            <w:shd w:fill="DCE6EF"/>
            <w:tcMar>
              <w:top w:w="65" w:type="dxa"/>
              <w:left w:w="65" w:type="dxa"/>
              <w:bottom w:w="65" w:type="dxa"/>
              <w:right w:w="65" w:type="dxa"/>
            </w:tcMar>
          </w:tcPr>
          <w:p>
            <w:pPr>
              <w:spacing w:after="0" w:before="0" w:line="260" w:lineRule="exact"/>
            </w:pPr>
            <w:r>
              <w:rPr>
                <w:b/>
                <w:sz w:val="19"/>
              </w:rPr>
              <w:t>帰り荷なし</w:t>
            </w:r>
          </w:p>
        </w:tc>
        <w:tc>
          <w:tcPr>
            <w:tcW w:type="dxa" w:w="4464"/>
            <w:vAlign w:val="center"/>
            <w:shd w:fill="DCE6EF"/>
            <w:tcMar>
              <w:top w:w="65" w:type="dxa"/>
              <w:left w:w="65" w:type="dxa"/>
              <w:bottom w:w="65" w:type="dxa"/>
              <w:right w:w="65" w:type="dxa"/>
            </w:tcMar>
          </w:tcPr>
          <w:p>
            <w:pPr>
              <w:spacing w:after="0" w:before="0" w:line="260" w:lineRule="exact"/>
            </w:pPr>
            <w:r>
              <w:rPr>
                <w:b/>
                <w:sz w:val="19"/>
              </w:rPr>
              <w:t>帰り荷あり</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経路</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D → L → D</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D → L → B → D</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全距離／空車距離</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200km／100km</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210km／10km</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空車走行率</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50.00%</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約4.76%</w:t>
            </w:r>
          </w:p>
        </w:tc>
      </w:tr>
      <w:tr>
        <w:trPr>
          <w:cantSplit/>
        </w:trPr>
        <w:tc>
          <w:tcPr>
            <w:tcW w:type="dxa" w:w="2088"/>
            <w:vAlign w:val="center"/>
            <w:shd w:fill="F5F7F9"/>
            <w:tcMar>
              <w:top w:w="65" w:type="dxa"/>
              <w:left w:w="65" w:type="dxa"/>
              <w:bottom w:w="65" w:type="dxa"/>
              <w:right w:w="65" w:type="dxa"/>
            </w:tcMar>
          </w:tcPr>
          <w:p>
            <w:pPr>
              <w:spacing w:after="0" w:before="0" w:line="260" w:lineRule="exact"/>
            </w:pPr>
            <w:r>
              <w:rPr>
                <w:b w:val="0"/>
                <w:sz w:val="19"/>
              </w:rPr>
              <w:t>売上／走行費</w:t>
            </w:r>
          </w:p>
        </w:tc>
        <w:tc>
          <w:tcPr>
            <w:tcW w:type="dxa" w:w="3816"/>
            <w:vAlign w:val="center"/>
            <w:shd w:fill="F5F7F9"/>
            <w:tcMar>
              <w:top w:w="65" w:type="dxa"/>
              <w:left w:w="65" w:type="dxa"/>
              <w:bottom w:w="65" w:type="dxa"/>
              <w:right w:w="65" w:type="dxa"/>
            </w:tcMar>
          </w:tcPr>
          <w:p>
            <w:pPr>
              <w:spacing w:after="0" w:before="0" w:line="260" w:lineRule="exact"/>
            </w:pPr>
            <w:r>
              <w:rPr>
                <w:b w:val="0"/>
                <w:sz w:val="19"/>
              </w:rPr>
              <w:t>30,000円／20,000円</w:t>
            </w:r>
          </w:p>
        </w:tc>
        <w:tc>
          <w:tcPr>
            <w:tcW w:type="dxa" w:w="4464"/>
            <w:vAlign w:val="center"/>
            <w:shd w:fill="F5F7F9"/>
            <w:tcMar>
              <w:top w:w="65" w:type="dxa"/>
              <w:left w:w="65" w:type="dxa"/>
              <w:bottom w:w="65" w:type="dxa"/>
              <w:right w:w="65" w:type="dxa"/>
            </w:tcMar>
          </w:tcPr>
          <w:p>
            <w:pPr>
              <w:spacing w:after="0" w:before="0" w:line="260" w:lineRule="exact"/>
            </w:pPr>
            <w:r>
              <w:rPr>
                <w:b w:val="0"/>
                <w:sz w:val="19"/>
              </w:rPr>
              <w:t>52,000円／21,000円</w:t>
            </w:r>
          </w:p>
        </w:tc>
      </w:tr>
      <w:tr>
        <w:trPr>
          <w:cantSplit/>
        </w:trPr>
        <w:tc>
          <w:tcPr>
            <w:tcW w:type="dxa" w:w="2088"/>
            <w:vAlign w:val="center"/>
            <w:shd w:fill="FFFFFF"/>
            <w:tcMar>
              <w:top w:w="65" w:type="dxa"/>
              <w:left w:w="65" w:type="dxa"/>
              <w:bottom w:w="65" w:type="dxa"/>
              <w:right w:w="65" w:type="dxa"/>
            </w:tcMar>
          </w:tcPr>
          <w:p>
            <w:pPr>
              <w:spacing w:after="0" w:before="0" w:line="260" w:lineRule="exact"/>
            </w:pPr>
            <w:r>
              <w:rPr>
                <w:b w:val="0"/>
                <w:sz w:val="19"/>
              </w:rPr>
              <w:t>差引額</w:t>
            </w:r>
          </w:p>
        </w:tc>
        <w:tc>
          <w:tcPr>
            <w:tcW w:type="dxa" w:w="3816"/>
            <w:vAlign w:val="center"/>
            <w:shd w:fill="FFFFFF"/>
            <w:tcMar>
              <w:top w:w="65" w:type="dxa"/>
              <w:left w:w="65" w:type="dxa"/>
              <w:bottom w:w="65" w:type="dxa"/>
              <w:right w:w="65" w:type="dxa"/>
            </w:tcMar>
          </w:tcPr>
          <w:p>
            <w:pPr>
              <w:spacing w:after="0" w:before="0" w:line="260" w:lineRule="exact"/>
            </w:pPr>
            <w:r>
              <w:rPr>
                <w:b w:val="0"/>
                <w:sz w:val="19"/>
              </w:rPr>
              <w:t>10,000円</w:t>
            </w:r>
          </w:p>
        </w:tc>
        <w:tc>
          <w:tcPr>
            <w:tcW w:type="dxa" w:w="4464"/>
            <w:vAlign w:val="center"/>
            <w:shd w:fill="FFFFFF"/>
            <w:tcMar>
              <w:top w:w="65" w:type="dxa"/>
              <w:left w:w="65" w:type="dxa"/>
              <w:bottom w:w="65" w:type="dxa"/>
              <w:right w:w="65" w:type="dxa"/>
            </w:tcMar>
          </w:tcPr>
          <w:p>
            <w:pPr>
              <w:spacing w:after="0" w:before="0" w:line="260" w:lineRule="exact"/>
            </w:pPr>
            <w:r>
              <w:rPr>
                <w:b w:val="0"/>
                <w:sz w:val="19"/>
              </w:rPr>
              <w:t>31,000円</w:t>
            </w:r>
          </w:p>
        </w:tc>
      </w:tr>
    </w:tbl>
    <w:p>
      <w:pPr>
        <w:spacing w:after="0" w:before="0" w:line="60" w:lineRule="exact"/>
      </w:pPr>
      <w:r>
        <w:rPr>
          <w:sz w:val="6"/>
        </w:rPr>
      </w:r>
    </w:p>
    <w:p>
      <w:r>
        <w:t>時間枠を満たす場合は帰り荷案が選ばれ、Bへの到着が16時10分になる場合は16時00分開始期限の新規案件を受注できないことを検証する。既契約なら違反として残ることも確認する。</w:t>
      </w:r>
    </w:p>
    <w:p>
      <w:r>
        <w:t>配送8パレット、帰り荷8パレット、容量10パレットは順次積卸できれば成立する。往路量と帰り荷量の合計16を同時積載量として扱わない。重量超過や、配送を残したまま集荷する案は別途拒否する。</w:t>
      </w:r>
    </w:p>
    <w:p>
      <w:r>
        <w:br w:type="page"/>
      </w:r>
    </w:p>
    <w:p>
      <w:pPr>
        <w:pStyle w:val="Heading1"/>
      </w:pPr>
      <w:r>
        <w:t>17 受入条件と導入手順</w:t>
      </w:r>
    </w:p>
    <w:p>
      <w:pPr>
        <w:pStyle w:val="Heading2"/>
      </w:pPr>
      <w:r>
        <w:t>17 1 受入試験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888"/>
        <w:gridCol w:w="5688"/>
      </w:tblGrid>
      <w:tr>
        <w:trPr>
          <w:cantSplit/>
          <w:tblHeader/>
        </w:trPr>
        <w:tc>
          <w:tcPr>
            <w:tcW w:type="dxa" w:w="792"/>
            <w:vAlign w:val="center"/>
            <w:shd w:fill="DCE6EF"/>
            <w:tcMar>
              <w:top w:w="65" w:type="dxa"/>
              <w:left w:w="65" w:type="dxa"/>
              <w:bottom w:w="65" w:type="dxa"/>
              <w:right w:w="65" w:type="dxa"/>
            </w:tcMar>
          </w:tcPr>
          <w:p>
            <w:pPr>
              <w:spacing w:after="0" w:before="0" w:line="260" w:lineRule="exact"/>
              <w:jc w:val="center"/>
            </w:pPr>
            <w:r>
              <w:rPr>
                <w:b/>
                <w:sz w:val="19"/>
              </w:rPr>
              <w:t>ID</w:t>
            </w:r>
          </w:p>
        </w:tc>
        <w:tc>
          <w:tcPr>
            <w:tcW w:type="dxa" w:w="3888"/>
            <w:vAlign w:val="center"/>
            <w:shd w:fill="DCE6EF"/>
            <w:tcMar>
              <w:top w:w="65" w:type="dxa"/>
              <w:left w:w="65" w:type="dxa"/>
              <w:bottom w:w="65" w:type="dxa"/>
              <w:right w:w="65" w:type="dxa"/>
            </w:tcMar>
          </w:tcPr>
          <w:p>
            <w:pPr>
              <w:spacing w:after="0" w:before="0" w:line="260" w:lineRule="exact"/>
            </w:pPr>
            <w:r>
              <w:rPr>
                <w:b/>
                <w:sz w:val="19"/>
              </w:rPr>
              <w:t>試験</w:t>
            </w:r>
          </w:p>
        </w:tc>
        <w:tc>
          <w:tcPr>
            <w:tcW w:type="dxa" w:w="5688"/>
            <w:vAlign w:val="center"/>
            <w:shd w:fill="DCE6EF"/>
            <w:tcMar>
              <w:top w:w="65" w:type="dxa"/>
              <w:left w:w="65" w:type="dxa"/>
              <w:bottom w:w="65" w:type="dxa"/>
              <w:right w:w="65" w:type="dxa"/>
            </w:tcMar>
          </w:tcPr>
          <w:p>
            <w:pPr>
              <w:spacing w:after="0" w:before="0" w:line="260" w:lineRule="exact"/>
            </w:pPr>
            <w:r>
              <w:rPr>
                <w:b/>
                <w:sz w:val="19"/>
              </w:rPr>
              <w:t>合格条件</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T01</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荷主とドライバーの同時参加</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入口が分かれ、相手の権限では操作できない</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T02</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人数と組織の追加</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再ビルドせず追加でき、既存状態が維持される</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T03</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同じ案件へ同時受注</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契約は1件だけ成立し、他は競合理由を取得</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T04</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バース・搬送車の競合</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二重占有と二重稼働が発生しない</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T05</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仮置き場が満杯</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荷下ろしを待機させ、貨物が消失・増殖しない</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T06</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VRPB順序と容量</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B後のL訪問を拒否し、両容量制約を満たす</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T07</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遅延の伝播</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バース遅延がETAと帰り荷可否へ反映される</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T08</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古い計画の承認</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再検証で失効または再計算となる</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T09</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切断と再送</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計画を維持し、契約・支払の二重計上なし</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T10</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停止と復元</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中断なし実行とイベント順・最終状態が一致</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T11</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空注文からの追加</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終了扱いせず、追加注文後に作業を再開</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T12</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オフライン利用</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事前準備後、外部通信なしで全主要操作が完了</w:t>
            </w:r>
          </w:p>
        </w:tc>
      </w:tr>
      <w:tr>
        <w:trPr>
          <w:cantSplit/>
        </w:trPr>
        <w:tc>
          <w:tcPr>
            <w:tcW w:type="dxa" w:w="792"/>
            <w:vAlign w:val="center"/>
            <w:shd w:fill="FFFFFF"/>
            <w:tcMar>
              <w:top w:w="65" w:type="dxa"/>
              <w:left w:w="65" w:type="dxa"/>
              <w:bottom w:w="65" w:type="dxa"/>
              <w:right w:w="65" w:type="dxa"/>
            </w:tcMar>
          </w:tcPr>
          <w:p>
            <w:pPr>
              <w:spacing w:after="0" w:before="0" w:line="260" w:lineRule="exact"/>
              <w:jc w:val="center"/>
            </w:pPr>
            <w:r>
              <w:rPr>
                <w:b w:val="0"/>
                <w:sz w:val="19"/>
              </w:rPr>
              <w:t>T13</w:t>
            </w:r>
          </w:p>
        </w:tc>
        <w:tc>
          <w:tcPr>
            <w:tcW w:type="dxa" w:w="3888"/>
            <w:vAlign w:val="center"/>
            <w:shd w:fill="FFFFFF"/>
            <w:tcMar>
              <w:top w:w="65" w:type="dxa"/>
              <w:left w:w="65" w:type="dxa"/>
              <w:bottom w:w="65" w:type="dxa"/>
              <w:right w:w="65" w:type="dxa"/>
            </w:tcMar>
          </w:tcPr>
          <w:p>
            <w:pPr>
              <w:spacing w:after="0" w:before="0" w:line="260" w:lineRule="exact"/>
            </w:pPr>
            <w:r>
              <w:rPr>
                <w:b w:val="0"/>
                <w:sz w:val="19"/>
              </w:rPr>
              <w:t>小規模最適化</w:t>
            </w:r>
          </w:p>
        </w:tc>
        <w:tc>
          <w:tcPr>
            <w:tcW w:type="dxa" w:w="5688"/>
            <w:vAlign w:val="center"/>
            <w:shd w:fill="FFFFFF"/>
            <w:tcMar>
              <w:top w:w="65" w:type="dxa"/>
              <w:left w:w="65" w:type="dxa"/>
              <w:bottom w:w="65" w:type="dxa"/>
              <w:right w:w="65" w:type="dxa"/>
            </w:tcMar>
          </w:tcPr>
          <w:p>
            <w:pPr>
              <w:spacing w:after="0" w:before="0" w:line="260" w:lineRule="exact"/>
            </w:pPr>
            <w:r>
              <w:rPr>
                <w:b w:val="0"/>
                <w:sz w:val="19"/>
              </w:rPr>
              <w:t>列挙可能な例で可行性と目的値を照合</w:t>
            </w:r>
          </w:p>
        </w:tc>
      </w:tr>
      <w:tr>
        <w:trPr>
          <w:cantSplit/>
        </w:trPr>
        <w:tc>
          <w:tcPr>
            <w:tcW w:type="dxa" w:w="792"/>
            <w:vAlign w:val="center"/>
            <w:shd w:fill="F5F7F9"/>
            <w:tcMar>
              <w:top w:w="65" w:type="dxa"/>
              <w:left w:w="65" w:type="dxa"/>
              <w:bottom w:w="65" w:type="dxa"/>
              <w:right w:w="65" w:type="dxa"/>
            </w:tcMar>
          </w:tcPr>
          <w:p>
            <w:pPr>
              <w:spacing w:after="0" w:before="0" w:line="260" w:lineRule="exact"/>
              <w:jc w:val="center"/>
            </w:pPr>
            <w:r>
              <w:rPr>
                <w:b w:val="0"/>
                <w:sz w:val="19"/>
              </w:rPr>
              <w:t>T14</w:t>
            </w:r>
          </w:p>
        </w:tc>
        <w:tc>
          <w:tcPr>
            <w:tcW w:type="dxa" w:w="3888"/>
            <w:vAlign w:val="center"/>
            <w:shd w:fill="F5F7F9"/>
            <w:tcMar>
              <w:top w:w="65" w:type="dxa"/>
              <w:left w:w="65" w:type="dxa"/>
              <w:bottom w:w="65" w:type="dxa"/>
              <w:right w:w="65" w:type="dxa"/>
            </w:tcMar>
          </w:tcPr>
          <w:p>
            <w:pPr>
              <w:spacing w:after="0" w:before="0" w:line="260" w:lineRule="exact"/>
            </w:pPr>
            <w:r>
              <w:rPr>
                <w:b w:val="0"/>
                <w:sz w:val="19"/>
              </w:rPr>
              <w:t>負荷と性能</w:t>
            </w:r>
          </w:p>
        </w:tc>
        <w:tc>
          <w:tcPr>
            <w:tcW w:type="dxa" w:w="5688"/>
            <w:vAlign w:val="center"/>
            <w:shd w:fill="F5F7F9"/>
            <w:tcMar>
              <w:top w:w="65" w:type="dxa"/>
              <w:left w:w="65" w:type="dxa"/>
              <w:bottom w:w="65" w:type="dxa"/>
              <w:right w:w="65" w:type="dxa"/>
            </w:tcMar>
          </w:tcPr>
          <w:p>
            <w:pPr>
              <w:spacing w:after="0" w:before="0" w:line="260" w:lineRule="exact"/>
            </w:pPr>
            <w:r>
              <w:rPr>
                <w:b w:val="0"/>
                <w:sz w:val="19"/>
              </w:rPr>
              <w:t>第15章の条件を測定し、実効上限を記録</w:t>
            </w:r>
          </w:p>
        </w:tc>
      </w:tr>
    </w:tbl>
    <w:p>
      <w:pPr>
        <w:spacing w:after="0" w:before="0" w:line="60" w:lineRule="exact"/>
      </w:pPr>
      <w:r>
        <w:rPr>
          <w:sz w:val="6"/>
        </w:rPr>
      </w:r>
    </w:p>
    <w:p>
      <w:pPr>
        <w:pStyle w:val="Heading2"/>
      </w:pPr>
      <w:r>
        <w:t>17 2 実装に進む際の順序</w:t>
      </w:r>
    </w:p>
    <w:p>
      <w:r>
        <w:t>第1段階でSLAPStackの固定版を用い、1イベント実行、注文追加、搬送車予約、保存復元を検証する。特に標準stepの先走り、空注文での終了、車両予約の整合を確認し、Adapter仕様を確定する。</w:t>
      </w:r>
    </w:p>
    <w:p>
      <w:r>
        <w:t>第2段階でトラック1台と荷主1人をつなぎ、在庫移動、バース占有、契約、台帳を通す。第3段階で複数ユーザー、同時受注、WebSocket再接続を追加する。第4段階でVRPBとバース予測を接続し、手動・先着順との比較を行う。</w:t>
      </w:r>
    </w:p>
    <w:p>
      <w:pPr>
        <w:pStyle w:val="Heading2"/>
      </w:pPr>
      <w:r>
        <w:t>17 3 実装前に確定する項目</w:t>
      </w:r>
    </w:p>
    <w:p>
      <w:r>
        <w:t>SLAPStackの採用コミット、Pythonと依存ライブラリの固定版、手動配車フックの変更箇所、保存可能な内部状態を確定する。業務設定として車両容量、荷役秒数、走行時間、遅延費、時間枠違反時の契約規則をシナリオ設定値に落とす。未校正の設定値で実物流の改善効果を断定しない。</w:t>
      </w:r>
    </w:p>
    <w:p>
      <w:r>
        <w:br w:type="page"/>
      </w:r>
    </w:p>
    <w:p>
      <w:pPr>
        <w:pStyle w:val="Heading1"/>
      </w:pPr>
      <w:r>
        <w:t>18 一次資料と調査記録</w:t>
      </w:r>
    </w:p>
    <w:p>
      <w:r>
        <w:t>確認日 2026年10月16日。公開ソースは変更されるため、実装開始時にリポジトリのコミットを固定する。以下のSHAは確認ファイルのblob SHAであり、採用コミットを表すものではない。</w:t>
      </w:r>
    </w:p>
    <w:p>
      <w:pPr>
        <w:pStyle w:val="Heading2"/>
      </w:pPr>
      <w:r>
        <w:t>SLAPStack</w:t>
      </w:r>
    </w:p>
    <w:p>
      <w:r>
        <w:t>[S1] 著者リポジトリとREADME。エンジン構成、庫内搬送、ドック間搬送、データセットの説明。WEPAの説明ではトラック積込工程はユースケースに含まれない。</w:t>
      </w:r>
    </w:p>
    <w:p>
      <w:pPr>
        <w:spacing w:after="60"/>
      </w:pPr>
      <w:r>
        <w:rPr>
          <w:sz w:val="16"/>
        </w:rPr>
        <w:t>https://github.com/malerinc/slapstack</w:t>
      </w:r>
    </w:p>
    <w:p>
      <w:r>
        <w:t>[S2] core.py。step、step_no_action、イベント処理と終了判定を確認。</w:t>
      </w:r>
    </w:p>
    <w:p>
      <w:pPr>
        <w:spacing w:after="60"/>
      </w:pPr>
      <w:r>
        <w:rPr>
          <w:sz w:val="16"/>
        </w:rPr>
        <w:t>https://github.com/malerinc/slapstack/blob/master/1_environment/slapstack/slapstack/core.py</w:t>
      </w:r>
    </w:p>
    <w:p>
      <w:pPr>
        <w:spacing w:after="60"/>
      </w:pPr>
      <w:r>
        <w:rPr>
          <w:sz w:val="16"/>
        </w:rPr>
        <w:t>blob SHA 8e768409ffb9b5bdb668df0a9684c44258980504</w:t>
      </w:r>
    </w:p>
    <w:p>
      <w:r>
        <w:t>[S3] interface.py。SlapEnvの操作変換、旧Gym型の戻り値、renderを確認。</w:t>
      </w:r>
    </w:p>
    <w:p>
      <w:pPr>
        <w:spacing w:after="60"/>
      </w:pPr>
      <w:r>
        <w:rPr>
          <w:sz w:val="16"/>
        </w:rPr>
        <w:t>https://github.com/malerinc/slapstack/blob/master/1_environment/slapstack/slapstack/interface.py</w:t>
      </w:r>
    </w:p>
    <w:p>
      <w:pPr>
        <w:spacing w:after="60"/>
      </w:pPr>
      <w:r>
        <w:rPr>
          <w:sz w:val="16"/>
        </w:rPr>
        <w:t>blob SHA 6204897e3ecd4b4182b37be1400c13b2bed9e972</w:t>
      </w:r>
    </w:p>
    <w:p>
      <w:r>
        <w:t>[S4] core_state_agv_manager.py。get_close_agv、book_agv、release_agvを確認。</w:t>
      </w:r>
    </w:p>
    <w:p>
      <w:pPr>
        <w:spacing w:after="60"/>
      </w:pPr>
      <w:r>
        <w:rPr>
          <w:sz w:val="16"/>
        </w:rPr>
        <w:t>https://github.com/malerinc/slapstack/blob/master/1_environment/slapstack/slapstack/core_state_agv_manager.py</w:t>
      </w:r>
    </w:p>
    <w:p>
      <w:pPr>
        <w:spacing w:after="60"/>
      </w:pPr>
      <w:r>
        <w:rPr>
          <w:sz w:val="16"/>
        </w:rPr>
        <w:t>blob SHA 68e97ec8ecafb060b1259775efd9e0b2a2636f02</w:t>
      </w:r>
    </w:p>
    <w:p>
      <w:r>
        <w:t>[S5] setup.pyとLICENSE。setup記載は0.1.1、Python &gt;3.6.8、gym等への依存。最新Pythonでの動作保証とは解釈しない。公開ライセンス表示はMIT。配布時は著作権表示と許諾文を保持する。</w:t>
      </w:r>
    </w:p>
    <w:p>
      <w:pPr>
        <w:spacing w:after="60"/>
      </w:pPr>
      <w:r>
        <w:rPr>
          <w:sz w:val="16"/>
        </w:rPr>
        <w:t>https://github.com/malerinc/slapstack/blob/master/1_environment/slapstack/setup.py</w:t>
      </w:r>
    </w:p>
    <w:p>
      <w:pPr>
        <w:spacing w:after="60"/>
      </w:pPr>
      <w:r>
        <w:rPr>
          <w:sz w:val="16"/>
        </w:rPr>
        <w:t>https://github.com/malerinc/slapstack/blob/master/LICENSE</w:t>
      </w:r>
    </w:p>
    <w:p>
      <w:pPr>
        <w:pStyle w:val="Heading2"/>
      </w:pPr>
      <w:r>
        <w:t>最適化と永続化</w:t>
      </w:r>
    </w:p>
    <w:p>
      <w:r>
        <w:t>[S6] HexalyのVRPB定義。配送後に帰り荷を集荷する順序、同一デポ、容量制約の確認に使用。Hexaly本体とサンプルコードは採用対象外。</w:t>
      </w:r>
    </w:p>
    <w:p>
      <w:pPr>
        <w:spacing w:after="60"/>
      </w:pPr>
      <w:r>
        <w:rPr>
          <w:sz w:val="16"/>
        </w:rPr>
        <w:t>https://www.hexaly.com/templates/vehicle-routing-with-backhauls-vrpb</w:t>
      </w:r>
    </w:p>
    <w:p>
      <w:r>
        <w:t>[S7] Google OR-Tools公式資料。集荷配達ペアと時間枠のモデル。</w:t>
      </w:r>
    </w:p>
    <w:p>
      <w:pPr>
        <w:spacing w:after="60"/>
      </w:pPr>
      <w:r>
        <w:rPr>
          <w:sz w:val="16"/>
        </w:rPr>
        <w:t>https://developers.google.com/optimization/routing/pickup_delivery</w:t>
      </w:r>
    </w:p>
    <w:p>
      <w:pPr>
        <w:spacing w:after="60"/>
      </w:pPr>
      <w:r>
        <w:rPr>
          <w:sz w:val="16"/>
        </w:rPr>
        <w:t>https://developers.google.com/optimization/routing/vrptw</w:t>
      </w:r>
    </w:p>
    <w:p>
      <w:r>
        <w:t>[S8] Google OR-Tools公式資料。作業先行関係と資源排他。</w:t>
      </w:r>
    </w:p>
    <w:p>
      <w:pPr>
        <w:spacing w:after="60"/>
      </w:pPr>
      <w:r>
        <w:rPr>
          <w:sz w:val="16"/>
        </w:rPr>
        <w:t>https://developers.google.com/optimization/scheduling/job_shop</w:t>
      </w:r>
    </w:p>
    <w:p>
      <w:r>
        <w:t>[S9] PostgreSQL公式資料。ロックと同時更新制御。</w:t>
      </w:r>
    </w:p>
    <w:p>
      <w:pPr>
        <w:spacing w:after="60"/>
      </w:pPr>
      <w:r>
        <w:rPr>
          <w:sz w:val="16"/>
        </w:rPr>
        <w:t>https://www.postgresql.org/docs/current/explicit-locking.html</w:t>
      </w:r>
    </w:p>
    <w:p>
      <w:r>
        <w:t>OR-Toolsの公開ライセンスはApache License 2.0。依存を含む配布物のNOTICE等を実装時に確認する。サンプルデータは初期版では自作し、付属データを配布する場合は当該ファイルの条件を別途確認する。</w:t>
      </w:r>
    </w:p>
    <w:p>
      <w:pPr>
        <w:spacing w:after="60"/>
      </w:pPr>
      <w:r>
        <w:rPr>
          <w:sz w:val="16"/>
        </w:rPr>
        <w:t>https://github.com/google/or-tools/blob/stable/LICENSE</w:t>
      </w:r>
    </w:p>
    <w:sectPr w:rsidR="00FC693F" w:rsidRPr="0006063C" w:rsidSect="00034616">
      <w:footerReference w:type="default" r:id="rId9"/>
      <w:pgSz w:w="12240" w:h="15840"/>
      <w:pgMar w:top="864" w:right="936" w:bottom="864" w:left="936"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SLAPStack 物流シミュレーション基盤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310" w:lineRule="exact" w:after="100"/>
    </w:pPr>
    <w:rPr>
      <w:rFonts w:ascii="Noto Sans CJK JP" w:hAnsi="Noto Sans CJK JP" w:eastAsia="Noto Sans CJK JP"/>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460" w:lineRule="exact"/>
      <w:outlineLvl w:val="0"/>
      <w:snapToGrid w:val="0"/>
    </w:pPr>
    <w:rPr>
      <w:rFonts w:ascii="Noto Sans CJK JP" w:hAnsi="Noto Sans CJK JP" w:eastAsia="Noto Sans CJK JP"/>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line="360" w:lineRule="exact"/>
      <w:outlineLvl w:val="1"/>
      <w:snapToGrid w:val="0"/>
    </w:pPr>
    <w:rPr>
      <w:rFonts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Noto Sans CJK JP" w:hAnsi="Noto Sans CJK JP" w:eastAsia="Noto Sans CJK JP"/>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00" w:line="580" w:lineRule="exact"/>
      <w:contextualSpacing/>
      <w:snapToGrid w:val="0"/>
    </w:pPr>
    <w:rPr>
      <w:rFonts w:ascii="Noto Sans CJK JP" w:hAnsi="Noto Sans CJK JP" w:eastAsia="Noto Sans CJK JP"/>
      <w:color w:val="000000"/>
      <w:spacing w:val="5"/>
      <w:kern w:val="28"/>
      <w:sz w:val="4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Noto Sans CJK JP" w:hAnsi="Noto Sans CJK JP" w:eastAsia="Noto Sans CJK JP"/>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SLAPStack物流シミュレーション基盤設計書</dc:title>
  <dc:subject>VRPB統合と多人数参加型ローカル物流シミュレーション</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