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60" w:lineRule="auto"/>
        <w:jc w:val="center"/>
      </w:pPr>
      <w:r>
        <w:rPr>
          <w:rFonts w:ascii="Times New Roman" w:hAnsi="Times New Roman"/>
          <w:b/>
          <w:sz w:val="32"/>
        </w:rPr>
        <w:t>UNIVERSITY OF NAMIBIA</w:t>
      </w:r>
    </w:p>
    <w:p>
      <w:pPr>
        <w:spacing w:before="0" w:after="120" w:line="360" w:lineRule="auto"/>
        <w:jc w:val="center"/>
      </w:pPr>
      <w:r>
        <w:rPr>
          <w:rFonts w:ascii="Times New Roman" w:hAnsi="Times New Roman"/>
          <w:b/>
          <w:sz w:val="26"/>
        </w:rPr>
        <w:t>FACULTY OF AGRICULTURE, ENGINEERING &amp; NATURAL SCIENCES</w:t>
      </w:r>
    </w:p>
    <w:p>
      <w:pPr>
        <w:spacing w:before="0" w:after="960" w:line="360" w:lineRule="auto"/>
        <w:jc w:val="center"/>
      </w:pPr>
      <w:r>
        <w:rPr>
          <w:rFonts w:ascii="Times New Roman" w:hAnsi="Times New Roman"/>
          <w:b/>
          <w:sz w:val="26"/>
        </w:rPr>
        <w:t>DEPARTMENT OF COMPUTING, MATHEMATICAL AND STATISTICAL SCIENCE</w:t>
      </w:r>
    </w:p>
    <w:p>
      <w:pPr>
        <w:spacing w:before="0" w:after="960" w:line="360" w:lineRule="auto"/>
        <w:jc w:val="center"/>
      </w:pPr>
      <w:r>
        <w:rPr>
          <w:rFonts w:ascii="Times New Roman" w:hAnsi="Times New Roman"/>
          <w:b/>
          <w:sz w:val="30"/>
        </w:rPr>
        <w:t>CREDIT RISK PREDICTION FOR FINANCIAL INCLUSION USING MACHINE LEARNING IN NAMIBIA: AN EMPIRICAL AND SOCIO-TECHNICAL INVESTIGATION UNDER THE BANK OF NAMIBIA FINTECH REGULATORY FRAMEWORK</w:t>
      </w:r>
    </w:p>
    <w:p>
      <w:pPr>
        <w:spacing w:line="360" w:lineRule="auto" w:after="960"/>
        <w:jc w:val="center"/>
      </w:pPr>
      <w:r>
        <w:rPr>
          <w:rFonts w:ascii="Times New Roman" w:hAnsi="Times New Roman"/>
          <w:b w:val="0"/>
          <w:i w:val="0"/>
          <w:sz w:val="24"/>
        </w:rPr>
        <w:t>A thesis submitted in partial fulfilment of the requirements for the degree of Bachelor of Science in Computer Science (Honours)</w:t>
      </w:r>
    </w:p>
    <w:p>
      <w:pPr>
        <w:spacing w:before="0" w:after="80" w:line="360" w:lineRule="auto"/>
        <w:jc w:val="center"/>
      </w:pPr>
      <w:r>
        <w:rPr>
          <w:rFonts w:ascii="Times New Roman" w:hAnsi="Times New Roman"/>
          <w:b w:val="0"/>
          <w:sz w:val="24"/>
        </w:rPr>
        <w:t>Student Name: Percyviarance Minsozi Simasiku</w:t>
      </w:r>
    </w:p>
    <w:p>
      <w:pPr>
        <w:spacing w:before="0" w:after="80" w:line="360" w:lineRule="auto"/>
        <w:jc w:val="center"/>
      </w:pPr>
      <w:r>
        <w:rPr>
          <w:rFonts w:ascii="Times New Roman" w:hAnsi="Times New Roman"/>
          <w:b w:val="0"/>
          <w:sz w:val="24"/>
        </w:rPr>
        <w:t>Student Number: 201061589</w:t>
      </w:r>
    </w:p>
    <w:p>
      <w:pPr>
        <w:spacing w:before="0" w:after="80" w:line="360" w:lineRule="auto"/>
        <w:jc w:val="center"/>
      </w:pPr>
      <w:r>
        <w:rPr>
          <w:rFonts w:ascii="Times New Roman" w:hAnsi="Times New Roman"/>
          <w:b w:val="0"/>
          <w:sz w:val="24"/>
        </w:rPr>
        <w:t>Supervisor: Mrs. Johanna Nelulu</w:t>
      </w:r>
    </w:p>
    <w:p>
      <w:pPr>
        <w:spacing w:before="0" w:after="0" w:line="360" w:lineRule="auto"/>
        <w:jc w:val="center"/>
      </w:pPr>
      <w:r>
        <w:rPr>
          <w:rFonts w:ascii="Times New Roman" w:hAnsi="Times New Roman"/>
          <w:b w:val="0"/>
          <w:sz w:val="24"/>
        </w:rPr>
        <w:t>Date: October, 2026</w:t>
      </w:r>
    </w:p>
    <w:p>
      <w:r>
        <w:br w:type="page"/>
      </w:r>
    </w:p>
    <w:p>
      <w:pPr>
        <w:keepNext/>
        <w:spacing w:before="360" w:after="240"/>
        <w:jc w:val="left"/>
      </w:pPr>
      <w:r>
        <w:rPr>
          <w:rFonts w:ascii="Times New Roman" w:hAnsi="Times New Roman"/>
          <w:b/>
          <w:color w:val="1E3A8A"/>
          <w:sz w:val="32"/>
        </w:rPr>
        <w:t>DECLARATION</w:t>
      </w:r>
    </w:p>
    <w:p>
      <w:pPr>
        <w:spacing w:line="360" w:lineRule="auto" w:after="120"/>
        <w:jc w:val="both"/>
      </w:pPr>
      <w:r>
        <w:rPr>
          <w:rFonts w:ascii="Times New Roman" w:hAnsi="Times New Roman"/>
          <w:b w:val="0"/>
          <w:i w:val="0"/>
          <w:sz w:val="24"/>
        </w:rPr>
        <w:t>I, Percyviarance Minsozi Simasiku, declare that this thesis is my original work and has not been submitted to any other institution for the award of a degree. All sources used in this study have been appropriately acknowledged.</w:t>
      </w:r>
    </w:p>
    <w:p>
      <w:pPr>
        <w:spacing w:line="360" w:lineRule="auto" w:after="120"/>
        <w:jc w:val="both"/>
      </w:pPr>
      <w:r>
        <w:rPr>
          <w:rFonts w:ascii="Times New Roman" w:hAnsi="Times New Roman"/>
          <w:b w:val="0"/>
          <w:i w:val="0"/>
          <w:sz w:val="24"/>
        </w:rPr>
        <w:br/>
        <w:br/>
        <w:t>Signature: ______________________________          Date: ______________________________</w:t>
        <w:br/>
      </w:r>
    </w:p>
    <w:p>
      <w:r>
        <w:br w:type="page"/>
      </w:r>
    </w:p>
    <w:p>
      <w:pPr>
        <w:keepNext/>
        <w:spacing w:before="360" w:after="240"/>
        <w:jc w:val="left"/>
      </w:pPr>
      <w:r>
        <w:rPr>
          <w:rFonts w:ascii="Times New Roman" w:hAnsi="Times New Roman"/>
          <w:b/>
          <w:color w:val="1E3A8A"/>
          <w:sz w:val="32"/>
        </w:rPr>
        <w:t>ABSTRACT</w:t>
      </w:r>
    </w:p>
    <w:p>
      <w:pPr>
        <w:spacing w:line="360" w:lineRule="auto" w:after="120"/>
        <w:jc w:val="both"/>
      </w:pPr>
      <w:r>
        <w:rPr>
          <w:rFonts w:ascii="Times New Roman" w:hAnsi="Times New Roman"/>
          <w:b w:val="0"/>
          <w:i w:val="0"/>
          <w:sz w:val="24"/>
        </w:rPr>
        <w:t>In Namibia, over 77% of the adult population remains excluded from formal credit markets due to a lack of legacy banking histories, collateral, and formalized financial documentation—a condition known as the 'thin-file' exclusion paradox. Traditional linear credit scorecards rely strictly on historical credit bureau telemetry, systematically locking out unbanked informal entrepreneurs, rural smallholders, and youth. This study investigates the extent to which machine learning algorithms leveraging non-traditional mobile transactional and behavioral telemetry (e.g., airtime recharge regularity, mobile wallet velocity, and telecom account tenure) can predict credit default risk accurately, transparently, and fairly for thin-file borrowers, while complying with the Bank of Namibia (BoN) Revised Fintech Innovation Regulatory Framework (2026) and the National Financial Sector Transformation Strategy (NFSTS 2025–2035).</w:t>
      </w:r>
    </w:p>
    <w:p>
      <w:pPr>
        <w:spacing w:line="360" w:lineRule="auto" w:after="120"/>
        <w:jc w:val="both"/>
      </w:pPr>
      <w:r>
        <w:rPr>
          <w:rFonts w:ascii="Times New Roman" w:hAnsi="Times New Roman"/>
          <w:b w:val="0"/>
          <w:i w:val="0"/>
          <w:sz w:val="24"/>
        </w:rPr>
        <w:t>Adopting a Triangulated Multi-Tier Dataset Strategy, an empirical cohort of N = 5,000 micro-borrowers was generated and conditioned on authentic African digital credit distributions, calibrated to the Bank of Namibia December 2025 Non-Performing Loan benchmark of 3.93%, and constrained to the micro-loan mechanics (N$100 - N$1,500, 30-day tenure) of the BoN Sandbox pilot. Four predictive algorithms—Logistic Regression, Decision Trees, Random Forest, and XGBoost—were engineered, cross-validated, benchmarked via paired DeLong statistical tests, explained using TreeSHAP, and audited for algorithmic bias across constitutional protected attributes.</w:t>
      </w:r>
    </w:p>
    <w:p>
      <w:pPr>
        <w:spacing w:line="360" w:lineRule="auto" w:after="120"/>
        <w:jc w:val="both"/>
      </w:pPr>
      <w:r>
        <w:rPr>
          <w:rFonts w:ascii="Times New Roman" w:hAnsi="Times New Roman"/>
          <w:b w:val="0"/>
          <w:i w:val="0"/>
          <w:sz w:val="24"/>
        </w:rPr>
        <w:t>Empirical findings reveal that alternative behavioral indicators provide statistically significant discriminatory signal (p &lt; 0.001), with mobile telecom tenure, airtime recharge stability, and recharge frequency accounting for 54.6% of total predictive importance mass. Random Forest achieved superior probability calibration (Brier Score = 0.0997, cutting error by 50.6% relative to Logistic Regression) and minimized portfolio default loss to 298.0 under an asymmetric cost matrix (C_FN=5, C_FP=1). TreeSHAP local attributions successfully eliminated the 'black-box' dilemma, generating compliant individual adverse-action explanation notices that satisfy BoN Framework Section 5.1. The algorithmic fairness audit proved that XGBoost naturally satisfies the international four-fifths rule (DIR &gt;= 0.80) across gender (DIR = 1.1413), geographic location (DIR = 0.9513), and business registration (DIR = 1.3127) without post-hoc distortion. The study articulates the Calibration–Fairness–Inclusion Trilemma, advancing eight actionable policy recommendations to govern digital credit deployment in Namibia.</w:t>
      </w:r>
    </w:p>
    <w:p>
      <w:pPr>
        <w:spacing w:line="360" w:lineRule="auto" w:after="120"/>
        <w:jc w:val="both"/>
      </w:pPr>
      <w:r>
        <w:rPr>
          <w:rFonts w:ascii="Times New Roman" w:hAnsi="Times New Roman"/>
          <w:b/>
          <w:i w:val="0"/>
          <w:sz w:val="24"/>
        </w:rPr>
        <w:t>Keywords: Credit Risk Prediction; Financial Inclusion; Machine Learning; Alternative Data; TreeSHAP; Algorithmic Fairness; Bank of Namibia Regulatory Sandbox.</w:t>
      </w:r>
    </w:p>
    <w:p>
      <w:r>
        <w:br w:type="page"/>
      </w:r>
    </w:p>
    <w:p>
      <w:pPr>
        <w:keepNext/>
        <w:spacing w:before="360" w:after="240"/>
        <w:jc w:val="left"/>
      </w:pPr>
      <w:r>
        <w:rPr>
          <w:rFonts w:ascii="Times New Roman" w:hAnsi="Times New Roman"/>
          <w:b/>
          <w:color w:val="1E3A8A"/>
          <w:sz w:val="32"/>
        </w:rPr>
        <w:t>ACKNOWLEDGEMENTS</w:t>
      </w:r>
    </w:p>
    <w:p>
      <w:pPr>
        <w:spacing w:line="360" w:lineRule="auto" w:after="120"/>
        <w:jc w:val="both"/>
      </w:pPr>
      <w:r>
        <w:rPr>
          <w:rFonts w:ascii="Times New Roman" w:hAnsi="Times New Roman"/>
          <w:b w:val="0"/>
          <w:i w:val="0"/>
          <w:sz w:val="24"/>
        </w:rPr>
        <w:t>First and foremost, I express my deepest gratitude to Almighty God for granting me wisdom, strength, perseverance, and good health throughout the duration of this research.</w:t>
      </w:r>
    </w:p>
    <w:p>
      <w:pPr>
        <w:spacing w:line="360" w:lineRule="auto" w:after="120"/>
        <w:jc w:val="both"/>
      </w:pPr>
      <w:r>
        <w:rPr>
          <w:rFonts w:ascii="Times New Roman" w:hAnsi="Times New Roman"/>
          <w:b w:val="0"/>
          <w:i w:val="0"/>
          <w:sz w:val="24"/>
        </w:rPr>
        <w:t>I extend my profound appreciation and heartfelt gratitude to my academic supervisor, Mrs. Johanna Nelulu, Department of Computing, Mathematical and Statistical Science, University of Namibia. Her invaluable mentorship, rigorous academic critique, insightful guidance, and continuous encouragement shaped the direction and execution of this dissertation.</w:t>
      </w:r>
    </w:p>
    <w:p>
      <w:pPr>
        <w:spacing w:line="360" w:lineRule="auto" w:after="120"/>
        <w:jc w:val="both"/>
      </w:pPr>
      <w:r>
        <w:rPr>
          <w:rFonts w:ascii="Times New Roman" w:hAnsi="Times New Roman"/>
          <w:b w:val="0"/>
          <w:i w:val="0"/>
          <w:sz w:val="24"/>
        </w:rPr>
        <w:t>I also extend sincere appreciation to the academic and administrative staff of the Faculty of Agriculture, Engineering and Natural Sciences at UNAM for their dedicated teaching and support throughout my undergraduate studies.</w:t>
      </w:r>
    </w:p>
    <w:p>
      <w:pPr>
        <w:spacing w:line="360" w:lineRule="auto" w:after="120"/>
        <w:jc w:val="both"/>
      </w:pPr>
      <w:r>
        <w:rPr>
          <w:rFonts w:ascii="Times New Roman" w:hAnsi="Times New Roman"/>
          <w:b w:val="0"/>
          <w:i w:val="0"/>
          <w:sz w:val="24"/>
        </w:rPr>
        <w:t>Special recognition is accorded to the Bank of Namibia (BoN) for their public dissemination of the Revised Fintech Innovation Regulatory Framework (2026) and macroeconomic banking supervision statistics, and to the Namibia Statistics Agency (NSA) for publishing comprehensive financial inclusion microdata via the National Financial Inclusion Survey (NFIS).</w:t>
      </w:r>
    </w:p>
    <w:p>
      <w:pPr>
        <w:spacing w:line="360" w:lineRule="auto" w:after="120"/>
        <w:jc w:val="both"/>
      </w:pPr>
      <w:r>
        <w:rPr>
          <w:rFonts w:ascii="Times New Roman" w:hAnsi="Times New Roman"/>
          <w:b w:val="0"/>
          <w:i w:val="0"/>
          <w:sz w:val="24"/>
        </w:rPr>
        <w:t>Finally, I am profoundly indebted to my family and friends for their boundless patience, emotional sustenance, and faith in my abilities during long hours of research, programming, and writing.</w:t>
      </w:r>
    </w:p>
    <w:p>
      <w:r>
        <w:br w:type="page"/>
      </w:r>
    </w:p>
    <w:p>
      <w:pPr>
        <w:keepNext/>
        <w:spacing w:before="360" w:after="240"/>
        <w:jc w:val="left"/>
      </w:pPr>
      <w:r>
        <w:rPr>
          <w:rFonts w:ascii="Times New Roman" w:hAnsi="Times New Roman"/>
          <w:b/>
          <w:color w:val="1E3A8A"/>
          <w:sz w:val="32"/>
        </w:rPr>
        <w:t>DEDICATION</w:t>
      </w:r>
    </w:p>
    <w:p>
      <w:pPr>
        <w:spacing w:line="360" w:lineRule="auto" w:after="120"/>
        <w:jc w:val="both"/>
      </w:pPr>
      <w:r>
        <w:rPr>
          <w:rFonts w:ascii="Times New Roman" w:hAnsi="Times New Roman"/>
          <w:b w:val="0"/>
          <w:i w:val="0"/>
          <w:sz w:val="24"/>
        </w:rPr>
        <w:t>This thesis is dedicated to my family, whose continuous sacrifices, unconditional love, and prayers have been my foundation; and to the hardworking micro-entrepreneurs, informal traders, and rural households of Namibia, whose economic vitality drives our nation forward despite enduring financial exclusion.</w:t>
      </w:r>
    </w:p>
    <w:p>
      <w:r>
        <w:br w:type="page"/>
      </w:r>
    </w:p>
    <w:p>
      <w:pPr>
        <w:keepNext/>
        <w:spacing w:before="360" w:after="240"/>
        <w:jc w:val="left"/>
      </w:pPr>
      <w:r>
        <w:rPr>
          <w:rFonts w:ascii="Times New Roman" w:hAnsi="Times New Roman"/>
          <w:b/>
          <w:color w:val="1E3A8A"/>
          <w:sz w:val="32"/>
        </w:rPr>
        <w:t>TABLE OF CONTENTS</w:t>
      </w:r>
    </w:p>
    <w:p>
      <w:pPr>
        <w:spacing w:line="276" w:lineRule="auto" w:after="40"/>
      </w:pPr>
      <w:r>
        <w:t>DECLARATION</w:t>
      </w:r>
      <w:r>
        <w:t xml:space="preserve"> ............................................................................................... 2</w:t>
      </w:r>
    </w:p>
    <w:p>
      <w:pPr>
        <w:spacing w:line="276" w:lineRule="auto" w:after="40"/>
      </w:pPr>
      <w:r>
        <w:t>ABSTRACT</w:t>
      </w:r>
      <w:r>
        <w:t xml:space="preserve"> ............................................................................................... 3</w:t>
      </w:r>
    </w:p>
    <w:p>
      <w:pPr>
        <w:spacing w:line="276" w:lineRule="auto" w:after="40"/>
      </w:pPr>
      <w:r>
        <w:t>ACKNOWLEDGEMENTS</w:t>
      </w:r>
      <w:r>
        <w:t xml:space="preserve"> ............................................................................................... 4</w:t>
      </w:r>
    </w:p>
    <w:p>
      <w:pPr>
        <w:spacing w:line="276" w:lineRule="auto" w:after="40"/>
      </w:pPr>
      <w:r>
        <w:t>DEDICATION</w:t>
      </w:r>
      <w:r>
        <w:t xml:space="preserve"> ............................................................................................... 5</w:t>
      </w:r>
    </w:p>
    <w:p>
      <w:pPr>
        <w:spacing w:line="276" w:lineRule="auto" w:after="40"/>
      </w:pPr>
      <w:r>
        <w:t>TABLE OF CONTENTS</w:t>
      </w:r>
      <w:r>
        <w:t xml:space="preserve"> ............................................................................................... 6</w:t>
      </w:r>
    </w:p>
    <w:p>
      <w:pPr>
        <w:spacing w:line="276" w:lineRule="auto" w:after="40"/>
      </w:pPr>
      <w:r>
        <w:t>LIST OF FIGURES</w:t>
      </w:r>
      <w:r>
        <w:t xml:space="preserve"> ............................................................................................... 7</w:t>
      </w:r>
    </w:p>
    <w:p>
      <w:pPr>
        <w:spacing w:line="276" w:lineRule="auto" w:after="40"/>
      </w:pPr>
      <w:r>
        <w:t>LIST OF TABLES</w:t>
      </w:r>
      <w:r>
        <w:t xml:space="preserve"> ............................................................................................... 8</w:t>
      </w:r>
    </w:p>
    <w:p>
      <w:pPr>
        <w:spacing w:line="276" w:lineRule="auto" w:after="40"/>
      </w:pPr>
      <w:r>
        <w:t>LIST OF ABBREVIATIONS AND ACRONYMS</w:t>
      </w:r>
      <w:r>
        <w:t xml:space="preserve"> ............................................................................................... 9</w:t>
      </w:r>
    </w:p>
    <w:p>
      <w:pPr>
        <w:spacing w:line="276" w:lineRule="auto" w:after="40"/>
      </w:pPr>
      <w:r>
        <w:t>CHAPTER 1: INTRODUCTION</w:t>
      </w:r>
      <w:r>
        <w:t xml:space="preserve"> ............................................................................................... 10</w:t>
      </w:r>
    </w:p>
    <w:p>
      <w:pPr>
        <w:spacing w:line="276" w:lineRule="auto" w:after="40"/>
      </w:pPr>
      <w:r>
        <w:t xml:space="preserve">    1.1 Introduction</w:t>
      </w:r>
      <w:r>
        <w:t xml:space="preserve"> ............................................................................................... 10</w:t>
      </w:r>
    </w:p>
    <w:p>
      <w:pPr>
        <w:spacing w:line="276" w:lineRule="auto" w:after="40"/>
      </w:pPr>
      <w:r>
        <w:t xml:space="preserve">    1.2 Background of the Study</w:t>
      </w:r>
      <w:r>
        <w:t xml:space="preserve"> ............................................................................................... 10</w:t>
      </w:r>
    </w:p>
    <w:p>
      <w:pPr>
        <w:spacing w:line="276" w:lineRule="auto" w:after="40"/>
      </w:pPr>
      <w:r>
        <w:t xml:space="preserve">    1.3 Problem Statement</w:t>
      </w:r>
      <w:r>
        <w:t xml:space="preserve"> ............................................................................................... 11</w:t>
      </w:r>
    </w:p>
    <w:p>
      <w:pPr>
        <w:spacing w:line="276" w:lineRule="auto" w:after="40"/>
      </w:pPr>
      <w:r>
        <w:t xml:space="preserve">    1.4 Aim of the Study</w:t>
      </w:r>
      <w:r>
        <w:t xml:space="preserve"> ............................................................................................... 12</w:t>
      </w:r>
    </w:p>
    <w:p>
      <w:pPr>
        <w:spacing w:line="276" w:lineRule="auto" w:after="40"/>
      </w:pPr>
      <w:r>
        <w:t xml:space="preserve">    1.5 Research Objectives</w:t>
      </w:r>
      <w:r>
        <w:t xml:space="preserve"> ............................................................................................... 12</w:t>
      </w:r>
    </w:p>
    <w:p>
      <w:pPr>
        <w:spacing w:line="276" w:lineRule="auto" w:after="40"/>
      </w:pPr>
      <w:r>
        <w:t xml:space="preserve">    1.6 Research Questions</w:t>
      </w:r>
      <w:r>
        <w:t xml:space="preserve"> ............................................................................................... 12</w:t>
      </w:r>
    </w:p>
    <w:p>
      <w:pPr>
        <w:spacing w:line="276" w:lineRule="auto" w:after="40"/>
      </w:pPr>
      <w:r>
        <w:t xml:space="preserve">    1.7 Significance of the Study</w:t>
      </w:r>
      <w:r>
        <w:t xml:space="preserve"> ............................................................................................... 13</w:t>
      </w:r>
    </w:p>
    <w:p>
      <w:pPr>
        <w:spacing w:line="276" w:lineRule="auto" w:after="40"/>
      </w:pPr>
      <w:r>
        <w:t xml:space="preserve">    1.8 Scope of the Study</w:t>
      </w:r>
      <w:r>
        <w:t xml:space="preserve"> ............................................................................................... 13</w:t>
      </w:r>
    </w:p>
    <w:p>
      <w:pPr>
        <w:spacing w:line="276" w:lineRule="auto" w:after="40"/>
      </w:pPr>
      <w:r>
        <w:t xml:space="preserve">    1.9 Limitations of the Study</w:t>
      </w:r>
      <w:r>
        <w:t xml:space="preserve"> ............................................................................................... 14</w:t>
      </w:r>
    </w:p>
    <w:p>
      <w:pPr>
        <w:spacing w:line="276" w:lineRule="auto" w:after="40"/>
      </w:pPr>
      <w:r>
        <w:t>CHAPTER 2: LITERATURE REVIEW</w:t>
      </w:r>
      <w:r>
        <w:t xml:space="preserve"> ............................................................................................... 15</w:t>
      </w:r>
    </w:p>
    <w:p>
      <w:pPr>
        <w:spacing w:line="276" w:lineRule="auto" w:after="40"/>
      </w:pPr>
      <w:r>
        <w:t xml:space="preserve">    2.1 Introduction</w:t>
      </w:r>
      <w:r>
        <w:t xml:space="preserve"> ............................................................................................... 15</w:t>
      </w:r>
    </w:p>
    <w:p>
      <w:pPr>
        <w:spacing w:line="276" w:lineRule="auto" w:after="40"/>
      </w:pPr>
      <w:r>
        <w:t xml:space="preserve">    2.2 Theoretical Background</w:t>
      </w:r>
      <w:r>
        <w:t xml:space="preserve"> ............................................................................................... 15</w:t>
      </w:r>
    </w:p>
    <w:p>
      <w:pPr>
        <w:spacing w:line="276" w:lineRule="auto" w:after="40"/>
      </w:pPr>
      <w:r>
        <w:t xml:space="preserve">    2.3 Conceptual Framework</w:t>
      </w:r>
      <w:r>
        <w:t xml:space="preserve"> ............................................................................................... 16</w:t>
      </w:r>
    </w:p>
    <w:p>
      <w:pPr>
        <w:spacing w:line="276" w:lineRule="auto" w:after="40"/>
      </w:pPr>
      <w:r>
        <w:t xml:space="preserve">    2.4 Review of Existing Technologies</w:t>
      </w:r>
      <w:r>
        <w:t xml:space="preserve"> ............................................................................................... 17</w:t>
      </w:r>
    </w:p>
    <w:p>
      <w:pPr>
        <w:spacing w:line="276" w:lineRule="auto" w:after="40"/>
      </w:pPr>
      <w:r>
        <w:t xml:space="preserve">    2.5 Review of Related Studies</w:t>
      </w:r>
      <w:r>
        <w:t xml:space="preserve"> ............................................................................................... 18</w:t>
      </w:r>
    </w:p>
    <w:p>
      <w:pPr>
        <w:spacing w:line="276" w:lineRule="auto" w:after="40"/>
      </w:pPr>
      <w:r>
        <w:t xml:space="preserve">    2.6 Review of Existing Systems or Applications</w:t>
      </w:r>
      <w:r>
        <w:t xml:space="preserve"> ............................................................................................... 19</w:t>
      </w:r>
    </w:p>
    <w:p>
      <w:pPr>
        <w:spacing w:line="276" w:lineRule="auto" w:after="40"/>
      </w:pPr>
      <w:r>
        <w:t xml:space="preserve">    2.7 Research Gap</w:t>
      </w:r>
      <w:r>
        <w:t xml:space="preserve"> ............................................................................................... 20</w:t>
      </w:r>
    </w:p>
    <w:p>
      <w:pPr>
        <w:spacing w:line="276" w:lineRule="auto" w:after="40"/>
      </w:pPr>
      <w:r>
        <w:t xml:space="preserve">    2.8 Summary of the Chapter</w:t>
      </w:r>
      <w:r>
        <w:t xml:space="preserve"> ............................................................................................... 20</w:t>
      </w:r>
    </w:p>
    <w:p>
      <w:pPr>
        <w:spacing w:line="276" w:lineRule="auto" w:after="40"/>
      </w:pPr>
      <w:r>
        <w:t>CHAPTER 3: RESEARCH METHODOLOGY</w:t>
      </w:r>
      <w:r>
        <w:t xml:space="preserve"> ............................................................................................... 21</w:t>
      </w:r>
    </w:p>
    <w:p>
      <w:pPr>
        <w:spacing w:line="276" w:lineRule="auto" w:after="40"/>
      </w:pPr>
      <w:r>
        <w:t xml:space="preserve">    3.1 Introduction</w:t>
      </w:r>
      <w:r>
        <w:t xml:space="preserve"> ............................................................................................... 21</w:t>
      </w:r>
    </w:p>
    <w:p>
      <w:pPr>
        <w:spacing w:line="276" w:lineRule="auto" w:after="40"/>
      </w:pPr>
      <w:r>
        <w:t xml:space="preserve">    3.2 Research Approach</w:t>
      </w:r>
      <w:r>
        <w:t xml:space="preserve"> ............................................................................................... 21</w:t>
      </w:r>
    </w:p>
    <w:p>
      <w:pPr>
        <w:spacing w:line="276" w:lineRule="auto" w:after="40"/>
      </w:pPr>
      <w:r>
        <w:t xml:space="preserve">    3.3 Research Design</w:t>
      </w:r>
      <w:r>
        <w:t xml:space="preserve"> ............................................................................................... 22</w:t>
      </w:r>
    </w:p>
    <w:p>
      <w:pPr>
        <w:spacing w:line="276" w:lineRule="auto" w:after="40"/>
      </w:pPr>
      <w:r>
        <w:t xml:space="preserve">    3.4 Target Population</w:t>
      </w:r>
      <w:r>
        <w:t xml:space="preserve"> ............................................................................................... 22</w:t>
      </w:r>
    </w:p>
    <w:p>
      <w:pPr>
        <w:spacing w:line="276" w:lineRule="auto" w:after="40"/>
      </w:pPr>
      <w:r>
        <w:t xml:space="preserve">    3.5 Sampling Techniques and Sample Size</w:t>
      </w:r>
      <w:r>
        <w:t xml:space="preserve"> ............................................................................................... 23</w:t>
      </w:r>
    </w:p>
    <w:p>
      <w:pPr>
        <w:spacing w:line="276" w:lineRule="auto" w:after="40"/>
      </w:pPr>
      <w:r>
        <w:t xml:space="preserve">    3.6 Data Collection Methods</w:t>
      </w:r>
      <w:r>
        <w:t xml:space="preserve"> ............................................................................................... 23</w:t>
      </w:r>
    </w:p>
    <w:p>
      <w:pPr>
        <w:spacing w:line="276" w:lineRule="auto" w:after="40"/>
      </w:pPr>
      <w:r>
        <w:t xml:space="preserve">    3.7 Data Analysis Methods</w:t>
      </w:r>
      <w:r>
        <w:t xml:space="preserve"> ............................................................................................... 24</w:t>
      </w:r>
    </w:p>
    <w:p>
      <w:pPr>
        <w:spacing w:line="276" w:lineRule="auto" w:after="40"/>
      </w:pPr>
      <w:r>
        <w:t xml:space="preserve">    3.8 Software Development Methodology</w:t>
      </w:r>
      <w:r>
        <w:t xml:space="preserve"> ............................................................................................... 25</w:t>
      </w:r>
    </w:p>
    <w:p>
      <w:pPr>
        <w:spacing w:line="276" w:lineRule="auto" w:after="40"/>
      </w:pPr>
      <w:r>
        <w:t xml:space="preserve">    3.9 Ethical Considerations</w:t>
      </w:r>
      <w:r>
        <w:t xml:space="preserve"> ............................................................................................... 25</w:t>
      </w:r>
    </w:p>
    <w:p>
      <w:pPr>
        <w:spacing w:line="276" w:lineRule="auto" w:after="40"/>
      </w:pPr>
      <w:r>
        <w:t xml:space="preserve">    3.10 Chapter Summary</w:t>
      </w:r>
      <w:r>
        <w:t xml:space="preserve"> ............................................................................................... 26</w:t>
      </w:r>
    </w:p>
    <w:p>
      <w:pPr>
        <w:spacing w:line="276" w:lineRule="auto" w:after="40"/>
      </w:pPr>
      <w:r>
        <w:t>CHAPTER 4: SYSTEM ANALYSIS AND DESIGN</w:t>
      </w:r>
      <w:r>
        <w:t xml:space="preserve"> ............................................................................................... 27</w:t>
      </w:r>
    </w:p>
    <w:p>
      <w:pPr>
        <w:spacing w:line="276" w:lineRule="auto" w:after="40"/>
      </w:pPr>
      <w:r>
        <w:t xml:space="preserve">    4.1 Introduction</w:t>
      </w:r>
      <w:r>
        <w:t xml:space="preserve"> ............................................................................................... 27</w:t>
      </w:r>
    </w:p>
    <w:p>
      <w:pPr>
        <w:spacing w:line="276" w:lineRule="auto" w:after="40"/>
      </w:pPr>
      <w:r>
        <w:t xml:space="preserve">    4.2 Analysis of the Existing System</w:t>
      </w:r>
      <w:r>
        <w:t xml:space="preserve"> ............................................................................................... 27</w:t>
      </w:r>
    </w:p>
    <w:p>
      <w:pPr>
        <w:spacing w:line="276" w:lineRule="auto" w:after="40"/>
      </w:pPr>
      <w:r>
        <w:t xml:space="preserve">        4.2.1 Functional Requirements</w:t>
      </w:r>
      <w:r>
        <w:t xml:space="preserve"> ............................................................................................... 28</w:t>
      </w:r>
    </w:p>
    <w:p>
      <w:pPr>
        <w:spacing w:line="276" w:lineRule="auto" w:after="40"/>
      </w:pPr>
      <w:r>
        <w:t xml:space="preserve">        4.2.2 Non-Functional Requirements</w:t>
      </w:r>
      <w:r>
        <w:t xml:space="preserve"> ............................................................................................... 28</w:t>
      </w:r>
    </w:p>
    <w:p>
      <w:pPr>
        <w:spacing w:line="276" w:lineRule="auto" w:after="40"/>
      </w:pPr>
      <w:r>
        <w:t xml:space="preserve">    4.3 System Design</w:t>
      </w:r>
      <w:r>
        <w:t xml:space="preserve"> ............................................................................................... 29</w:t>
      </w:r>
    </w:p>
    <w:p>
      <w:pPr>
        <w:spacing w:line="276" w:lineRule="auto" w:after="40"/>
      </w:pPr>
      <w:r>
        <w:t xml:space="preserve">    4.4 Database Design</w:t>
      </w:r>
      <w:r>
        <w:t xml:space="preserve"> ............................................................................................... 30</w:t>
      </w:r>
    </w:p>
    <w:p>
      <w:pPr>
        <w:spacing w:line="276" w:lineRule="auto" w:after="40"/>
      </w:pPr>
      <w:r>
        <w:t xml:space="preserve">    4.5 User Interface Design</w:t>
      </w:r>
      <w:r>
        <w:t xml:space="preserve"> ............................................................................................... 31</w:t>
      </w:r>
    </w:p>
    <w:p>
      <w:pPr>
        <w:spacing w:line="276" w:lineRule="auto" w:after="40"/>
      </w:pPr>
      <w:r>
        <w:t xml:space="preserve">    4.6 System Architecture</w:t>
      </w:r>
      <w:r>
        <w:t xml:space="preserve"> ............................................................................................... 32</w:t>
      </w:r>
    </w:p>
    <w:p>
      <w:pPr>
        <w:spacing w:line="276" w:lineRule="auto" w:after="40"/>
      </w:pPr>
      <w:r>
        <w:t>CHAPTER 5: SYSTEM IMPLEMENTATION</w:t>
      </w:r>
      <w:r>
        <w:t xml:space="preserve"> ............................................................................................... 33</w:t>
      </w:r>
    </w:p>
    <w:p>
      <w:pPr>
        <w:spacing w:line="276" w:lineRule="auto" w:after="40"/>
      </w:pPr>
      <w:r>
        <w:t xml:space="preserve">    5.1 Introduction</w:t>
      </w:r>
      <w:r>
        <w:t xml:space="preserve"> ............................................................................................... 33</w:t>
      </w:r>
    </w:p>
    <w:p>
      <w:pPr>
        <w:spacing w:line="276" w:lineRule="auto" w:after="40"/>
      </w:pPr>
      <w:r>
        <w:t xml:space="preserve">    5.2 Development Environment</w:t>
      </w:r>
      <w:r>
        <w:t xml:space="preserve"> ............................................................................................... 33</w:t>
      </w:r>
    </w:p>
    <w:p>
      <w:pPr>
        <w:spacing w:line="276" w:lineRule="auto" w:after="40"/>
      </w:pPr>
      <w:r>
        <w:t xml:space="preserve">    5.3 System Implementation</w:t>
      </w:r>
      <w:r>
        <w:t xml:space="preserve"> ............................................................................................... 34</w:t>
      </w:r>
    </w:p>
    <w:p>
      <w:pPr>
        <w:spacing w:line="276" w:lineRule="auto" w:after="40"/>
      </w:pPr>
      <w:r>
        <w:t xml:space="preserve">    5.4 Implementation of Major Features</w:t>
      </w:r>
      <w:r>
        <w:t xml:space="preserve"> ............................................................................................... 34</w:t>
      </w:r>
    </w:p>
    <w:p>
      <w:pPr>
        <w:spacing w:line="276" w:lineRule="auto" w:after="40"/>
      </w:pPr>
      <w:r>
        <w:t xml:space="preserve">    5.5 Database Implementation</w:t>
      </w:r>
      <w:r>
        <w:t xml:space="preserve"> ............................................................................................... 35</w:t>
      </w:r>
    </w:p>
    <w:p>
      <w:pPr>
        <w:spacing w:line="276" w:lineRule="auto" w:after="40"/>
      </w:pPr>
      <w:r>
        <w:t xml:space="preserve">    5.6 Security Implementation</w:t>
      </w:r>
      <w:r>
        <w:t xml:space="preserve"> ............................................................................................... 36</w:t>
      </w:r>
    </w:p>
    <w:p>
      <w:pPr>
        <w:spacing w:line="276" w:lineRule="auto" w:after="40"/>
      </w:pPr>
      <w:r>
        <w:t xml:space="preserve">    5.7 Challenges Encountered During Development</w:t>
      </w:r>
      <w:r>
        <w:t xml:space="preserve"> ............................................................................................... 36</w:t>
      </w:r>
    </w:p>
    <w:p>
      <w:pPr>
        <w:spacing w:line="276" w:lineRule="auto" w:after="40"/>
      </w:pPr>
      <w:r>
        <w:t>CHAPTER 6: SYSTEM TESTING AND EVALUATION</w:t>
      </w:r>
      <w:r>
        <w:t xml:space="preserve"> ............................................................................................... 37</w:t>
      </w:r>
    </w:p>
    <w:p>
      <w:pPr>
        <w:spacing w:line="276" w:lineRule="auto" w:after="40"/>
      </w:pPr>
      <w:r>
        <w:t xml:space="preserve">    6.1 Introduction</w:t>
      </w:r>
      <w:r>
        <w:t xml:space="preserve"> ............................................................................................... 37</w:t>
      </w:r>
    </w:p>
    <w:p>
      <w:pPr>
        <w:spacing w:line="276" w:lineRule="auto" w:after="40"/>
      </w:pPr>
      <w:r>
        <w:t xml:space="preserve">    6.2 Testing Strategy</w:t>
      </w:r>
      <w:r>
        <w:t xml:space="preserve"> ............................................................................................... 37</w:t>
      </w:r>
    </w:p>
    <w:p>
      <w:pPr>
        <w:spacing w:line="276" w:lineRule="auto" w:after="40"/>
      </w:pPr>
      <w:r>
        <w:t xml:space="preserve">    6.3 Test Cases</w:t>
      </w:r>
      <w:r>
        <w:t xml:space="preserve"> ............................................................................................... 38</w:t>
      </w:r>
    </w:p>
    <w:p>
      <w:pPr>
        <w:spacing w:line="276" w:lineRule="auto" w:after="40"/>
      </w:pPr>
      <w:r>
        <w:t xml:space="preserve">    6.4 Testing Results</w:t>
      </w:r>
      <w:r>
        <w:t xml:space="preserve"> ............................................................................................... 39</w:t>
      </w:r>
    </w:p>
    <w:p>
      <w:pPr>
        <w:spacing w:line="276" w:lineRule="auto" w:after="40"/>
      </w:pPr>
      <w:r>
        <w:t xml:space="preserve">    6.5 System Evaluation</w:t>
      </w:r>
      <w:r>
        <w:t xml:space="preserve"> ............................................................................................... 41</w:t>
      </w:r>
    </w:p>
    <w:p>
      <w:pPr>
        <w:spacing w:line="276" w:lineRule="auto" w:after="40"/>
      </w:pPr>
      <w:r>
        <w:t xml:space="preserve">    6.6 User Feedback and Usability Evaluation</w:t>
      </w:r>
      <w:r>
        <w:t xml:space="preserve"> ............................................................................................... 42</w:t>
      </w:r>
    </w:p>
    <w:p>
      <w:pPr>
        <w:spacing w:line="276" w:lineRule="auto" w:after="40"/>
      </w:pPr>
      <w:r>
        <w:t xml:space="preserve">    6.7 Discussion of Findings</w:t>
      </w:r>
      <w:r>
        <w:t xml:space="preserve"> ............................................................................................... 42</w:t>
      </w:r>
    </w:p>
    <w:p>
      <w:pPr>
        <w:spacing w:line="276" w:lineRule="auto" w:after="40"/>
      </w:pPr>
      <w:r>
        <w:t>CHAPTER 7: CONCLUSION AND RECOMMENDATIONS</w:t>
      </w:r>
      <w:r>
        <w:t xml:space="preserve"> ............................................................................................... 44</w:t>
      </w:r>
    </w:p>
    <w:p>
      <w:pPr>
        <w:spacing w:line="276" w:lineRule="auto" w:after="40"/>
      </w:pPr>
      <w:r>
        <w:t xml:space="preserve">    7.1 Introduction</w:t>
      </w:r>
      <w:r>
        <w:t xml:space="preserve"> ............................................................................................... 44</w:t>
      </w:r>
    </w:p>
    <w:p>
      <w:pPr>
        <w:spacing w:line="276" w:lineRule="auto" w:after="40"/>
      </w:pPr>
      <w:r>
        <w:t xml:space="preserve">    7.2 Summary of the Study</w:t>
      </w:r>
      <w:r>
        <w:t xml:space="preserve"> ............................................................................................... 44</w:t>
      </w:r>
    </w:p>
    <w:p>
      <w:pPr>
        <w:spacing w:line="276" w:lineRule="auto" w:after="40"/>
      </w:pPr>
      <w:r>
        <w:t xml:space="preserve">    7.3 Summary of Key Findings</w:t>
      </w:r>
      <w:r>
        <w:t xml:space="preserve"> ............................................................................................... 45</w:t>
      </w:r>
    </w:p>
    <w:p>
      <w:pPr>
        <w:spacing w:line="276" w:lineRule="auto" w:after="40"/>
      </w:pPr>
      <w:r>
        <w:t xml:space="preserve">    7.4 Achievement of Research Objectives</w:t>
      </w:r>
      <w:r>
        <w:t xml:space="preserve"> ............................................................................................... 45</w:t>
      </w:r>
    </w:p>
    <w:p>
      <w:pPr>
        <w:spacing w:line="276" w:lineRule="auto" w:after="40"/>
      </w:pPr>
      <w:r>
        <w:t xml:space="preserve">    7.5 Conclusion</w:t>
      </w:r>
      <w:r>
        <w:t xml:space="preserve"> ............................................................................................... 46</w:t>
      </w:r>
    </w:p>
    <w:p>
      <w:pPr>
        <w:spacing w:line="276" w:lineRule="auto" w:after="40"/>
      </w:pPr>
      <w:r>
        <w:t xml:space="preserve">    7.6 Recommendations</w:t>
      </w:r>
      <w:r>
        <w:t xml:space="preserve"> ............................................................................................... 47</w:t>
      </w:r>
    </w:p>
    <w:p>
      <w:pPr>
        <w:spacing w:line="276" w:lineRule="auto" w:after="40"/>
      </w:pPr>
      <w:r>
        <w:t xml:space="preserve">    7.7 Suggestions for Future Research</w:t>
      </w:r>
      <w:r>
        <w:t xml:space="preserve"> ............................................................................................... 48</w:t>
      </w:r>
    </w:p>
    <w:p>
      <w:pPr>
        <w:spacing w:line="276" w:lineRule="auto" w:after="40"/>
      </w:pPr>
      <w:r>
        <w:t>REFERENCES</w:t>
      </w:r>
      <w:r>
        <w:t xml:space="preserve"> ............................................................................................... 49</w:t>
      </w:r>
    </w:p>
    <w:p>
      <w:pPr>
        <w:spacing w:line="276" w:lineRule="auto" w:after="40"/>
      </w:pPr>
      <w:r>
        <w:t>APPENDICES</w:t>
      </w:r>
      <w:r>
        <w:t xml:space="preserve"> ............................................................................................... 53</w:t>
      </w:r>
    </w:p>
    <w:p>
      <w:r>
        <w:br w:type="page"/>
      </w:r>
    </w:p>
    <w:p>
      <w:pPr>
        <w:keepNext/>
        <w:spacing w:before="360" w:after="240"/>
        <w:jc w:val="left"/>
      </w:pPr>
      <w:r>
        <w:rPr>
          <w:rFonts w:ascii="Times New Roman" w:hAnsi="Times New Roman"/>
          <w:b/>
          <w:color w:val="1E3A8A"/>
          <w:sz w:val="32"/>
        </w:rPr>
        <w:t>LIST OF FIGURES</w:t>
      </w:r>
    </w:p>
    <w:p>
      <w:pPr>
        <w:spacing w:line="276" w:lineRule="auto" w:after="40"/>
      </w:pPr>
      <w:r>
        <w:t>Figure 2.1: Conceptual Architecture of the Alternative Data Scoring Framework</w:t>
      </w:r>
      <w:r>
        <w:t xml:space="preserve"> ............................................................................................... 17</w:t>
      </w:r>
    </w:p>
    <w:p>
      <w:pPr>
        <w:spacing w:line="276" w:lineRule="auto" w:after="40"/>
      </w:pPr>
      <w:r>
        <w:t>Figure 3.1: Triangulated Multi-Tier Dataset Architecture Pipeline</w:t>
      </w:r>
      <w:r>
        <w:t xml:space="preserve"> ............................................................................................... 22</w:t>
      </w:r>
    </w:p>
    <w:p>
      <w:pPr>
        <w:spacing w:line="276" w:lineRule="auto" w:after="40"/>
      </w:pPr>
      <w:r>
        <w:t>Figure 4.1: End-to-End System Architecture of the Credit Risk Prototype</w:t>
      </w:r>
      <w:r>
        <w:t xml:space="preserve"> ............................................................................................... 32</w:t>
      </w:r>
    </w:p>
    <w:p>
      <w:pPr>
        <w:spacing w:line="276" w:lineRule="auto" w:after="40"/>
      </w:pPr>
      <w:r>
        <w:t>Figure 4.2: Nokia 3310 USSD Mobile Interface Wireframe (*140*555#)</w:t>
      </w:r>
      <w:r>
        <w:t xml:space="preserve"> ............................................................................................... 31</w:t>
      </w:r>
    </w:p>
    <w:p>
      <w:pPr>
        <w:spacing w:line="276" w:lineRule="auto" w:after="40"/>
      </w:pPr>
      <w:r>
        <w:t>Figure 6.1: Receiver Operating Characteristic (ROC) Curves Across Evaluated Models</w:t>
      </w:r>
      <w:r>
        <w:t xml:space="preserve"> ............................................................................................... 39</w:t>
      </w:r>
    </w:p>
    <w:p>
      <w:pPr>
        <w:spacing w:line="276" w:lineRule="auto" w:after="40"/>
      </w:pPr>
      <w:r>
        <w:t>Figure 6.2: Precision-Recall (PR) Curves under 3.93% Class Imbalance</w:t>
      </w:r>
      <w:r>
        <w:t xml:space="preserve"> ............................................................................................... 39</w:t>
      </w:r>
    </w:p>
    <w:p>
      <w:pPr>
        <w:spacing w:line="276" w:lineRule="auto" w:after="40"/>
      </w:pPr>
      <w:r>
        <w:t>Figure 6.3: Probability Calibration Curves (Reliability Diagrams)</w:t>
      </w:r>
      <w:r>
        <w:t xml:space="preserve"> ............................................................................................... 40</w:t>
      </w:r>
    </w:p>
    <w:p>
      <w:pPr>
        <w:spacing w:line="276" w:lineRule="auto" w:after="40"/>
      </w:pPr>
      <w:r>
        <w:t>Figure 6.4: Portfolio Financial Cost Curves (Asymmetric Loss C_FN=5, C_FP=1)</w:t>
      </w:r>
      <w:r>
        <w:t xml:space="preserve"> ............................................................................................... 40</w:t>
      </w:r>
    </w:p>
    <w:p>
      <w:pPr>
        <w:spacing w:line="276" w:lineRule="auto" w:after="40"/>
      </w:pPr>
      <w:r>
        <w:t>Figure 6.5: TreeSHAP Global Feature Importance Bar Chart</w:t>
      </w:r>
      <w:r>
        <w:t xml:space="preserve"> ............................................................................................... 41</w:t>
      </w:r>
    </w:p>
    <w:p>
      <w:pPr>
        <w:spacing w:line="276" w:lineRule="auto" w:after="40"/>
      </w:pPr>
      <w:r>
        <w:t>Figure 6.6: Local Adverse-Action Waterfall Decomposition for Applicant NAM-11764</w:t>
      </w:r>
      <w:r>
        <w:t xml:space="preserve"> ............................................................................................... 41</w:t>
      </w:r>
    </w:p>
    <w:p>
      <w:pPr>
        <w:spacing w:line="276" w:lineRule="auto" w:after="40"/>
      </w:pPr>
      <w:r>
        <w:t>Figure 6.7: Credit Approval Rates Disaggregated by Protected Demographic Sub-Groups</w:t>
      </w:r>
      <w:r>
        <w:t xml:space="preserve"> ............................................................................................... 43</w:t>
      </w:r>
    </w:p>
    <w:p>
      <w:pPr>
        <w:spacing w:line="276" w:lineRule="auto" w:after="40"/>
      </w:pPr>
      <w:r>
        <w:t>Figure 6.8: Disparate Impact Ratio (DIR) Comparison against 0.80 Four-Fifths Reference Line</w:t>
      </w:r>
      <w:r>
        <w:t xml:space="preserve"> ............................................................................................... 43</w:t>
      </w:r>
    </w:p>
    <w:p>
      <w:pPr>
        <w:spacing w:line="276" w:lineRule="auto" w:after="40"/>
      </w:pPr>
      <w:r>
        <w:t>Figure 6.9: False Negative Rate Disparity Analysis across Protected Groups</w:t>
      </w:r>
      <w:r>
        <w:t xml:space="preserve"> ............................................................................................... 44</w:t>
      </w:r>
    </w:p>
    <w:p>
      <w:pPr>
        <w:spacing w:line="276" w:lineRule="auto" w:after="40"/>
      </w:pPr>
      <w:r>
        <w:t>Figure 7.1: The Calibration–Fairness–Inclusion Trilemma in Emerging Market Micro-Lending</w:t>
      </w:r>
      <w:r>
        <w:t xml:space="preserve"> ............................................................................................... 47</w:t>
      </w:r>
    </w:p>
    <w:p>
      <w:r>
        <w:br w:type="page"/>
      </w:r>
    </w:p>
    <w:p>
      <w:pPr>
        <w:keepNext/>
        <w:spacing w:before="360" w:after="240"/>
        <w:jc w:val="left"/>
      </w:pPr>
      <w:r>
        <w:rPr>
          <w:rFonts w:ascii="Times New Roman" w:hAnsi="Times New Roman"/>
          <w:b/>
          <w:color w:val="1E3A8A"/>
          <w:sz w:val="32"/>
        </w:rPr>
        <w:t>LIST OF TABLES</w:t>
      </w:r>
    </w:p>
    <w:p>
      <w:pPr>
        <w:spacing w:line="276" w:lineRule="auto" w:after="40"/>
      </w:pPr>
      <w:r>
        <w:t>Table 1.1: Alignment Matrix: Objectives, Questions, and Hypotheses</w:t>
      </w:r>
      <w:r>
        <w:t xml:space="preserve"> ............................................................................................... 13</w:t>
      </w:r>
    </w:p>
    <w:p>
      <w:pPr>
        <w:spacing w:line="276" w:lineRule="auto" w:after="40"/>
      </w:pPr>
      <w:r>
        <w:t>Table 2.1: Key Empirical Studies on Alternative Data Credit Risk Modeling</w:t>
      </w:r>
      <w:r>
        <w:t xml:space="preserve"> ............................................................................................... 18</w:t>
      </w:r>
    </w:p>
    <w:p>
      <w:pPr>
        <w:spacing w:line="276" w:lineRule="auto" w:after="40"/>
      </w:pPr>
      <w:r>
        <w:t>Table 2.2: Comparative Summary of Supervised Learning Algorithms in Credit Risk</w:t>
      </w:r>
      <w:r>
        <w:t xml:space="preserve"> ............................................................................................... 19</w:t>
      </w:r>
    </w:p>
    <w:p>
      <w:pPr>
        <w:spacing w:line="276" w:lineRule="auto" w:after="40"/>
      </w:pPr>
      <w:r>
        <w:t>Table 3.1: Comparative Scoring Matrix of Evaluated Dataset Architectures</w:t>
      </w:r>
      <w:r>
        <w:t xml:space="preserve"> ............................................................................................... 23</w:t>
      </w:r>
    </w:p>
    <w:p>
      <w:pPr>
        <w:spacing w:line="276" w:lineRule="auto" w:after="40"/>
      </w:pPr>
      <w:r>
        <w:t>Table 4.1: Functional Requirements Specification (FR1 - FR6)</w:t>
      </w:r>
      <w:r>
        <w:t xml:space="preserve"> ............................................................................................... 28</w:t>
      </w:r>
    </w:p>
    <w:p>
      <w:pPr>
        <w:spacing w:line="276" w:lineRule="auto" w:after="40"/>
      </w:pPr>
      <w:r>
        <w:t>Table 4.2: Non-Functional Requirements Specification (NFR1 - NFR5)</w:t>
      </w:r>
      <w:r>
        <w:t xml:space="preserve"> ............................................................................................... 28</w:t>
      </w:r>
    </w:p>
    <w:p>
      <w:pPr>
        <w:spacing w:line="276" w:lineRule="auto" w:after="40"/>
      </w:pPr>
      <w:r>
        <w:t>Table 4.3: Data Dictionary: 28 Variables across 6 Governance Dimensions</w:t>
      </w:r>
      <w:r>
        <w:t xml:space="preserve"> ............................................................................................... 30</w:t>
      </w:r>
    </w:p>
    <w:p>
      <w:pPr>
        <w:spacing w:line="276" w:lineRule="auto" w:after="40"/>
      </w:pPr>
      <w:r>
        <w:t>Table 6.1: Full Benchmark Results on Holdout Test Set (N = 1,500)</w:t>
      </w:r>
      <w:r>
        <w:t xml:space="preserve"> ............................................................................................... 39</w:t>
      </w:r>
    </w:p>
    <w:p>
      <w:pPr>
        <w:spacing w:line="276" w:lineRule="auto" w:after="40"/>
      </w:pPr>
      <w:r>
        <w:t>Table 6.2: Paired DeLong Statistical Significance Tests on ROC-AUC</w:t>
      </w:r>
      <w:r>
        <w:t xml:space="preserve"> ............................................................................................... 40</w:t>
      </w:r>
    </w:p>
    <w:p>
      <w:pPr>
        <w:spacing w:line="276" w:lineRule="auto" w:after="40"/>
      </w:pPr>
      <w:r>
        <w:t>Table 6.3: Cost-Sensitive Operational Threshold Optimization under Asymmetric Loss</w:t>
      </w:r>
      <w:r>
        <w:t xml:space="preserve"> ............................................................................................... 40</w:t>
      </w:r>
    </w:p>
    <w:p>
      <w:pPr>
        <w:spacing w:line="276" w:lineRule="auto" w:after="40"/>
      </w:pPr>
      <w:r>
        <w:t>Table 6.4: Top 15 Predictors Ranked by Mean Absolute TreeSHAP Attribution</w:t>
      </w:r>
      <w:r>
        <w:t xml:space="preserve"> ............................................................................................... 41</w:t>
      </w:r>
    </w:p>
    <w:p>
      <w:pPr>
        <w:spacing w:line="276" w:lineRule="auto" w:after="40"/>
      </w:pPr>
      <w:r>
        <w:t>Table 6.5: Local Adverse-Action Decomposition for Declined Applicant NAM-11764</w:t>
      </w:r>
      <w:r>
        <w:t xml:space="preserve"> ............................................................................................... 42</w:t>
      </w:r>
    </w:p>
    <w:p>
      <w:pPr>
        <w:spacing w:line="276" w:lineRule="auto" w:after="40"/>
      </w:pPr>
      <w:r>
        <w:t>Table 6.6: Algorithmic Fairness Audit: DIR and EOD across Protected Demographic Groups</w:t>
      </w:r>
      <w:r>
        <w:t xml:space="preserve"> ............................................................................................... 43</w:t>
      </w:r>
    </w:p>
    <w:p>
      <w:pPr>
        <w:spacing w:line="276" w:lineRule="auto" w:after="40"/>
      </w:pPr>
      <w:r>
        <w:t>Table 7.1: Achievement of Research Objectives Evidence Matrix</w:t>
      </w:r>
      <w:r>
        <w:t xml:space="preserve"> ............................................................................................... 46</w:t>
      </w:r>
    </w:p>
    <w:p>
      <w:pPr>
        <w:spacing w:line="276" w:lineRule="auto" w:after="40"/>
      </w:pPr>
      <w:r>
        <w:t>Table 7.2: Definitive Hypothesis Testing Decision Matrix (H0,1 to H0,4)</w:t>
      </w:r>
      <w:r>
        <w:t xml:space="preserve"> ............................................................................................... 46</w:t>
      </w:r>
    </w:p>
    <w:p>
      <w:r>
        <w:br w:type="page"/>
      </w:r>
    </w:p>
    <w:p>
      <w:pPr>
        <w:keepNext/>
        <w:spacing w:before="360" w:after="240"/>
        <w:jc w:val="left"/>
      </w:pPr>
      <w:r>
        <w:rPr>
          <w:rFonts w:ascii="Times New Roman" w:hAnsi="Times New Roman"/>
          <w:b/>
          <w:color w:val="1E3A8A"/>
          <w:sz w:val="32"/>
        </w:rPr>
        <w:t>LIST OF ABBREVIATIONS AND ACRONYMS</w:t>
      </w:r>
    </w:p>
    <w:tbl>
      <w:tblPr>
        <w:tblW w:type="auto" w:w="0"/>
        <w:jc w:val="center"/>
        <w:tblLayout w:type="autofit"/>
        <w:tblLook w:firstColumn="1" w:firstRow="1" w:lastColumn="0" w:lastRow="0" w:noHBand="0" w:noVBand="1" w:val="04A0"/>
      </w:tblPr>
      <w:tblGrid>
        <w:gridCol w:w="4680"/>
        <w:gridCol w:w="4680"/>
      </w:tblGrid>
      <w:tr>
        <w:tc>
          <w:tcPr>
            <w:tcW w:type="dxa" w:w="4680"/>
            <w:shd w:fill="1E3A8A"/>
          </w:tcPr>
          <w:p>
            <w:pPr>
              <w:jc w:val="center"/>
            </w:pPr>
            <w:r>
              <w:rPr>
                <w:rFonts w:ascii="Times New Roman" w:hAnsi="Times New Roman"/>
                <w:b/>
                <w:color w:val="FFFFFF"/>
                <w:sz w:val="20"/>
              </w:rPr>
              <w:t>Acronym / Abbreviation</w:t>
            </w:r>
          </w:p>
        </w:tc>
        <w:tc>
          <w:tcPr>
            <w:tcW w:type="dxa" w:w="4680"/>
            <w:shd w:fill="1E3A8A"/>
          </w:tcPr>
          <w:p>
            <w:pPr>
              <w:jc w:val="center"/>
            </w:pPr>
            <w:r>
              <w:rPr>
                <w:rFonts w:ascii="Times New Roman" w:hAnsi="Times New Roman"/>
                <w:b/>
                <w:color w:val="FFFFFF"/>
                <w:sz w:val="20"/>
              </w:rPr>
              <w:t>Complete Meaning / Definition</w:t>
            </w:r>
          </w:p>
        </w:tc>
      </w:tr>
      <w:tr>
        <w:tc>
          <w:tcPr>
            <w:tcW w:type="dxa" w:w="4680"/>
            <w:shd w:fill="FFFFFF"/>
          </w:tcPr>
          <w:p>
            <w:pPr>
              <w:jc w:val="left"/>
            </w:pPr>
            <w:r>
              <w:rPr>
                <w:rFonts w:ascii="Times New Roman" w:hAnsi="Times New Roman"/>
                <w:sz w:val="20"/>
              </w:rPr>
              <w:t>AI</w:t>
            </w:r>
          </w:p>
        </w:tc>
        <w:tc>
          <w:tcPr>
            <w:tcW w:type="dxa" w:w="4680"/>
            <w:shd w:fill="FFFFFF"/>
          </w:tcPr>
          <w:p>
            <w:pPr>
              <w:jc w:val="center"/>
            </w:pPr>
            <w:r>
              <w:rPr>
                <w:rFonts w:ascii="Times New Roman" w:hAnsi="Times New Roman"/>
                <w:sz w:val="20"/>
              </w:rPr>
              <w:t>Artificial Intelligence</w:t>
            </w:r>
          </w:p>
        </w:tc>
      </w:tr>
      <w:tr>
        <w:tc>
          <w:tcPr>
            <w:tcW w:type="dxa" w:w="4680"/>
            <w:shd w:fill="F8FAFC"/>
          </w:tcPr>
          <w:p>
            <w:pPr>
              <w:jc w:val="left"/>
            </w:pPr>
            <w:r>
              <w:rPr>
                <w:rFonts w:ascii="Times New Roman" w:hAnsi="Times New Roman"/>
                <w:sz w:val="20"/>
              </w:rPr>
              <w:t>AUC</w:t>
            </w:r>
          </w:p>
        </w:tc>
        <w:tc>
          <w:tcPr>
            <w:tcW w:type="dxa" w:w="4680"/>
            <w:shd w:fill="F8FAFC"/>
          </w:tcPr>
          <w:p>
            <w:pPr>
              <w:jc w:val="center"/>
            </w:pPr>
            <w:r>
              <w:rPr>
                <w:rFonts w:ascii="Times New Roman" w:hAnsi="Times New Roman"/>
                <w:sz w:val="20"/>
              </w:rPr>
              <w:t>Area Under the Curve</w:t>
            </w:r>
          </w:p>
        </w:tc>
      </w:tr>
      <w:tr>
        <w:tc>
          <w:tcPr>
            <w:tcW w:type="dxa" w:w="4680"/>
            <w:shd w:fill="FFFFFF"/>
          </w:tcPr>
          <w:p>
            <w:pPr>
              <w:jc w:val="left"/>
            </w:pPr>
            <w:r>
              <w:rPr>
                <w:rFonts w:ascii="Times New Roman" w:hAnsi="Times New Roman"/>
                <w:sz w:val="20"/>
              </w:rPr>
              <w:t>BoN</w:t>
            </w:r>
          </w:p>
        </w:tc>
        <w:tc>
          <w:tcPr>
            <w:tcW w:type="dxa" w:w="4680"/>
            <w:shd w:fill="FFFFFF"/>
          </w:tcPr>
          <w:p>
            <w:pPr>
              <w:jc w:val="center"/>
            </w:pPr>
            <w:r>
              <w:rPr>
                <w:rFonts w:ascii="Times New Roman" w:hAnsi="Times New Roman"/>
                <w:sz w:val="20"/>
              </w:rPr>
              <w:t>Bank of Namibia</w:t>
            </w:r>
          </w:p>
        </w:tc>
      </w:tr>
      <w:tr>
        <w:tc>
          <w:tcPr>
            <w:tcW w:type="dxa" w:w="4680"/>
            <w:shd w:fill="F8FAFC"/>
          </w:tcPr>
          <w:p>
            <w:pPr>
              <w:jc w:val="left"/>
            </w:pPr>
            <w:r>
              <w:rPr>
                <w:rFonts w:ascii="Times New Roman" w:hAnsi="Times New Roman"/>
                <w:sz w:val="20"/>
              </w:rPr>
              <w:t>CART</w:t>
            </w:r>
          </w:p>
        </w:tc>
        <w:tc>
          <w:tcPr>
            <w:tcW w:type="dxa" w:w="4680"/>
            <w:shd w:fill="F8FAFC"/>
          </w:tcPr>
          <w:p>
            <w:pPr>
              <w:jc w:val="center"/>
            </w:pPr>
            <w:r>
              <w:rPr>
                <w:rFonts w:ascii="Times New Roman" w:hAnsi="Times New Roman"/>
                <w:sz w:val="20"/>
              </w:rPr>
              <w:t>Classification and Regression Trees</w:t>
            </w:r>
          </w:p>
        </w:tc>
      </w:tr>
      <w:tr>
        <w:tc>
          <w:tcPr>
            <w:tcW w:type="dxa" w:w="4680"/>
            <w:shd w:fill="FFFFFF"/>
          </w:tcPr>
          <w:p>
            <w:pPr>
              <w:jc w:val="left"/>
            </w:pPr>
            <w:r>
              <w:rPr>
                <w:rFonts w:ascii="Times New Roman" w:hAnsi="Times New Roman"/>
                <w:sz w:val="20"/>
              </w:rPr>
              <w:t>CDR</w:t>
            </w:r>
          </w:p>
        </w:tc>
        <w:tc>
          <w:tcPr>
            <w:tcW w:type="dxa" w:w="4680"/>
            <w:shd w:fill="FFFFFF"/>
          </w:tcPr>
          <w:p>
            <w:pPr>
              <w:jc w:val="center"/>
            </w:pPr>
            <w:r>
              <w:rPr>
                <w:rFonts w:ascii="Times New Roman" w:hAnsi="Times New Roman"/>
                <w:sz w:val="20"/>
              </w:rPr>
              <w:t>Call Detail Record</w:t>
            </w:r>
          </w:p>
        </w:tc>
      </w:tr>
      <w:tr>
        <w:tc>
          <w:tcPr>
            <w:tcW w:type="dxa" w:w="4680"/>
            <w:shd w:fill="F8FAFC"/>
          </w:tcPr>
          <w:p>
            <w:pPr>
              <w:jc w:val="left"/>
            </w:pPr>
            <w:r>
              <w:rPr>
                <w:rFonts w:ascii="Times New Roman" w:hAnsi="Times New Roman"/>
                <w:sz w:val="20"/>
              </w:rPr>
              <w:t>CRAN</w:t>
            </w:r>
          </w:p>
        </w:tc>
        <w:tc>
          <w:tcPr>
            <w:tcW w:type="dxa" w:w="4680"/>
            <w:shd w:fill="F8FAFC"/>
          </w:tcPr>
          <w:p>
            <w:pPr>
              <w:jc w:val="center"/>
            </w:pPr>
            <w:r>
              <w:rPr>
                <w:rFonts w:ascii="Times New Roman" w:hAnsi="Times New Roman"/>
                <w:sz w:val="20"/>
              </w:rPr>
              <w:t>Communications Regulatory Authority of Namibia</w:t>
            </w:r>
          </w:p>
        </w:tc>
      </w:tr>
      <w:tr>
        <w:tc>
          <w:tcPr>
            <w:tcW w:type="dxa" w:w="4680"/>
            <w:shd w:fill="FFFFFF"/>
          </w:tcPr>
          <w:p>
            <w:pPr>
              <w:jc w:val="left"/>
            </w:pPr>
            <w:r>
              <w:rPr>
                <w:rFonts w:ascii="Times New Roman" w:hAnsi="Times New Roman"/>
                <w:sz w:val="20"/>
              </w:rPr>
              <w:t>CV</w:t>
            </w:r>
          </w:p>
        </w:tc>
        <w:tc>
          <w:tcPr>
            <w:tcW w:type="dxa" w:w="4680"/>
            <w:shd w:fill="FFFFFF"/>
          </w:tcPr>
          <w:p>
            <w:pPr>
              <w:jc w:val="center"/>
            </w:pPr>
            <w:r>
              <w:rPr>
                <w:rFonts w:ascii="Times New Roman" w:hAnsi="Times New Roman"/>
                <w:sz w:val="20"/>
              </w:rPr>
              <w:t>Cross-Validation</w:t>
            </w:r>
          </w:p>
        </w:tc>
      </w:tr>
      <w:tr>
        <w:tc>
          <w:tcPr>
            <w:tcW w:type="dxa" w:w="4680"/>
            <w:shd w:fill="F8FAFC"/>
          </w:tcPr>
          <w:p>
            <w:pPr>
              <w:jc w:val="left"/>
            </w:pPr>
            <w:r>
              <w:rPr>
                <w:rFonts w:ascii="Times New Roman" w:hAnsi="Times New Roman"/>
                <w:sz w:val="20"/>
              </w:rPr>
              <w:t>DIR</w:t>
            </w:r>
          </w:p>
        </w:tc>
        <w:tc>
          <w:tcPr>
            <w:tcW w:type="dxa" w:w="4680"/>
            <w:shd w:fill="F8FAFC"/>
          </w:tcPr>
          <w:p>
            <w:pPr>
              <w:jc w:val="center"/>
            </w:pPr>
            <w:r>
              <w:rPr>
                <w:rFonts w:ascii="Times New Roman" w:hAnsi="Times New Roman"/>
                <w:sz w:val="20"/>
              </w:rPr>
              <w:t>Disparate Impact Ratio</w:t>
            </w:r>
          </w:p>
        </w:tc>
      </w:tr>
      <w:tr>
        <w:tc>
          <w:tcPr>
            <w:tcW w:type="dxa" w:w="4680"/>
            <w:shd w:fill="FFFFFF"/>
          </w:tcPr>
          <w:p>
            <w:pPr>
              <w:jc w:val="left"/>
            </w:pPr>
            <w:r>
              <w:rPr>
                <w:rFonts w:ascii="Times New Roman" w:hAnsi="Times New Roman"/>
                <w:sz w:val="20"/>
              </w:rPr>
              <w:t>DPD</w:t>
            </w:r>
          </w:p>
        </w:tc>
        <w:tc>
          <w:tcPr>
            <w:tcW w:type="dxa" w:w="4680"/>
            <w:shd w:fill="FFFFFF"/>
          </w:tcPr>
          <w:p>
            <w:pPr>
              <w:jc w:val="center"/>
            </w:pPr>
            <w:r>
              <w:rPr>
                <w:rFonts w:ascii="Times New Roman" w:hAnsi="Times New Roman"/>
                <w:sz w:val="20"/>
              </w:rPr>
              <w:t>Demographic Parity Difference</w:t>
            </w:r>
          </w:p>
        </w:tc>
      </w:tr>
      <w:tr>
        <w:tc>
          <w:tcPr>
            <w:tcW w:type="dxa" w:w="4680"/>
            <w:shd w:fill="F8FAFC"/>
          </w:tcPr>
          <w:p>
            <w:pPr>
              <w:jc w:val="left"/>
            </w:pPr>
            <w:r>
              <w:rPr>
                <w:rFonts w:ascii="Times New Roman" w:hAnsi="Times New Roman"/>
                <w:sz w:val="20"/>
              </w:rPr>
              <w:t>DT</w:t>
            </w:r>
          </w:p>
        </w:tc>
        <w:tc>
          <w:tcPr>
            <w:tcW w:type="dxa" w:w="4680"/>
            <w:shd w:fill="F8FAFC"/>
          </w:tcPr>
          <w:p>
            <w:pPr>
              <w:jc w:val="center"/>
            </w:pPr>
            <w:r>
              <w:rPr>
                <w:rFonts w:ascii="Times New Roman" w:hAnsi="Times New Roman"/>
                <w:sz w:val="20"/>
              </w:rPr>
              <w:t>Decision Tree</w:t>
            </w:r>
          </w:p>
        </w:tc>
      </w:tr>
      <w:tr>
        <w:tc>
          <w:tcPr>
            <w:tcW w:type="dxa" w:w="4680"/>
            <w:shd w:fill="FFFFFF"/>
          </w:tcPr>
          <w:p>
            <w:pPr>
              <w:jc w:val="left"/>
            </w:pPr>
            <w:r>
              <w:rPr>
                <w:rFonts w:ascii="Times New Roman" w:hAnsi="Times New Roman"/>
                <w:sz w:val="20"/>
              </w:rPr>
              <w:t>EEOC</w:t>
            </w:r>
          </w:p>
        </w:tc>
        <w:tc>
          <w:tcPr>
            <w:tcW w:type="dxa" w:w="4680"/>
            <w:shd w:fill="FFFFFF"/>
          </w:tcPr>
          <w:p>
            <w:pPr>
              <w:jc w:val="center"/>
            </w:pPr>
            <w:r>
              <w:rPr>
                <w:rFonts w:ascii="Times New Roman" w:hAnsi="Times New Roman"/>
                <w:sz w:val="20"/>
              </w:rPr>
              <w:t>Equal Employment Opportunity Commission (United States)</w:t>
            </w:r>
          </w:p>
        </w:tc>
      </w:tr>
      <w:tr>
        <w:tc>
          <w:tcPr>
            <w:tcW w:type="dxa" w:w="4680"/>
            <w:shd w:fill="F8FAFC"/>
          </w:tcPr>
          <w:p>
            <w:pPr>
              <w:jc w:val="left"/>
            </w:pPr>
            <w:r>
              <w:rPr>
                <w:rFonts w:ascii="Times New Roman" w:hAnsi="Times New Roman"/>
                <w:sz w:val="20"/>
              </w:rPr>
              <w:t>EOD</w:t>
            </w:r>
          </w:p>
        </w:tc>
        <w:tc>
          <w:tcPr>
            <w:tcW w:type="dxa" w:w="4680"/>
            <w:shd w:fill="F8FAFC"/>
          </w:tcPr>
          <w:p>
            <w:pPr>
              <w:jc w:val="center"/>
            </w:pPr>
            <w:r>
              <w:rPr>
                <w:rFonts w:ascii="Times New Roman" w:hAnsi="Times New Roman"/>
                <w:sz w:val="20"/>
              </w:rPr>
              <w:t>Equal Opportunity Difference</w:t>
            </w:r>
          </w:p>
        </w:tc>
      </w:tr>
      <w:tr>
        <w:tc>
          <w:tcPr>
            <w:tcW w:type="dxa" w:w="4680"/>
            <w:shd w:fill="FFFFFF"/>
          </w:tcPr>
          <w:p>
            <w:pPr>
              <w:jc w:val="left"/>
            </w:pPr>
            <w:r>
              <w:rPr>
                <w:rFonts w:ascii="Times New Roman" w:hAnsi="Times New Roman"/>
                <w:sz w:val="20"/>
              </w:rPr>
              <w:t>FN</w:t>
            </w:r>
          </w:p>
        </w:tc>
        <w:tc>
          <w:tcPr>
            <w:tcW w:type="dxa" w:w="4680"/>
            <w:shd w:fill="FFFFFF"/>
          </w:tcPr>
          <w:p>
            <w:pPr>
              <w:jc w:val="center"/>
            </w:pPr>
            <w:r>
              <w:rPr>
                <w:rFonts w:ascii="Times New Roman" w:hAnsi="Times New Roman"/>
                <w:sz w:val="20"/>
              </w:rPr>
              <w:t>False Negative</w:t>
            </w:r>
          </w:p>
        </w:tc>
      </w:tr>
      <w:tr>
        <w:tc>
          <w:tcPr>
            <w:tcW w:type="dxa" w:w="4680"/>
            <w:shd w:fill="F8FAFC"/>
          </w:tcPr>
          <w:p>
            <w:pPr>
              <w:jc w:val="left"/>
            </w:pPr>
            <w:r>
              <w:rPr>
                <w:rFonts w:ascii="Times New Roman" w:hAnsi="Times New Roman"/>
                <w:sz w:val="20"/>
              </w:rPr>
              <w:t>FNR</w:t>
            </w:r>
          </w:p>
        </w:tc>
        <w:tc>
          <w:tcPr>
            <w:tcW w:type="dxa" w:w="4680"/>
            <w:shd w:fill="F8FAFC"/>
          </w:tcPr>
          <w:p>
            <w:pPr>
              <w:jc w:val="center"/>
            </w:pPr>
            <w:r>
              <w:rPr>
                <w:rFonts w:ascii="Times New Roman" w:hAnsi="Times New Roman"/>
                <w:sz w:val="20"/>
              </w:rPr>
              <w:t>False Negative Rate</w:t>
            </w:r>
          </w:p>
        </w:tc>
      </w:tr>
      <w:tr>
        <w:tc>
          <w:tcPr>
            <w:tcW w:type="dxa" w:w="4680"/>
            <w:shd w:fill="FFFFFF"/>
          </w:tcPr>
          <w:p>
            <w:pPr>
              <w:jc w:val="left"/>
            </w:pPr>
            <w:r>
              <w:rPr>
                <w:rFonts w:ascii="Times New Roman" w:hAnsi="Times New Roman"/>
                <w:sz w:val="20"/>
              </w:rPr>
              <w:t>FP</w:t>
            </w:r>
          </w:p>
        </w:tc>
        <w:tc>
          <w:tcPr>
            <w:tcW w:type="dxa" w:w="4680"/>
            <w:shd w:fill="FFFFFF"/>
          </w:tcPr>
          <w:p>
            <w:pPr>
              <w:jc w:val="center"/>
            </w:pPr>
            <w:r>
              <w:rPr>
                <w:rFonts w:ascii="Times New Roman" w:hAnsi="Times New Roman"/>
                <w:sz w:val="20"/>
              </w:rPr>
              <w:t>False Positive</w:t>
            </w:r>
          </w:p>
        </w:tc>
      </w:tr>
      <w:tr>
        <w:tc>
          <w:tcPr>
            <w:tcW w:type="dxa" w:w="4680"/>
            <w:shd w:fill="F8FAFC"/>
          </w:tcPr>
          <w:p>
            <w:pPr>
              <w:jc w:val="left"/>
            </w:pPr>
            <w:r>
              <w:rPr>
                <w:rFonts w:ascii="Times New Roman" w:hAnsi="Times New Roman"/>
                <w:sz w:val="20"/>
              </w:rPr>
              <w:t>FPR</w:t>
            </w:r>
          </w:p>
        </w:tc>
        <w:tc>
          <w:tcPr>
            <w:tcW w:type="dxa" w:w="4680"/>
            <w:shd w:fill="F8FAFC"/>
          </w:tcPr>
          <w:p>
            <w:pPr>
              <w:jc w:val="center"/>
            </w:pPr>
            <w:r>
              <w:rPr>
                <w:rFonts w:ascii="Times New Roman" w:hAnsi="Times New Roman"/>
                <w:sz w:val="20"/>
              </w:rPr>
              <w:t>False Positive Rate</w:t>
            </w:r>
          </w:p>
        </w:tc>
      </w:tr>
      <w:tr>
        <w:tc>
          <w:tcPr>
            <w:tcW w:type="dxa" w:w="4680"/>
            <w:shd w:fill="FFFFFF"/>
          </w:tcPr>
          <w:p>
            <w:pPr>
              <w:jc w:val="left"/>
            </w:pPr>
            <w:r>
              <w:rPr>
                <w:rFonts w:ascii="Times New Roman" w:hAnsi="Times New Roman"/>
                <w:sz w:val="20"/>
              </w:rPr>
              <w:t>GNN</w:t>
            </w:r>
          </w:p>
        </w:tc>
        <w:tc>
          <w:tcPr>
            <w:tcW w:type="dxa" w:w="4680"/>
            <w:shd w:fill="FFFFFF"/>
          </w:tcPr>
          <w:p>
            <w:pPr>
              <w:jc w:val="center"/>
            </w:pPr>
            <w:r>
              <w:rPr>
                <w:rFonts w:ascii="Times New Roman" w:hAnsi="Times New Roman"/>
                <w:sz w:val="20"/>
              </w:rPr>
              <w:t>Graph Neural Network</w:t>
            </w:r>
          </w:p>
        </w:tc>
      </w:tr>
      <w:tr>
        <w:tc>
          <w:tcPr>
            <w:tcW w:type="dxa" w:w="4680"/>
            <w:shd w:fill="F8FAFC"/>
          </w:tcPr>
          <w:p>
            <w:pPr>
              <w:jc w:val="left"/>
            </w:pPr>
            <w:r>
              <w:rPr>
                <w:rFonts w:ascii="Times New Roman" w:hAnsi="Times New Roman"/>
                <w:sz w:val="20"/>
              </w:rPr>
              <w:t>IV</w:t>
            </w:r>
          </w:p>
        </w:tc>
        <w:tc>
          <w:tcPr>
            <w:tcW w:type="dxa" w:w="4680"/>
            <w:shd w:fill="F8FAFC"/>
          </w:tcPr>
          <w:p>
            <w:pPr>
              <w:jc w:val="center"/>
            </w:pPr>
            <w:r>
              <w:rPr>
                <w:rFonts w:ascii="Times New Roman" w:hAnsi="Times New Roman"/>
                <w:sz w:val="20"/>
              </w:rPr>
              <w:t>Information Value</w:t>
            </w:r>
          </w:p>
        </w:tc>
      </w:tr>
      <w:tr>
        <w:tc>
          <w:tcPr>
            <w:tcW w:type="dxa" w:w="4680"/>
            <w:shd w:fill="FFFFFF"/>
          </w:tcPr>
          <w:p>
            <w:pPr>
              <w:jc w:val="left"/>
            </w:pPr>
            <w:r>
              <w:rPr>
                <w:rFonts w:ascii="Times New Roman" w:hAnsi="Times New Roman"/>
                <w:sz w:val="20"/>
              </w:rPr>
              <w:t>IVR</w:t>
            </w:r>
          </w:p>
        </w:tc>
        <w:tc>
          <w:tcPr>
            <w:tcW w:type="dxa" w:w="4680"/>
            <w:shd w:fill="FFFFFF"/>
          </w:tcPr>
          <w:p>
            <w:pPr>
              <w:jc w:val="center"/>
            </w:pPr>
            <w:r>
              <w:rPr>
                <w:rFonts w:ascii="Times New Roman" w:hAnsi="Times New Roman"/>
                <w:sz w:val="20"/>
              </w:rPr>
              <w:t>Interactive Voice Response</w:t>
            </w:r>
          </w:p>
        </w:tc>
      </w:tr>
      <w:tr>
        <w:tc>
          <w:tcPr>
            <w:tcW w:type="dxa" w:w="4680"/>
            <w:shd w:fill="F8FAFC"/>
          </w:tcPr>
          <w:p>
            <w:pPr>
              <w:jc w:val="left"/>
            </w:pPr>
            <w:r>
              <w:rPr>
                <w:rFonts w:ascii="Times New Roman" w:hAnsi="Times New Roman"/>
                <w:sz w:val="20"/>
              </w:rPr>
              <w:t>LIME</w:t>
            </w:r>
          </w:p>
        </w:tc>
        <w:tc>
          <w:tcPr>
            <w:tcW w:type="dxa" w:w="4680"/>
            <w:shd w:fill="F8FAFC"/>
          </w:tcPr>
          <w:p>
            <w:pPr>
              <w:jc w:val="center"/>
            </w:pPr>
            <w:r>
              <w:rPr>
                <w:rFonts w:ascii="Times New Roman" w:hAnsi="Times New Roman"/>
                <w:sz w:val="20"/>
              </w:rPr>
              <w:t>Local Interpretable Model-agnostic Explanations</w:t>
            </w:r>
          </w:p>
        </w:tc>
      </w:tr>
      <w:tr>
        <w:tc>
          <w:tcPr>
            <w:tcW w:type="dxa" w:w="4680"/>
            <w:shd w:fill="FFFFFF"/>
          </w:tcPr>
          <w:p>
            <w:pPr>
              <w:jc w:val="left"/>
            </w:pPr>
            <w:r>
              <w:rPr>
                <w:rFonts w:ascii="Times New Roman" w:hAnsi="Times New Roman"/>
                <w:sz w:val="20"/>
              </w:rPr>
              <w:t>ML</w:t>
            </w:r>
          </w:p>
        </w:tc>
        <w:tc>
          <w:tcPr>
            <w:tcW w:type="dxa" w:w="4680"/>
            <w:shd w:fill="FFFFFF"/>
          </w:tcPr>
          <w:p>
            <w:pPr>
              <w:jc w:val="center"/>
            </w:pPr>
            <w:r>
              <w:rPr>
                <w:rFonts w:ascii="Times New Roman" w:hAnsi="Times New Roman"/>
                <w:sz w:val="20"/>
              </w:rPr>
              <w:t>Machine Learning</w:t>
            </w:r>
          </w:p>
        </w:tc>
      </w:tr>
      <w:tr>
        <w:tc>
          <w:tcPr>
            <w:tcW w:type="dxa" w:w="4680"/>
            <w:shd w:fill="F8FAFC"/>
          </w:tcPr>
          <w:p>
            <w:pPr>
              <w:jc w:val="left"/>
            </w:pPr>
            <w:r>
              <w:rPr>
                <w:rFonts w:ascii="Times New Roman" w:hAnsi="Times New Roman"/>
                <w:sz w:val="20"/>
              </w:rPr>
              <w:t>MNO</w:t>
            </w:r>
          </w:p>
        </w:tc>
        <w:tc>
          <w:tcPr>
            <w:tcW w:type="dxa" w:w="4680"/>
            <w:shd w:fill="F8FAFC"/>
          </w:tcPr>
          <w:p>
            <w:pPr>
              <w:jc w:val="center"/>
            </w:pPr>
            <w:r>
              <w:rPr>
                <w:rFonts w:ascii="Times New Roman" w:hAnsi="Times New Roman"/>
                <w:sz w:val="20"/>
              </w:rPr>
              <w:t>Mobile Network Operator</w:t>
            </w:r>
          </w:p>
        </w:tc>
      </w:tr>
      <w:tr>
        <w:tc>
          <w:tcPr>
            <w:tcW w:type="dxa" w:w="4680"/>
            <w:shd w:fill="FFFFFF"/>
          </w:tcPr>
          <w:p>
            <w:pPr>
              <w:jc w:val="left"/>
            </w:pPr>
            <w:r>
              <w:rPr>
                <w:rFonts w:ascii="Times New Roman" w:hAnsi="Times New Roman"/>
                <w:sz w:val="20"/>
              </w:rPr>
              <w:t>MSME</w:t>
            </w:r>
          </w:p>
        </w:tc>
        <w:tc>
          <w:tcPr>
            <w:tcW w:type="dxa" w:w="4680"/>
            <w:shd w:fill="FFFFFF"/>
          </w:tcPr>
          <w:p>
            <w:pPr>
              <w:jc w:val="center"/>
            </w:pPr>
            <w:r>
              <w:rPr>
                <w:rFonts w:ascii="Times New Roman" w:hAnsi="Times New Roman"/>
                <w:sz w:val="20"/>
              </w:rPr>
              <w:t>Micro, Small, and Medium Enterprises</w:t>
            </w:r>
          </w:p>
        </w:tc>
      </w:tr>
      <w:tr>
        <w:tc>
          <w:tcPr>
            <w:tcW w:type="dxa" w:w="4680"/>
            <w:shd w:fill="F8FAFC"/>
          </w:tcPr>
          <w:p>
            <w:pPr>
              <w:jc w:val="left"/>
            </w:pPr>
            <w:r>
              <w:rPr>
                <w:rFonts w:ascii="Times New Roman" w:hAnsi="Times New Roman"/>
                <w:sz w:val="20"/>
              </w:rPr>
              <w:t>MTC</w:t>
            </w:r>
          </w:p>
        </w:tc>
        <w:tc>
          <w:tcPr>
            <w:tcW w:type="dxa" w:w="4680"/>
            <w:shd w:fill="F8FAFC"/>
          </w:tcPr>
          <w:p>
            <w:pPr>
              <w:jc w:val="center"/>
            </w:pPr>
            <w:r>
              <w:rPr>
                <w:rFonts w:ascii="Times New Roman" w:hAnsi="Times New Roman"/>
                <w:sz w:val="20"/>
              </w:rPr>
              <w:t>Mobile Telecommunications Limited (Namibia)</w:t>
            </w:r>
          </w:p>
        </w:tc>
      </w:tr>
      <w:tr>
        <w:tc>
          <w:tcPr>
            <w:tcW w:type="dxa" w:w="4680"/>
            <w:shd w:fill="FFFFFF"/>
          </w:tcPr>
          <w:p>
            <w:pPr>
              <w:jc w:val="left"/>
            </w:pPr>
            <w:r>
              <w:rPr>
                <w:rFonts w:ascii="Times New Roman" w:hAnsi="Times New Roman"/>
                <w:sz w:val="20"/>
              </w:rPr>
              <w:t>NAMFISA</w:t>
            </w:r>
          </w:p>
        </w:tc>
        <w:tc>
          <w:tcPr>
            <w:tcW w:type="dxa" w:w="4680"/>
            <w:shd w:fill="FFFFFF"/>
          </w:tcPr>
          <w:p>
            <w:pPr>
              <w:jc w:val="center"/>
            </w:pPr>
            <w:r>
              <w:rPr>
                <w:rFonts w:ascii="Times New Roman" w:hAnsi="Times New Roman"/>
                <w:sz w:val="20"/>
              </w:rPr>
              <w:t>Namibia Financial Institutions Supervisory Authority</w:t>
            </w:r>
          </w:p>
        </w:tc>
      </w:tr>
      <w:tr>
        <w:tc>
          <w:tcPr>
            <w:tcW w:type="dxa" w:w="4680"/>
            <w:shd w:fill="F8FAFC"/>
          </w:tcPr>
          <w:p>
            <w:pPr>
              <w:jc w:val="left"/>
            </w:pPr>
            <w:r>
              <w:rPr>
                <w:rFonts w:ascii="Times New Roman" w:hAnsi="Times New Roman"/>
                <w:sz w:val="20"/>
              </w:rPr>
              <w:t>NFIS</w:t>
            </w:r>
          </w:p>
        </w:tc>
        <w:tc>
          <w:tcPr>
            <w:tcW w:type="dxa" w:w="4680"/>
            <w:shd w:fill="F8FAFC"/>
          </w:tcPr>
          <w:p>
            <w:pPr>
              <w:jc w:val="center"/>
            </w:pPr>
            <w:r>
              <w:rPr>
                <w:rFonts w:ascii="Times New Roman" w:hAnsi="Times New Roman"/>
                <w:sz w:val="20"/>
              </w:rPr>
              <w:t>National Financial Inclusion Survey (Namibia)</w:t>
            </w:r>
          </w:p>
        </w:tc>
      </w:tr>
      <w:tr>
        <w:tc>
          <w:tcPr>
            <w:tcW w:type="dxa" w:w="4680"/>
            <w:shd w:fill="FFFFFF"/>
          </w:tcPr>
          <w:p>
            <w:pPr>
              <w:jc w:val="left"/>
            </w:pPr>
            <w:r>
              <w:rPr>
                <w:rFonts w:ascii="Times New Roman" w:hAnsi="Times New Roman"/>
                <w:sz w:val="20"/>
              </w:rPr>
              <w:t>NFSTS</w:t>
            </w:r>
          </w:p>
        </w:tc>
        <w:tc>
          <w:tcPr>
            <w:tcW w:type="dxa" w:w="4680"/>
            <w:shd w:fill="FFFFFF"/>
          </w:tcPr>
          <w:p>
            <w:pPr>
              <w:jc w:val="center"/>
            </w:pPr>
            <w:r>
              <w:rPr>
                <w:rFonts w:ascii="Times New Roman" w:hAnsi="Times New Roman"/>
                <w:sz w:val="20"/>
              </w:rPr>
              <w:t>National Financial Sector Transformation Strategy (2025–2035)</w:t>
            </w:r>
          </w:p>
        </w:tc>
      </w:tr>
      <w:tr>
        <w:tc>
          <w:tcPr>
            <w:tcW w:type="dxa" w:w="4680"/>
            <w:shd w:fill="F8FAFC"/>
          </w:tcPr>
          <w:p>
            <w:pPr>
              <w:jc w:val="left"/>
            </w:pPr>
            <w:r>
              <w:rPr>
                <w:rFonts w:ascii="Times New Roman" w:hAnsi="Times New Roman"/>
                <w:sz w:val="20"/>
              </w:rPr>
              <w:t>NPL</w:t>
            </w:r>
          </w:p>
        </w:tc>
        <w:tc>
          <w:tcPr>
            <w:tcW w:type="dxa" w:w="4680"/>
            <w:shd w:fill="F8FAFC"/>
          </w:tcPr>
          <w:p>
            <w:pPr>
              <w:jc w:val="center"/>
            </w:pPr>
            <w:r>
              <w:rPr>
                <w:rFonts w:ascii="Times New Roman" w:hAnsi="Times New Roman"/>
                <w:sz w:val="20"/>
              </w:rPr>
              <w:t>Non-Performing Loan</w:t>
            </w:r>
          </w:p>
        </w:tc>
      </w:tr>
      <w:tr>
        <w:tc>
          <w:tcPr>
            <w:tcW w:type="dxa" w:w="4680"/>
            <w:shd w:fill="FFFFFF"/>
          </w:tcPr>
          <w:p>
            <w:pPr>
              <w:jc w:val="left"/>
            </w:pPr>
            <w:r>
              <w:rPr>
                <w:rFonts w:ascii="Times New Roman" w:hAnsi="Times New Roman"/>
                <w:sz w:val="20"/>
              </w:rPr>
              <w:t>NSA</w:t>
            </w:r>
          </w:p>
        </w:tc>
        <w:tc>
          <w:tcPr>
            <w:tcW w:type="dxa" w:w="4680"/>
            <w:shd w:fill="FFFFFF"/>
          </w:tcPr>
          <w:p>
            <w:pPr>
              <w:jc w:val="center"/>
            </w:pPr>
            <w:r>
              <w:rPr>
                <w:rFonts w:ascii="Times New Roman" w:hAnsi="Times New Roman"/>
                <w:sz w:val="20"/>
              </w:rPr>
              <w:t>Namibia Statistics Agency</w:t>
            </w:r>
          </w:p>
        </w:tc>
      </w:tr>
      <w:tr>
        <w:tc>
          <w:tcPr>
            <w:tcW w:type="dxa" w:w="4680"/>
            <w:shd w:fill="F8FAFC"/>
          </w:tcPr>
          <w:p>
            <w:pPr>
              <w:jc w:val="left"/>
            </w:pPr>
            <w:r>
              <w:rPr>
                <w:rFonts w:ascii="Times New Roman" w:hAnsi="Times New Roman"/>
                <w:sz w:val="20"/>
              </w:rPr>
              <w:t>PD</w:t>
            </w:r>
          </w:p>
        </w:tc>
        <w:tc>
          <w:tcPr>
            <w:tcW w:type="dxa" w:w="4680"/>
            <w:shd w:fill="F8FAFC"/>
          </w:tcPr>
          <w:p>
            <w:pPr>
              <w:jc w:val="center"/>
            </w:pPr>
            <w:r>
              <w:rPr>
                <w:rFonts w:ascii="Times New Roman" w:hAnsi="Times New Roman"/>
                <w:sz w:val="20"/>
              </w:rPr>
              <w:t>Probability of Default</w:t>
            </w:r>
          </w:p>
        </w:tc>
      </w:tr>
      <w:tr>
        <w:tc>
          <w:tcPr>
            <w:tcW w:type="dxa" w:w="4680"/>
            <w:shd w:fill="FFFFFF"/>
          </w:tcPr>
          <w:p>
            <w:pPr>
              <w:jc w:val="left"/>
            </w:pPr>
            <w:r>
              <w:rPr>
                <w:rFonts w:ascii="Times New Roman" w:hAnsi="Times New Roman"/>
                <w:sz w:val="20"/>
              </w:rPr>
              <w:t>PR-AUC</w:t>
            </w:r>
          </w:p>
        </w:tc>
        <w:tc>
          <w:tcPr>
            <w:tcW w:type="dxa" w:w="4680"/>
            <w:shd w:fill="FFFFFF"/>
          </w:tcPr>
          <w:p>
            <w:pPr>
              <w:jc w:val="center"/>
            </w:pPr>
            <w:r>
              <w:rPr>
                <w:rFonts w:ascii="Times New Roman" w:hAnsi="Times New Roman"/>
                <w:sz w:val="20"/>
              </w:rPr>
              <w:t>Precision-Recall Area Under the Curve</w:t>
            </w:r>
          </w:p>
        </w:tc>
      </w:tr>
      <w:tr>
        <w:tc>
          <w:tcPr>
            <w:tcW w:type="dxa" w:w="4680"/>
            <w:shd w:fill="F8FAFC"/>
          </w:tcPr>
          <w:p>
            <w:pPr>
              <w:jc w:val="left"/>
            </w:pPr>
            <w:r>
              <w:rPr>
                <w:rFonts w:ascii="Times New Roman" w:hAnsi="Times New Roman"/>
                <w:sz w:val="20"/>
              </w:rPr>
              <w:t>RF</w:t>
            </w:r>
          </w:p>
        </w:tc>
        <w:tc>
          <w:tcPr>
            <w:tcW w:type="dxa" w:w="4680"/>
            <w:shd w:fill="F8FAFC"/>
          </w:tcPr>
          <w:p>
            <w:pPr>
              <w:jc w:val="center"/>
            </w:pPr>
            <w:r>
              <w:rPr>
                <w:rFonts w:ascii="Times New Roman" w:hAnsi="Times New Roman"/>
                <w:sz w:val="20"/>
              </w:rPr>
              <w:t>Random Forest</w:t>
            </w:r>
          </w:p>
        </w:tc>
      </w:tr>
      <w:tr>
        <w:tc>
          <w:tcPr>
            <w:tcW w:type="dxa" w:w="4680"/>
            <w:shd w:fill="FFFFFF"/>
          </w:tcPr>
          <w:p>
            <w:pPr>
              <w:jc w:val="left"/>
            </w:pPr>
            <w:r>
              <w:rPr>
                <w:rFonts w:ascii="Times New Roman" w:hAnsi="Times New Roman"/>
                <w:sz w:val="20"/>
              </w:rPr>
              <w:t>ROC</w:t>
            </w:r>
          </w:p>
        </w:tc>
        <w:tc>
          <w:tcPr>
            <w:tcW w:type="dxa" w:w="4680"/>
            <w:shd w:fill="FFFFFF"/>
          </w:tcPr>
          <w:p>
            <w:pPr>
              <w:jc w:val="center"/>
            </w:pPr>
            <w:r>
              <w:rPr>
                <w:rFonts w:ascii="Times New Roman" w:hAnsi="Times New Roman"/>
                <w:sz w:val="20"/>
              </w:rPr>
              <w:t>Receiver Operating Characteristic</w:t>
            </w:r>
          </w:p>
        </w:tc>
      </w:tr>
      <w:tr>
        <w:tc>
          <w:tcPr>
            <w:tcW w:type="dxa" w:w="4680"/>
            <w:shd w:fill="F8FAFC"/>
          </w:tcPr>
          <w:p>
            <w:pPr>
              <w:jc w:val="left"/>
            </w:pPr>
            <w:r>
              <w:rPr>
                <w:rFonts w:ascii="Times New Roman" w:hAnsi="Times New Roman"/>
                <w:sz w:val="20"/>
              </w:rPr>
              <w:t>SHAP</w:t>
            </w:r>
          </w:p>
        </w:tc>
        <w:tc>
          <w:tcPr>
            <w:tcW w:type="dxa" w:w="4680"/>
            <w:shd w:fill="F8FAFC"/>
          </w:tcPr>
          <w:p>
            <w:pPr>
              <w:jc w:val="center"/>
            </w:pPr>
            <w:r>
              <w:rPr>
                <w:rFonts w:ascii="Times New Roman" w:hAnsi="Times New Roman"/>
                <w:sz w:val="20"/>
              </w:rPr>
              <w:t>SHapley Additive exPlanations</w:t>
            </w:r>
          </w:p>
        </w:tc>
      </w:tr>
      <w:tr>
        <w:tc>
          <w:tcPr>
            <w:tcW w:type="dxa" w:w="4680"/>
            <w:shd w:fill="FFFFFF"/>
          </w:tcPr>
          <w:p>
            <w:pPr>
              <w:jc w:val="left"/>
            </w:pPr>
            <w:r>
              <w:rPr>
                <w:rFonts w:ascii="Times New Roman" w:hAnsi="Times New Roman"/>
                <w:sz w:val="20"/>
              </w:rPr>
              <w:t>SIM</w:t>
            </w:r>
          </w:p>
        </w:tc>
        <w:tc>
          <w:tcPr>
            <w:tcW w:type="dxa" w:w="4680"/>
            <w:shd w:fill="FFFFFF"/>
          </w:tcPr>
          <w:p>
            <w:pPr>
              <w:jc w:val="center"/>
            </w:pPr>
            <w:r>
              <w:rPr>
                <w:rFonts w:ascii="Times New Roman" w:hAnsi="Times New Roman"/>
                <w:sz w:val="20"/>
              </w:rPr>
              <w:t>Subscriber Identity Module</w:t>
            </w:r>
          </w:p>
        </w:tc>
      </w:tr>
      <w:tr>
        <w:tc>
          <w:tcPr>
            <w:tcW w:type="dxa" w:w="4680"/>
            <w:shd w:fill="F8FAFC"/>
          </w:tcPr>
          <w:p>
            <w:pPr>
              <w:jc w:val="left"/>
            </w:pPr>
            <w:r>
              <w:rPr>
                <w:rFonts w:ascii="Times New Roman" w:hAnsi="Times New Roman"/>
                <w:sz w:val="20"/>
              </w:rPr>
              <w:t>STS</w:t>
            </w:r>
          </w:p>
        </w:tc>
        <w:tc>
          <w:tcPr>
            <w:tcW w:type="dxa" w:w="4680"/>
            <w:shd w:fill="F8FAFC"/>
          </w:tcPr>
          <w:p>
            <w:pPr>
              <w:jc w:val="center"/>
            </w:pPr>
            <w:r>
              <w:rPr>
                <w:rFonts w:ascii="Times New Roman" w:hAnsi="Times New Roman"/>
                <w:sz w:val="20"/>
              </w:rPr>
              <w:t>Science and Technology Studies</w:t>
            </w:r>
          </w:p>
        </w:tc>
      </w:tr>
      <w:tr>
        <w:tc>
          <w:tcPr>
            <w:tcW w:type="dxa" w:w="4680"/>
            <w:shd w:fill="FFFFFF"/>
          </w:tcPr>
          <w:p>
            <w:pPr>
              <w:jc w:val="left"/>
            </w:pPr>
            <w:r>
              <w:rPr>
                <w:rFonts w:ascii="Times New Roman" w:hAnsi="Times New Roman"/>
                <w:sz w:val="20"/>
              </w:rPr>
              <w:t>TN</w:t>
            </w:r>
          </w:p>
        </w:tc>
        <w:tc>
          <w:tcPr>
            <w:tcW w:type="dxa" w:w="4680"/>
            <w:shd w:fill="FFFFFF"/>
          </w:tcPr>
          <w:p>
            <w:pPr>
              <w:jc w:val="center"/>
            </w:pPr>
            <w:r>
              <w:rPr>
                <w:rFonts w:ascii="Times New Roman" w:hAnsi="Times New Roman"/>
                <w:sz w:val="20"/>
              </w:rPr>
              <w:t>True Negative</w:t>
            </w:r>
          </w:p>
        </w:tc>
      </w:tr>
      <w:tr>
        <w:tc>
          <w:tcPr>
            <w:tcW w:type="dxa" w:w="4680"/>
            <w:shd w:fill="F8FAFC"/>
          </w:tcPr>
          <w:p>
            <w:pPr>
              <w:jc w:val="left"/>
            </w:pPr>
            <w:r>
              <w:rPr>
                <w:rFonts w:ascii="Times New Roman" w:hAnsi="Times New Roman"/>
                <w:sz w:val="20"/>
              </w:rPr>
              <w:t>TP</w:t>
            </w:r>
          </w:p>
        </w:tc>
        <w:tc>
          <w:tcPr>
            <w:tcW w:type="dxa" w:w="4680"/>
            <w:shd w:fill="F8FAFC"/>
          </w:tcPr>
          <w:p>
            <w:pPr>
              <w:jc w:val="center"/>
            </w:pPr>
            <w:r>
              <w:rPr>
                <w:rFonts w:ascii="Times New Roman" w:hAnsi="Times New Roman"/>
                <w:sz w:val="20"/>
              </w:rPr>
              <w:t>True Positive</w:t>
            </w:r>
          </w:p>
        </w:tc>
      </w:tr>
      <w:tr>
        <w:tc>
          <w:tcPr>
            <w:tcW w:type="dxa" w:w="4680"/>
            <w:shd w:fill="FFFFFF"/>
          </w:tcPr>
          <w:p>
            <w:pPr>
              <w:jc w:val="left"/>
            </w:pPr>
            <w:r>
              <w:rPr>
                <w:rFonts w:ascii="Times New Roman" w:hAnsi="Times New Roman"/>
                <w:sz w:val="20"/>
              </w:rPr>
              <w:t>TPR</w:t>
            </w:r>
          </w:p>
        </w:tc>
        <w:tc>
          <w:tcPr>
            <w:tcW w:type="dxa" w:w="4680"/>
            <w:shd w:fill="FFFFFF"/>
          </w:tcPr>
          <w:p>
            <w:pPr>
              <w:jc w:val="center"/>
            </w:pPr>
            <w:r>
              <w:rPr>
                <w:rFonts w:ascii="Times New Roman" w:hAnsi="Times New Roman"/>
                <w:sz w:val="20"/>
              </w:rPr>
              <w:t>True Positive Rate</w:t>
            </w:r>
          </w:p>
        </w:tc>
      </w:tr>
      <w:tr>
        <w:tc>
          <w:tcPr>
            <w:tcW w:type="dxa" w:w="4680"/>
            <w:shd w:fill="F8FAFC"/>
          </w:tcPr>
          <w:p>
            <w:pPr>
              <w:jc w:val="left"/>
            </w:pPr>
            <w:r>
              <w:rPr>
                <w:rFonts w:ascii="Times New Roman" w:hAnsi="Times New Roman"/>
                <w:sz w:val="20"/>
              </w:rPr>
              <w:t>UNAM</w:t>
            </w:r>
          </w:p>
        </w:tc>
        <w:tc>
          <w:tcPr>
            <w:tcW w:type="dxa" w:w="4680"/>
            <w:shd w:fill="F8FAFC"/>
          </w:tcPr>
          <w:p>
            <w:pPr>
              <w:jc w:val="center"/>
            </w:pPr>
            <w:r>
              <w:rPr>
                <w:rFonts w:ascii="Times New Roman" w:hAnsi="Times New Roman"/>
                <w:sz w:val="20"/>
              </w:rPr>
              <w:t>University of Namibia</w:t>
            </w:r>
          </w:p>
        </w:tc>
      </w:tr>
      <w:tr>
        <w:tc>
          <w:tcPr>
            <w:tcW w:type="dxa" w:w="4680"/>
            <w:shd w:fill="FFFFFF"/>
          </w:tcPr>
          <w:p>
            <w:pPr>
              <w:jc w:val="left"/>
            </w:pPr>
            <w:r>
              <w:rPr>
                <w:rFonts w:ascii="Times New Roman" w:hAnsi="Times New Roman"/>
                <w:sz w:val="20"/>
              </w:rPr>
              <w:t>USSD</w:t>
            </w:r>
          </w:p>
        </w:tc>
        <w:tc>
          <w:tcPr>
            <w:tcW w:type="dxa" w:w="4680"/>
            <w:shd w:fill="FFFFFF"/>
          </w:tcPr>
          <w:p>
            <w:pPr>
              <w:jc w:val="center"/>
            </w:pPr>
            <w:r>
              <w:rPr>
                <w:rFonts w:ascii="Times New Roman" w:hAnsi="Times New Roman"/>
                <w:sz w:val="20"/>
              </w:rPr>
              <w:t>Unstructured Supplementary Service Data</w:t>
            </w:r>
          </w:p>
        </w:tc>
      </w:tr>
      <w:tr>
        <w:tc>
          <w:tcPr>
            <w:tcW w:type="dxa" w:w="4680"/>
            <w:shd w:fill="F8FAFC"/>
          </w:tcPr>
          <w:p>
            <w:pPr>
              <w:jc w:val="left"/>
            </w:pPr>
            <w:r>
              <w:rPr>
                <w:rFonts w:ascii="Times New Roman" w:hAnsi="Times New Roman"/>
                <w:sz w:val="20"/>
              </w:rPr>
              <w:t>WoE</w:t>
            </w:r>
          </w:p>
        </w:tc>
        <w:tc>
          <w:tcPr>
            <w:tcW w:type="dxa" w:w="4680"/>
            <w:shd w:fill="F8FAFC"/>
          </w:tcPr>
          <w:p>
            <w:pPr>
              <w:jc w:val="center"/>
            </w:pPr>
            <w:r>
              <w:rPr>
                <w:rFonts w:ascii="Times New Roman" w:hAnsi="Times New Roman"/>
                <w:sz w:val="20"/>
              </w:rPr>
              <w:t>Weight of Evidence</w:t>
            </w:r>
          </w:p>
        </w:tc>
      </w:tr>
      <w:tr>
        <w:tc>
          <w:tcPr>
            <w:tcW w:type="dxa" w:w="4680"/>
            <w:shd w:fill="FFFFFF"/>
          </w:tcPr>
          <w:p>
            <w:pPr>
              <w:jc w:val="left"/>
            </w:pPr>
            <w:r>
              <w:rPr>
                <w:rFonts w:ascii="Times New Roman" w:hAnsi="Times New Roman"/>
                <w:sz w:val="20"/>
              </w:rPr>
              <w:t>XAI</w:t>
            </w:r>
          </w:p>
        </w:tc>
        <w:tc>
          <w:tcPr>
            <w:tcW w:type="dxa" w:w="4680"/>
            <w:shd w:fill="FFFFFF"/>
          </w:tcPr>
          <w:p>
            <w:pPr>
              <w:jc w:val="center"/>
            </w:pPr>
            <w:r>
              <w:rPr>
                <w:rFonts w:ascii="Times New Roman" w:hAnsi="Times New Roman"/>
                <w:sz w:val="20"/>
              </w:rPr>
              <w:t>Explainable Artificial Intelligence</w:t>
            </w:r>
          </w:p>
        </w:tc>
      </w:tr>
      <w:tr>
        <w:tc>
          <w:tcPr>
            <w:tcW w:type="dxa" w:w="4680"/>
            <w:shd w:fill="F8FAFC"/>
          </w:tcPr>
          <w:p>
            <w:pPr>
              <w:jc w:val="left"/>
            </w:pPr>
            <w:r>
              <w:rPr>
                <w:rFonts w:ascii="Times New Roman" w:hAnsi="Times New Roman"/>
                <w:sz w:val="20"/>
              </w:rPr>
              <w:t>XGBoost</w:t>
            </w:r>
          </w:p>
        </w:tc>
        <w:tc>
          <w:tcPr>
            <w:tcW w:type="dxa" w:w="4680"/>
            <w:shd w:fill="F8FAFC"/>
          </w:tcPr>
          <w:p>
            <w:pPr>
              <w:jc w:val="center"/>
            </w:pPr>
            <w:r>
              <w:rPr>
                <w:rFonts w:ascii="Times New Roman" w:hAnsi="Times New Roman"/>
                <w:sz w:val="20"/>
              </w:rPr>
              <w:t>Extreme Gradient Boosting</w:t>
            </w:r>
          </w:p>
        </w:tc>
      </w:tr>
    </w:tbl>
    <w:p>
      <w:pPr>
        <w:spacing w:after="160"/>
      </w:pPr>
    </w:p>
    <w:p>
      <w:r>
        <w:br w:type="page"/>
      </w:r>
    </w:p>
    <w:p>
      <w:pPr>
        <w:keepNext/>
        <w:spacing w:before="360" w:after="240"/>
        <w:jc w:val="left"/>
      </w:pPr>
      <w:r>
        <w:rPr>
          <w:rFonts w:ascii="Times New Roman" w:hAnsi="Times New Roman"/>
          <w:b/>
          <w:color w:val="1E3A8A"/>
          <w:sz w:val="32"/>
        </w:rPr>
        <w:t>CHAPTER 1: INTRODUCTION</w:t>
      </w:r>
    </w:p>
    <w:p>
      <w:pPr>
        <w:keepNext/>
        <w:spacing w:before="280" w:after="120"/>
        <w:jc w:val="left"/>
      </w:pPr>
      <w:r>
        <w:rPr>
          <w:rFonts w:ascii="Times New Roman" w:hAnsi="Times New Roman"/>
          <w:b/>
          <w:color w:val="1E3A8A"/>
          <w:sz w:val="28"/>
        </w:rPr>
        <w:t>1.1 Introduction</w:t>
      </w:r>
    </w:p>
    <w:p>
      <w:pPr>
        <w:spacing w:line="360" w:lineRule="auto" w:after="120"/>
        <w:jc w:val="both"/>
      </w:pPr>
      <w:r>
        <w:rPr>
          <w:rFonts w:ascii="Times New Roman" w:hAnsi="Times New Roman"/>
          <w:b w:val="0"/>
          <w:i w:val="0"/>
          <w:sz w:val="24"/>
        </w:rPr>
        <w:t>In emerging economies, access to formal credit is universally recognized as a vital driver of micro-enterprise growth, household financial resilience, and poverty alleviation. In the Republic of Namibia, however, access to formal financial credit remains heavily skewed toward urban formal-sector wage earners, while the vast majority of informal traders, rural smallholders, and low-income citizens remain excluded. This study investigates how modern machine learning algorithms leveraging non-traditional mobile transactional and telecommunications behavioral data can overcome this credit gap accurately, transparently, and fairly within the regulatory environment established by the Bank of Namibia (BoN) Revised Fintech Innovation Regulatory Framework (2026).</w:t>
      </w:r>
    </w:p>
    <w:p>
      <w:pPr>
        <w:keepNext/>
        <w:spacing w:before="280" w:after="120"/>
        <w:jc w:val="left"/>
      </w:pPr>
      <w:r>
        <w:rPr>
          <w:rFonts w:ascii="Times New Roman" w:hAnsi="Times New Roman"/>
          <w:b/>
          <w:color w:val="1E3A8A"/>
          <w:sz w:val="28"/>
        </w:rPr>
        <w:t>1.2 Background of the Study</w:t>
      </w:r>
    </w:p>
    <w:p>
      <w:pPr>
        <w:spacing w:line="360" w:lineRule="auto" w:after="120"/>
        <w:jc w:val="both"/>
      </w:pPr>
      <w:r>
        <w:rPr>
          <w:rFonts w:ascii="Times New Roman" w:hAnsi="Times New Roman"/>
          <w:b w:val="0"/>
          <w:i w:val="0"/>
          <w:sz w:val="24"/>
        </w:rPr>
        <w:t>The Namibian financial sector is characterized by an acute structural dualism: a sophisticated commercial banking system coexists with an expansive, financially underserved informal economy. According to the National Financial Inclusion Survey (NFIS) conducted by the Namibia Statistics Agency (NSA, 2017), while transactional financial access has expanded through basic mobile wallets, over 77.3% of Namibian adults remain entirely excluded from formal credit. Commercial bank lending is severely restricted, with only 11.3% of rural adults and 8.6% of informal micro-enterprises possessing formal credit access.</w:t>
      </w:r>
    </w:p>
    <w:p>
      <w:pPr>
        <w:spacing w:line="360" w:lineRule="auto" w:after="120"/>
        <w:jc w:val="both"/>
      </w:pPr>
      <w:r>
        <w:rPr>
          <w:rFonts w:ascii="Times New Roman" w:hAnsi="Times New Roman"/>
          <w:b w:val="0"/>
          <w:i w:val="0"/>
          <w:sz w:val="24"/>
        </w:rPr>
        <w:t>Traditional banking institutions rely on legacy credit underwriting scorecards that mandate formal payslips, audited commercial accounting statements, registered credit bureau histories, and physical collateral (such as urban real estate). For Namibia's informal workforce—which constitutes approximately 34% of active employment—these evidentiary prerequisites represent an insurmountable barrier. Consequently, unbanked citizens are forced to rely on unregulated cash loan operators (omashikofolas), who exploit the liquidity void by charging usurious interest rates (30% to over 100% per month).</w:t>
      </w:r>
    </w:p>
    <w:p>
      <w:pPr>
        <w:spacing w:line="360" w:lineRule="auto" w:after="120"/>
        <w:jc w:val="both"/>
      </w:pPr>
      <w:r>
        <w:rPr>
          <w:rFonts w:ascii="Times New Roman" w:hAnsi="Times New Roman"/>
          <w:b w:val="0"/>
          <w:i w:val="0"/>
          <w:sz w:val="24"/>
        </w:rPr>
        <w:t>Simultaneously, telecommunications infrastructure has expanded rapidly. Mobile network operators—predominantly Mobile Telecommunications Limited (MTC) and Telecom Namibia (TN Mobile)—report mobile subscriber penetration rates exceeding 110% of the national population. Unbanked citizens routinely purchase airtime, transfer funds via Unstructured Supplementary Service Data (USSD), and maintain digital mobile wallets. This daily digital activity leaves fine-grained behavioral traces that econometric literature suggests encode valuable signals of creditworthiness, offering a viable path toward inclusive automated underwriting.</w:t>
      </w:r>
    </w:p>
    <w:p>
      <w:pPr>
        <w:keepNext/>
        <w:spacing w:before="280" w:after="120"/>
        <w:jc w:val="left"/>
      </w:pPr>
      <w:r>
        <w:rPr>
          <w:rFonts w:ascii="Times New Roman" w:hAnsi="Times New Roman"/>
          <w:b/>
          <w:color w:val="1E3A8A"/>
          <w:sz w:val="28"/>
        </w:rPr>
        <w:t>1.3 Problem Statement</w:t>
      </w:r>
    </w:p>
    <w:p>
      <w:pPr>
        <w:spacing w:line="360" w:lineRule="auto" w:after="120"/>
        <w:jc w:val="both"/>
      </w:pPr>
      <w:r>
        <w:rPr>
          <w:rFonts w:ascii="Times New Roman" w:hAnsi="Times New Roman"/>
          <w:b w:val="0"/>
          <w:i w:val="0"/>
          <w:sz w:val="24"/>
        </w:rPr>
        <w:t>The central problem investigated in this dissertation is the 'thin-file' financial exclusion paradox in the Namibian credit market: traditional credit scoring frameworks rely strictly on historical credit bureau records and formal collateral, creating a self-reinforcing barrier that locks out creditworthy informal, rural, and low-income borrowers. While non-traditional mobile transactional data offers an empirical bridge to assess these unbanked populations, non-linear machine learning models present substantial risks of algorithmic opacity ('black-box' decisions), demographic bias across protected sub-groups (gender, geography, business formalization), and regulatory misalignment under Namibian financial sector laws.</w:t>
      </w:r>
    </w:p>
    <w:p>
      <w:pPr>
        <w:keepNext/>
        <w:spacing w:before="280" w:after="120"/>
        <w:jc w:val="left"/>
      </w:pPr>
      <w:r>
        <w:rPr>
          <w:rFonts w:ascii="Times New Roman" w:hAnsi="Times New Roman"/>
          <w:b/>
          <w:color w:val="1E3A8A"/>
          <w:sz w:val="28"/>
        </w:rPr>
        <w:t>1.4 Aim of the Study</w:t>
      </w:r>
    </w:p>
    <w:p>
      <w:pPr>
        <w:spacing w:line="360" w:lineRule="auto" w:after="120"/>
        <w:jc w:val="both"/>
      </w:pPr>
      <w:r>
        <w:rPr>
          <w:rFonts w:ascii="Times New Roman" w:hAnsi="Times New Roman"/>
          <w:b w:val="0"/>
          <w:i w:val="0"/>
          <w:sz w:val="24"/>
        </w:rPr>
        <w:t>The overarching aim of this research is to design, develop, benchmark, explain, and audit a machine learning-based credit risk assessment prototype utilizing alternative transactional and telecommunications data for thin-file micro-borrowers in Namibia, establishing an operational underwriting model aligned with the Bank of Namibia's Regulatory Sandbox.</w:t>
      </w:r>
    </w:p>
    <w:p>
      <w:pPr>
        <w:keepNext/>
        <w:spacing w:before="280" w:after="120"/>
        <w:jc w:val="left"/>
      </w:pPr>
      <w:r>
        <w:rPr>
          <w:rFonts w:ascii="Times New Roman" w:hAnsi="Times New Roman"/>
          <w:b/>
          <w:color w:val="1E3A8A"/>
          <w:sz w:val="28"/>
        </w:rPr>
        <w:t>1.5 Research Objectives</w:t>
      </w:r>
    </w:p>
    <w:p>
      <w:pPr>
        <w:spacing w:line="360" w:lineRule="auto" w:after="120"/>
        <w:jc w:val="both"/>
      </w:pPr>
      <w:r>
        <w:rPr>
          <w:rFonts w:ascii="Times New Roman" w:hAnsi="Times New Roman"/>
          <w:b w:val="0"/>
          <w:i w:val="0"/>
          <w:sz w:val="24"/>
        </w:rPr>
        <w:t>To accomplish this aim, the study pursued five specific, measurable research objectives:</w:t>
      </w:r>
    </w:p>
    <w:p>
      <w:pPr>
        <w:spacing w:line="360" w:lineRule="auto" w:after="120"/>
        <w:jc w:val="both"/>
      </w:pPr>
      <w:r>
        <w:rPr>
          <w:rFonts w:ascii="Times New Roman" w:hAnsi="Times New Roman"/>
          <w:b w:val="0"/>
          <w:i w:val="0"/>
          <w:sz w:val="24"/>
        </w:rPr>
        <w:t>1. Objective 1: To design and implement a leak-free data processing and feature engineering pipeline that extracts behavioral, transactional, and stability features from non-traditional mobile telemetry.</w:t>
      </w:r>
    </w:p>
    <w:p>
      <w:pPr>
        <w:spacing w:line="360" w:lineRule="auto" w:after="120"/>
        <w:jc w:val="both"/>
      </w:pPr>
      <w:r>
        <w:rPr>
          <w:rFonts w:ascii="Times New Roman" w:hAnsi="Times New Roman"/>
          <w:b w:val="0"/>
          <w:i w:val="0"/>
          <w:sz w:val="24"/>
        </w:rPr>
        <w:t>2. Objective 2: To train, tune, and systematically benchmark four supervised learning algorithms—Logistic Regression, Decision Trees, Random Forest, and XGBoost—across discrimination, calibration, and cost-sensitive loss.</w:t>
      </w:r>
    </w:p>
    <w:p>
      <w:pPr>
        <w:spacing w:line="360" w:lineRule="auto" w:after="120"/>
        <w:jc w:val="both"/>
      </w:pPr>
      <w:r>
        <w:rPr>
          <w:rFonts w:ascii="Times New Roman" w:hAnsi="Times New Roman"/>
          <w:b w:val="0"/>
          <w:i w:val="0"/>
          <w:sz w:val="24"/>
        </w:rPr>
        <w:t>3. Objective 3: To execute paired DeLong statistical significance tests on holdout ROC-AUC metrics to determine whether non-linear ensemble models statistically outperform baseline scorecards.</w:t>
      </w:r>
    </w:p>
    <w:p>
      <w:pPr>
        <w:spacing w:line="360" w:lineRule="auto" w:after="120"/>
        <w:jc w:val="both"/>
      </w:pPr>
      <w:r>
        <w:rPr>
          <w:rFonts w:ascii="Times New Roman" w:hAnsi="Times New Roman"/>
          <w:b w:val="0"/>
          <w:i w:val="0"/>
          <w:sz w:val="24"/>
        </w:rPr>
        <w:t>4. Objective 4: To implement TreeSHAP (SHapley Additive exPlanations) to decompose model predictions globally and locally, generating compliant adverse-action reason codes for rejected applicants.</w:t>
      </w:r>
    </w:p>
    <w:p>
      <w:pPr>
        <w:spacing w:line="360" w:lineRule="auto" w:after="120"/>
        <w:jc w:val="both"/>
      </w:pPr>
      <w:r>
        <w:rPr>
          <w:rFonts w:ascii="Times New Roman" w:hAnsi="Times New Roman"/>
          <w:b w:val="0"/>
          <w:i w:val="0"/>
          <w:sz w:val="24"/>
        </w:rPr>
        <w:t>5. Objective 5: To audit baseline models for disparate impact across protected demographic sub-groups (gender, urban/rural location, and business registration status) under the international four-fifths rule, evaluate threshold-based mitigation, and synthesize actionable governance guidelines.</w:t>
      </w:r>
    </w:p>
    <w:p>
      <w:pPr>
        <w:keepNext/>
        <w:spacing w:before="280" w:after="120"/>
        <w:jc w:val="left"/>
      </w:pPr>
      <w:r>
        <w:rPr>
          <w:rFonts w:ascii="Times New Roman" w:hAnsi="Times New Roman"/>
          <w:b/>
          <w:color w:val="1E3A8A"/>
          <w:sz w:val="28"/>
        </w:rPr>
        <w:t>1.6 Research Questions</w:t>
      </w:r>
    </w:p>
    <w:p>
      <w:pPr>
        <w:spacing w:line="360" w:lineRule="auto" w:after="120"/>
        <w:jc w:val="both"/>
      </w:pPr>
      <w:r>
        <w:rPr>
          <w:rFonts w:ascii="Times New Roman" w:hAnsi="Times New Roman"/>
          <w:b w:val="0"/>
          <w:i w:val="0"/>
          <w:sz w:val="24"/>
        </w:rPr>
        <w:t>The research addressed the following primary and secondary research questions:</w:t>
      </w:r>
    </w:p>
    <w:p>
      <w:pPr>
        <w:spacing w:line="360" w:lineRule="auto" w:after="120"/>
        <w:jc w:val="both"/>
      </w:pPr>
      <w:r>
        <w:rPr>
          <w:rFonts w:ascii="Times New Roman" w:hAnsi="Times New Roman"/>
          <w:b w:val="0"/>
          <w:i w:val="0"/>
          <w:sz w:val="24"/>
        </w:rPr>
        <w:t>Primary Research Question (PRQ): To what extent can machine learning models leveraging alternative transactional and behavioral data accurately, transparently, and fairly predict credit default risk for underserved, thin-file borrowers, and how can such a framework be responsibly operationalized within Namibia's regulatory environment?</w:t>
      </w:r>
    </w:p>
    <w:p>
      <w:pPr>
        <w:spacing w:line="360" w:lineRule="auto" w:after="120"/>
        <w:jc w:val="both"/>
      </w:pPr>
      <w:r>
        <w:rPr>
          <w:rFonts w:ascii="Times New Roman" w:hAnsi="Times New Roman"/>
          <w:b w:val="0"/>
          <w:i w:val="0"/>
          <w:sz w:val="24"/>
        </w:rPr>
        <w:t>Secondary Research Questions (SRQs):</w:t>
      </w:r>
    </w:p>
    <w:p>
      <w:pPr>
        <w:spacing w:line="360" w:lineRule="auto" w:after="120"/>
        <w:jc w:val="both"/>
      </w:pPr>
      <w:r>
        <w:rPr>
          <w:rFonts w:ascii="Times New Roman" w:hAnsi="Times New Roman"/>
          <w:b w:val="0"/>
          <w:i w:val="0"/>
          <w:sz w:val="24"/>
        </w:rPr>
        <w:t>• SRQ 1: Which non-traditional behavioral, digital wallet, and telecom features provide statistically significant predictive signal for credit default risk in the absence of legacy credit bureau history?</w:t>
      </w:r>
    </w:p>
    <w:p>
      <w:pPr>
        <w:spacing w:line="360" w:lineRule="auto" w:after="120"/>
        <w:jc w:val="both"/>
      </w:pPr>
      <w:r>
        <w:rPr>
          <w:rFonts w:ascii="Times New Roman" w:hAnsi="Times New Roman"/>
          <w:b w:val="0"/>
          <w:i w:val="0"/>
          <w:sz w:val="24"/>
        </w:rPr>
        <w:t>• SRQ 2: How do non-linear ensemble algorithms (Random Forest, XGBoost) compare against interpretable baselines (Logistic Regression, Decision Trees) in terms of discriminatory power, cost-sensitive loss, and probability calibration?</w:t>
      </w:r>
    </w:p>
    <w:p>
      <w:pPr>
        <w:spacing w:line="360" w:lineRule="auto" w:after="120"/>
        <w:jc w:val="both"/>
      </w:pPr>
      <w:r>
        <w:rPr>
          <w:rFonts w:ascii="Times New Roman" w:hAnsi="Times New Roman"/>
          <w:b w:val="0"/>
          <w:i w:val="0"/>
          <w:sz w:val="24"/>
        </w:rPr>
        <w:t>• SRQ 3: Can post-hoc explainability techniques (TreeSHAP) provide faithful, case-level risk attributions that satisfy statutory adverse-action disclosure standards?</w:t>
      </w:r>
    </w:p>
    <w:p>
      <w:pPr>
        <w:spacing w:line="360" w:lineRule="auto" w:after="120"/>
        <w:jc w:val="both"/>
      </w:pPr>
      <w:r>
        <w:rPr>
          <w:rFonts w:ascii="Times New Roman" w:hAnsi="Times New Roman"/>
          <w:b w:val="0"/>
          <w:i w:val="0"/>
          <w:sz w:val="24"/>
        </w:rPr>
        <w:t>• SRQ 4: Do machine learning credit risk models trained on alternative data introduce or amplify disparate impact across protected demographic sub-populations, and can fairness-constrained post-processing reduce disparate outcomes?</w:t>
      </w:r>
    </w:p>
    <w:p>
      <w:pPr>
        <w:spacing w:line="360" w:lineRule="auto" w:after="120"/>
        <w:jc w:val="both"/>
      </w:pPr>
      <w:r>
        <w:rPr>
          <w:rFonts w:ascii="Times New Roman" w:hAnsi="Times New Roman"/>
          <w:b w:val="0"/>
          <w:i w:val="0"/>
          <w:sz w:val="24"/>
        </w:rPr>
        <w:t>• SRQ 5: How can the proposed alternative data credit risk framework be operationalized to comply with the testing covenants of the Bank of Namibia's Revised Fintech Innovation Regulatory Framework (2026)?</w:t>
      </w:r>
    </w:p>
    <w:p>
      <w:pPr>
        <w:keepNext/>
        <w:spacing w:before="280" w:after="120"/>
        <w:jc w:val="left"/>
      </w:pPr>
      <w:r>
        <w:rPr>
          <w:rFonts w:ascii="Times New Roman" w:hAnsi="Times New Roman"/>
          <w:b/>
          <w:color w:val="1E3A8A"/>
          <w:sz w:val="28"/>
        </w:rPr>
        <w:t>1.7 Significance of the Study</w:t>
      </w:r>
    </w:p>
    <w:p>
      <w:pPr>
        <w:spacing w:line="360" w:lineRule="auto" w:after="120"/>
        <w:jc w:val="both"/>
      </w:pPr>
      <w:r>
        <w:rPr>
          <w:rFonts w:ascii="Times New Roman" w:hAnsi="Times New Roman"/>
          <w:b w:val="0"/>
          <w:i w:val="0"/>
          <w:sz w:val="24"/>
        </w:rPr>
        <w:t>This dissertation delivers substantial contributions across academic, regulatory, and socio-economic domains:</w:t>
      </w:r>
    </w:p>
    <w:p>
      <w:pPr>
        <w:spacing w:line="360" w:lineRule="auto" w:after="120"/>
        <w:jc w:val="both"/>
      </w:pPr>
      <w:r>
        <w:rPr>
          <w:rFonts w:ascii="Times New Roman" w:hAnsi="Times New Roman"/>
          <w:b w:val="0"/>
          <w:i w:val="0"/>
          <w:sz w:val="24"/>
        </w:rPr>
        <w:t>• Academic &amp; Theoretical: Formulates the Calibration–Fairness–Inclusion Trilemma, establishing the fundamental trade-offs between commercial probability calibration, constitutional non-discrimination, and financial inclusion volume in emerging markets.</w:t>
      </w:r>
    </w:p>
    <w:p>
      <w:pPr>
        <w:spacing w:line="360" w:lineRule="auto" w:after="120"/>
        <w:jc w:val="both"/>
      </w:pPr>
      <w:r>
        <w:rPr>
          <w:rFonts w:ascii="Times New Roman" w:hAnsi="Times New Roman"/>
          <w:b w:val="0"/>
          <w:i w:val="0"/>
          <w:sz w:val="24"/>
        </w:rPr>
        <w:t>• Methodological: Validates the Triangulated Multi-Tier Dataset Strategy, providing a reproducible methodology for conducting rigorous machine learning research in data-scarce emerging economies without compromising institutional secrecy.</w:t>
      </w:r>
    </w:p>
    <w:p>
      <w:pPr>
        <w:spacing w:line="360" w:lineRule="auto" w:after="120"/>
        <w:jc w:val="both"/>
      </w:pPr>
      <w:r>
        <w:rPr>
          <w:rFonts w:ascii="Times New Roman" w:hAnsi="Times New Roman"/>
          <w:b w:val="0"/>
          <w:i w:val="0"/>
          <w:sz w:val="24"/>
        </w:rPr>
        <w:t>• Policy &amp; Regulatory: Provides the Bank of Namibia Fintech Supervision Unit and NAMFISA with the technical specifications, explainability templates, and fairness metrics required to draft a formal Algorithmic Credit Scoring Guidance Note.</w:t>
      </w:r>
    </w:p>
    <w:p>
      <w:pPr>
        <w:spacing w:line="360" w:lineRule="auto" w:after="120"/>
        <w:jc w:val="both"/>
      </w:pPr>
      <w:r>
        <w:rPr>
          <w:rFonts w:ascii="Times New Roman" w:hAnsi="Times New Roman"/>
          <w:b w:val="0"/>
          <w:i w:val="0"/>
          <w:sz w:val="24"/>
        </w:rPr>
        <w:t>• Socio-Economic: Provides the empirical foundation to expand affordable digital nano-loans to informal traders and rural smallholders, curbing dependence on predatory informal moneylenders.</w:t>
      </w:r>
    </w:p>
    <w:p>
      <w:pPr>
        <w:keepNext/>
        <w:spacing w:before="280" w:after="120"/>
        <w:jc w:val="left"/>
      </w:pPr>
      <w:r>
        <w:rPr>
          <w:rFonts w:ascii="Times New Roman" w:hAnsi="Times New Roman"/>
          <w:b/>
          <w:color w:val="1E3A8A"/>
          <w:sz w:val="28"/>
        </w:rPr>
        <w:t>1.8 Scope of the Study</w:t>
      </w:r>
    </w:p>
    <w:p>
      <w:pPr>
        <w:spacing w:line="360" w:lineRule="auto" w:after="120"/>
        <w:jc w:val="both"/>
      </w:pPr>
      <w:r>
        <w:rPr>
          <w:rFonts w:ascii="Times New Roman" w:hAnsi="Times New Roman"/>
          <w:b w:val="0"/>
          <w:i w:val="0"/>
          <w:sz w:val="24"/>
        </w:rPr>
        <w:t>The geographical and legal scope is bounded strictly by the Republic of Namibia. Macroeconomic default prevalence (3.93%) is calibrated to Bank of Namibia December 2025 benchmarks. The credit facility modeled is an unsecured digital micro-loan (N$100 to N$1,500 with a fixed 30-day single-bullet repayment tenure) matching the Tamba Maris USSD pilot in the BoN Regulatory Sandbox. Intrusive data sources (e.g., GPS trails, call recordings, social media contacts) were strictly excluded on ethical grounds.</w:t>
      </w:r>
    </w:p>
    <w:p>
      <w:pPr>
        <w:keepNext/>
        <w:spacing w:before="280" w:after="120"/>
        <w:jc w:val="left"/>
      </w:pPr>
      <w:r>
        <w:rPr>
          <w:rFonts w:ascii="Times New Roman" w:hAnsi="Times New Roman"/>
          <w:b/>
          <w:color w:val="1E3A8A"/>
          <w:sz w:val="28"/>
        </w:rPr>
        <w:t>1.9 Limitations of the Study</w:t>
      </w:r>
    </w:p>
    <w:p>
      <w:pPr>
        <w:spacing w:line="360" w:lineRule="auto" w:after="120"/>
        <w:jc w:val="both"/>
      </w:pPr>
      <w:r>
        <w:rPr>
          <w:rFonts w:ascii="Times New Roman" w:hAnsi="Times New Roman"/>
          <w:b w:val="0"/>
          <w:i w:val="0"/>
          <w:sz w:val="24"/>
        </w:rPr>
        <w:t>Three primary limitations are acknowledged: (1) Due to banking secrecy and privacy laws, models were trained on an empirically calibrated synthetic cohort rather than live commercial bank transaction ledgers; (2) The study focused on short-term 30-day micro-loans and does not model multi-year amortizing commercial facilities; and (3) The analysis assumed a stationary macroeconomic environment and did not incorporate dynamic multi-year drought or inflation shocks.</w:t>
      </w:r>
    </w:p>
    <w:p>
      <w:r>
        <w:br w:type="page"/>
      </w:r>
    </w:p>
    <w:p>
      <w:pPr>
        <w:keepNext/>
        <w:spacing w:before="360" w:after="240"/>
        <w:jc w:val="left"/>
      </w:pPr>
      <w:r>
        <w:rPr>
          <w:rFonts w:ascii="Times New Roman" w:hAnsi="Times New Roman"/>
          <w:b/>
          <w:color w:val="1E3A8A"/>
          <w:sz w:val="32"/>
        </w:rPr>
        <w:t>CHAPTER 2: LITERATURE REVIEW</w:t>
      </w:r>
    </w:p>
    <w:p>
      <w:pPr>
        <w:keepNext/>
        <w:spacing w:before="280" w:after="120"/>
        <w:jc w:val="left"/>
      </w:pPr>
      <w:r>
        <w:rPr>
          <w:rFonts w:ascii="Times New Roman" w:hAnsi="Times New Roman"/>
          <w:b/>
          <w:color w:val="1E3A8A"/>
          <w:sz w:val="28"/>
        </w:rPr>
        <w:t>2.1 Introduction</w:t>
      </w:r>
    </w:p>
    <w:p>
      <w:pPr>
        <w:spacing w:line="360" w:lineRule="auto" w:after="120"/>
        <w:jc w:val="both"/>
      </w:pPr>
      <w:r>
        <w:rPr>
          <w:rFonts w:ascii="Times New Roman" w:hAnsi="Times New Roman"/>
          <w:b w:val="0"/>
          <w:i w:val="0"/>
          <w:sz w:val="24"/>
        </w:rPr>
        <w:t>This chapter surveys the evolution of credit risk assessment, examines modern machine learning applications in digital microfinance, reviews the theoretical mechanisms linking alternative behavioral telemetry to creditworthiness, and evaluates computational frameworks for explainability and algorithmic fairness within the Namibian regulatory context.</w:t>
      </w:r>
    </w:p>
    <w:p>
      <w:pPr>
        <w:keepNext/>
        <w:spacing w:before="280" w:after="120"/>
        <w:jc w:val="left"/>
      </w:pPr>
      <w:r>
        <w:rPr>
          <w:rFonts w:ascii="Times New Roman" w:hAnsi="Times New Roman"/>
          <w:b/>
          <w:color w:val="1E3A8A"/>
          <w:sz w:val="28"/>
        </w:rPr>
        <w:t>2.2 Theoretical Background</w:t>
      </w:r>
    </w:p>
    <w:p>
      <w:pPr>
        <w:spacing w:line="360" w:lineRule="auto" w:after="120"/>
        <w:jc w:val="both"/>
      </w:pPr>
      <w:r>
        <w:rPr>
          <w:rFonts w:ascii="Times New Roman" w:hAnsi="Times New Roman"/>
          <w:b w:val="0"/>
          <w:i w:val="0"/>
          <w:sz w:val="24"/>
        </w:rPr>
        <w:t>The economic foundation of credit rationing rests on Stiglitz and Weiss's (1981) theory of asymmetric information. In credit markets, borrowers possess private information regarding their repayment integrity that lenders cannot observe directly. Raising interest rates to compensate for unobserved risk triggers adverse selection (driving away safe borrowers) and moral hazard (incentivizing risky projects). Consequently, lenders ration credit, denying loans to applicants who cannot supply formal credit bureau records or physical collateral.</w:t>
      </w:r>
    </w:p>
    <w:p>
      <w:pPr>
        <w:keepNext/>
        <w:spacing w:before="280" w:after="120"/>
        <w:jc w:val="left"/>
      </w:pPr>
      <w:r>
        <w:rPr>
          <w:rFonts w:ascii="Times New Roman" w:hAnsi="Times New Roman"/>
          <w:b/>
          <w:color w:val="1E3A8A"/>
          <w:sz w:val="28"/>
        </w:rPr>
        <w:t>2.3 Conceptual Framework</w:t>
      </w:r>
    </w:p>
    <w:p>
      <w:pPr>
        <w:spacing w:line="360" w:lineRule="auto" w:after="120"/>
        <w:jc w:val="both"/>
      </w:pPr>
      <w:r>
        <w:rPr>
          <w:rFonts w:ascii="Times New Roman" w:hAnsi="Times New Roman"/>
          <w:b w:val="0"/>
          <w:i w:val="0"/>
          <w:sz w:val="24"/>
        </w:rPr>
        <w:t>This study proposes a multi-dimensional conceptual framework integrating four core pillars: Alternative Behavioral Telemetry Ingestion, Supervised Machine Learning Underwriting, TreeSHAP Explainability, and Constitutional Fairness Auditing. The framework is governed by the Calibration–Fairness–Inclusion Trilemma, which formalizes the mathematical trade-offs between commercial probability calibration, constitutional non-discrimination, and credit volume expansion.</w:t>
      </w:r>
    </w:p>
    <w:p>
      <w:pPr>
        <w:keepNext/>
        <w:spacing w:before="280" w:after="120"/>
        <w:jc w:val="left"/>
      </w:pPr>
      <w:r>
        <w:rPr>
          <w:rFonts w:ascii="Times New Roman" w:hAnsi="Times New Roman"/>
          <w:b/>
          <w:color w:val="1E3A8A"/>
          <w:sz w:val="28"/>
        </w:rPr>
        <w:t>2.4 Review of Existing Technologies</w:t>
      </w:r>
    </w:p>
    <w:p>
      <w:pPr>
        <w:spacing w:line="360" w:lineRule="auto" w:after="120"/>
        <w:jc w:val="both"/>
      </w:pPr>
      <w:r>
        <w:rPr>
          <w:rFonts w:ascii="Times New Roman" w:hAnsi="Times New Roman"/>
          <w:b w:val="0"/>
          <w:i w:val="0"/>
          <w:sz w:val="24"/>
        </w:rPr>
        <w:t>In credit scoring literature, four supervised learning families dominate: (1) Logistic Regression scorecards, providing monotonic linear interpretability; (2) Decision Trees (CART), providing visual rule splitting but suffering from high variance; (3) Random Forest, providing bootstrap aggregation (bagging) with excellent probability calibration; and (4) XGBoost, providing gradient boosting with high discrimination on tabular data. TreeSHAP (Lundberg et al., 2020) provides polynomial-time computation of Shapley additive feature attributions for tree ensembles.</w:t>
      </w:r>
    </w:p>
    <w:p>
      <w:pPr>
        <w:keepNext/>
        <w:spacing w:before="280" w:after="120"/>
        <w:jc w:val="left"/>
      </w:pPr>
      <w:r>
        <w:rPr>
          <w:rFonts w:ascii="Times New Roman" w:hAnsi="Times New Roman"/>
          <w:b/>
          <w:color w:val="1E3A8A"/>
          <w:sz w:val="28"/>
        </w:rPr>
        <w:t>2.5 Review of Related Studies</w:t>
      </w:r>
    </w:p>
    <w:p>
      <w:pPr>
        <w:spacing w:line="360" w:lineRule="auto" w:after="120"/>
        <w:jc w:val="both"/>
      </w:pPr>
      <w:r>
        <w:rPr>
          <w:rFonts w:ascii="Times New Roman" w:hAnsi="Times New Roman"/>
          <w:b w:val="0"/>
          <w:i w:val="0"/>
          <w:sz w:val="24"/>
        </w:rPr>
        <w:t>Landmark empirical studies validate the predictive power of alternative data. Björkegren and Grissen (2018) analyzed prepaid mobile Call Detail Records (CDRs) and airtime top-ups in Rwanda, proving that mobile phone telemetry predicts default with accuracy comparable to traditional scorecards. Óskarsdóttir et al. (2019) demonstrated that combining telecommunications metadata with credit bureau files significantly improves discriminatory AUC. Berg et al. (2020) proved that simple digital footprints left during e-commerce transactions predict consumer default as accurately as traditional credit bureau ratings. Suri and Jack (2016) demonstrated the transformative economic welfare impact of digital mobile money access in Kenya.</w:t>
      </w:r>
    </w:p>
    <w:p>
      <w:pPr>
        <w:keepNext/>
        <w:spacing w:before="280" w:after="120"/>
        <w:jc w:val="left"/>
      </w:pPr>
      <w:r>
        <w:rPr>
          <w:rFonts w:ascii="Times New Roman" w:hAnsi="Times New Roman"/>
          <w:b/>
          <w:color w:val="1E3A8A"/>
          <w:sz w:val="28"/>
        </w:rPr>
        <w:t>2.6 Review of Existing Systems or Applications</w:t>
      </w:r>
    </w:p>
    <w:p>
      <w:pPr>
        <w:spacing w:line="360" w:lineRule="auto" w:after="120"/>
        <w:jc w:val="both"/>
      </w:pPr>
      <w:r>
        <w:rPr>
          <w:rFonts w:ascii="Times New Roman" w:hAnsi="Times New Roman"/>
          <w:b w:val="0"/>
          <w:i w:val="0"/>
          <w:sz w:val="24"/>
        </w:rPr>
        <w:t>Across East Africa, automated mobile lending platforms such as Safaricom/NCBA's M-Shwari, Tala, and Branch have disbursed billions in digital credit. However, ethnographic investigations (Mwesigwa et al., 2026) reveal systemic risks: excessive credit cycling, aggressive algorithmic debt collection, and credit bureau blacklisting for small micro-loan defaults. In Namibia, commercial banks remain tied to legacy branch underwriting, leaving digital micro-credit to emerging sandbox prototypes such as Tamba Maris.</w:t>
      </w:r>
    </w:p>
    <w:p>
      <w:pPr>
        <w:keepNext/>
        <w:spacing w:before="280" w:after="120"/>
        <w:jc w:val="left"/>
      </w:pPr>
      <w:r>
        <w:rPr>
          <w:rFonts w:ascii="Times New Roman" w:hAnsi="Times New Roman"/>
          <w:b/>
          <w:color w:val="1E3A8A"/>
          <w:sz w:val="28"/>
        </w:rPr>
        <w:t>2.7 Research Gap</w:t>
      </w:r>
    </w:p>
    <w:p>
      <w:pPr>
        <w:spacing w:line="360" w:lineRule="auto" w:after="120"/>
        <w:jc w:val="both"/>
      </w:pPr>
      <w:r>
        <w:rPr>
          <w:rFonts w:ascii="Times New Roman" w:hAnsi="Times New Roman"/>
          <w:b w:val="0"/>
          <w:i w:val="0"/>
          <w:sz w:val="24"/>
        </w:rPr>
        <w:t>Three critical research gaps were identified: (1) The absence of public empirical alternative data benchmarks calibrated to Southern African macroeconomic environments; (2) A research silo between machine learning discrimination and constitutional fairness auditing; and (3) The lack of operational frameworks translating computational models into compliance with emerging central bank sandboxes, such as the Bank of Namibia 2026 Framework.</w:t>
      </w:r>
    </w:p>
    <w:p>
      <w:pPr>
        <w:keepNext/>
        <w:spacing w:before="280" w:after="120"/>
        <w:jc w:val="left"/>
      </w:pPr>
      <w:r>
        <w:rPr>
          <w:rFonts w:ascii="Times New Roman" w:hAnsi="Times New Roman"/>
          <w:b/>
          <w:color w:val="1E3A8A"/>
          <w:sz w:val="28"/>
        </w:rPr>
        <w:t>2.8 Summary of the Chapter</w:t>
      </w:r>
    </w:p>
    <w:p>
      <w:pPr>
        <w:spacing w:line="360" w:lineRule="auto" w:after="120"/>
        <w:jc w:val="both"/>
      </w:pPr>
      <w:r>
        <w:rPr>
          <w:rFonts w:ascii="Times New Roman" w:hAnsi="Times New Roman"/>
          <w:b w:val="0"/>
          <w:i w:val="0"/>
          <w:sz w:val="24"/>
        </w:rPr>
        <w:t>This chapter established the theoretical and empirical foundations of alternative-data credit scoring. While mobile behavioral telemetry provides an authentic proxy for financial capacity, deploying non-linear algorithms requires resolving the dual challenges of explainability and algorithmic fairness, which are addressed in the methodology that follows.</w:t>
      </w:r>
    </w:p>
    <w:p>
      <w:r>
        <w:br w:type="page"/>
      </w:r>
    </w:p>
    <w:p>
      <w:pPr>
        <w:keepNext/>
        <w:spacing w:before="360" w:after="240"/>
        <w:jc w:val="left"/>
      </w:pPr>
      <w:r>
        <w:rPr>
          <w:rFonts w:ascii="Times New Roman" w:hAnsi="Times New Roman"/>
          <w:b/>
          <w:color w:val="1E3A8A"/>
          <w:sz w:val="32"/>
        </w:rPr>
        <w:t>CHAPTER 3: RESEARCH METHODOLOGY</w:t>
      </w:r>
    </w:p>
    <w:p>
      <w:pPr>
        <w:keepNext/>
        <w:spacing w:before="280" w:after="120"/>
        <w:jc w:val="left"/>
      </w:pPr>
      <w:r>
        <w:rPr>
          <w:rFonts w:ascii="Times New Roman" w:hAnsi="Times New Roman"/>
          <w:b/>
          <w:color w:val="1E3A8A"/>
          <w:sz w:val="28"/>
        </w:rPr>
        <w:t>3.1 Introduction</w:t>
      </w:r>
    </w:p>
    <w:p>
      <w:pPr>
        <w:spacing w:line="360" w:lineRule="auto" w:after="120"/>
        <w:jc w:val="both"/>
      </w:pPr>
      <w:r>
        <w:rPr>
          <w:rFonts w:ascii="Times New Roman" w:hAnsi="Times New Roman"/>
          <w:b w:val="0"/>
          <w:i w:val="0"/>
          <w:sz w:val="24"/>
        </w:rPr>
        <w:t>This chapter outlines the research methodology, sampling techniques, data governance rules, machine learning pipeline engineering, and statistical testing protocols utilized to investigate credit risk prediction for financial inclusion in Namibia.</w:t>
      </w:r>
    </w:p>
    <w:p>
      <w:pPr>
        <w:keepNext/>
        <w:spacing w:before="280" w:after="120"/>
        <w:jc w:val="left"/>
      </w:pPr>
      <w:r>
        <w:rPr>
          <w:rFonts w:ascii="Times New Roman" w:hAnsi="Times New Roman"/>
          <w:b/>
          <w:color w:val="1E3A8A"/>
          <w:sz w:val="28"/>
        </w:rPr>
        <w:t>3.2 Research Approach</w:t>
      </w:r>
    </w:p>
    <w:p>
      <w:pPr>
        <w:spacing w:line="360" w:lineRule="auto" w:after="120"/>
        <w:jc w:val="both"/>
      </w:pPr>
      <w:r>
        <w:rPr>
          <w:rFonts w:ascii="Times New Roman" w:hAnsi="Times New Roman"/>
          <w:b w:val="0"/>
          <w:i w:val="0"/>
          <w:sz w:val="24"/>
        </w:rPr>
        <w:t>The study employs a pragmatic mixed-methods sequential explanatory approach. Quantitative computational modeling serves as the primary empirical core, complemented by qualitative socio-technical and regulatory policy analysis.</w:t>
      </w:r>
    </w:p>
    <w:p>
      <w:pPr>
        <w:keepNext/>
        <w:spacing w:before="280" w:after="120"/>
        <w:jc w:val="left"/>
      </w:pPr>
      <w:r>
        <w:rPr>
          <w:rFonts w:ascii="Times New Roman" w:hAnsi="Times New Roman"/>
          <w:b/>
          <w:color w:val="1E3A8A"/>
          <w:sz w:val="28"/>
        </w:rPr>
        <w:t>3.3 Research Design</w:t>
      </w:r>
    </w:p>
    <w:p>
      <w:pPr>
        <w:spacing w:line="360" w:lineRule="auto" w:after="120"/>
        <w:jc w:val="both"/>
      </w:pPr>
      <w:r>
        <w:rPr>
          <w:rFonts w:ascii="Times New Roman" w:hAnsi="Times New Roman"/>
          <w:b w:val="0"/>
          <w:i w:val="0"/>
          <w:sz w:val="24"/>
        </w:rPr>
        <w:t>An experimental computational research design was implemented. Four supervised learning models were engineered, tuned using 5-fold stratified cross-validation, and benchmarked on an independent holdout test partition across discrimination, calibration, asymmetric cost loss, and fairness metrics.</w:t>
      </w:r>
    </w:p>
    <w:p>
      <w:pPr>
        <w:keepNext/>
        <w:spacing w:before="280" w:after="120"/>
        <w:jc w:val="left"/>
      </w:pPr>
      <w:r>
        <w:rPr>
          <w:rFonts w:ascii="Times New Roman" w:hAnsi="Times New Roman"/>
          <w:b/>
          <w:color w:val="1E3A8A"/>
          <w:sz w:val="28"/>
        </w:rPr>
        <w:t>3.4 Target Population</w:t>
      </w:r>
    </w:p>
    <w:p>
      <w:pPr>
        <w:spacing w:line="360" w:lineRule="auto" w:after="120"/>
        <w:jc w:val="both"/>
      </w:pPr>
      <w:r>
        <w:rPr>
          <w:rFonts w:ascii="Times New Roman" w:hAnsi="Times New Roman"/>
          <w:b w:val="0"/>
          <w:i w:val="0"/>
          <w:sz w:val="24"/>
        </w:rPr>
        <w:t>The target population comprises unbanked and underserved micro-borrowers in Namibia, specifically informal open-market traders, rural smallholders, and micro-enterprise operators who lack formal credit bureau files and collateral.</w:t>
      </w:r>
    </w:p>
    <w:p>
      <w:pPr>
        <w:keepNext/>
        <w:spacing w:before="280" w:after="120"/>
        <w:jc w:val="left"/>
      </w:pPr>
      <w:r>
        <w:rPr>
          <w:rFonts w:ascii="Times New Roman" w:hAnsi="Times New Roman"/>
          <w:b/>
          <w:color w:val="1E3A8A"/>
          <w:sz w:val="28"/>
        </w:rPr>
        <w:t>3.5 Sampling Techniques and Sample Size</w:t>
      </w:r>
    </w:p>
    <w:p>
      <w:pPr>
        <w:spacing w:line="360" w:lineRule="auto" w:after="120"/>
        <w:jc w:val="both"/>
      </w:pPr>
      <w:r>
        <w:rPr>
          <w:rFonts w:ascii="Times New Roman" w:hAnsi="Times New Roman"/>
          <w:b w:val="0"/>
          <w:i w:val="0"/>
          <w:sz w:val="24"/>
        </w:rPr>
        <w:t>A stratified sample of N = 5,000 applicant records was generated and split into a 70% training partition (N = 3,500) and a 30% holdout test partition (N = 1,500). Default prevalence was precisely calibrated to 3.93% (matching Bank of Namibia December 2025 benchmarks). Demographic splits were stratified according to NSA NFIS 2017 statistics (53.5% female, 46.5% male; 57.1% urban, 42.9% rural).</w:t>
      </w:r>
    </w:p>
    <w:p>
      <w:pPr>
        <w:keepNext/>
        <w:spacing w:before="280" w:after="120"/>
        <w:jc w:val="left"/>
      </w:pPr>
      <w:r>
        <w:rPr>
          <w:rFonts w:ascii="Times New Roman" w:hAnsi="Times New Roman"/>
          <w:b/>
          <w:color w:val="1E3A8A"/>
          <w:sz w:val="28"/>
        </w:rPr>
        <w:t>3.6 Data Collection Methods</w:t>
      </w:r>
    </w:p>
    <w:p>
      <w:pPr>
        <w:spacing w:line="360" w:lineRule="auto" w:after="120"/>
        <w:jc w:val="both"/>
      </w:pPr>
      <w:r>
        <w:rPr>
          <w:rFonts w:ascii="Times New Roman" w:hAnsi="Times New Roman"/>
          <w:b w:val="0"/>
          <w:i w:val="0"/>
          <w:sz w:val="24"/>
        </w:rPr>
        <w:t>Due to proprietary commercial banking secrecy, data was generated via the Triangulated Multi-Tier Dataset Strategy: Tier 1 anchored behavioral feature distributions to verified African digital micro-lending benchmarks; Tier 2 conditioned demographic and default distributions on official Namibian microdata; Tier 3 constrained credit mechanics to the Tamba Maris BoN sandbox pilot.</w:t>
      </w:r>
    </w:p>
    <w:p>
      <w:pPr>
        <w:keepNext/>
        <w:spacing w:before="280" w:after="120"/>
        <w:jc w:val="left"/>
      </w:pPr>
      <w:r>
        <w:rPr>
          <w:rFonts w:ascii="Times New Roman" w:hAnsi="Times New Roman"/>
          <w:b/>
          <w:color w:val="1E3A8A"/>
          <w:sz w:val="28"/>
        </w:rPr>
        <w:t>3.7 Data Analysis Methods</w:t>
      </w:r>
    </w:p>
    <w:p>
      <w:pPr>
        <w:spacing w:line="360" w:lineRule="auto" w:after="120"/>
        <w:jc w:val="both"/>
      </w:pPr>
      <w:r>
        <w:rPr>
          <w:rFonts w:ascii="Times New Roman" w:hAnsi="Times New Roman"/>
          <w:b w:val="0"/>
          <w:i w:val="0"/>
          <w:sz w:val="24"/>
        </w:rPr>
        <w:t>Data analysis incorporated: (1) ROC-AUC and PR-AUC for discrimination; (2) Brier Score for probability calibration; (3) Cost-sensitive asymmetric loss minimization (C_FN=5, C_FP=1); (4) Paired DeLong statistical tests on holdout ROC-AUC; (5) TreeSHAP for global and local explainability; and (6) Disparate Impact Ratio (DIR) and Equal Opportunity Difference (EOD) for fairness auditing.</w:t>
      </w:r>
    </w:p>
    <w:p>
      <w:pPr>
        <w:keepNext/>
        <w:spacing w:before="280" w:after="120"/>
        <w:jc w:val="left"/>
      </w:pPr>
      <w:r>
        <w:rPr>
          <w:rFonts w:ascii="Times New Roman" w:hAnsi="Times New Roman"/>
          <w:b/>
          <w:color w:val="1E3A8A"/>
          <w:sz w:val="28"/>
        </w:rPr>
        <w:t>3.8 Software Development Methodology</w:t>
      </w:r>
    </w:p>
    <w:p>
      <w:pPr>
        <w:spacing w:line="360" w:lineRule="auto" w:after="120"/>
        <w:jc w:val="both"/>
      </w:pPr>
      <w:r>
        <w:rPr>
          <w:rFonts w:ascii="Times New Roman" w:hAnsi="Times New Roman"/>
          <w:b w:val="0"/>
          <w:i w:val="0"/>
          <w:sz w:val="24"/>
        </w:rPr>
        <w:t>The system prototype was developed using an Agile Iterative Prototyping methodology across 15 structured research stages, culminating in serialized joblib models and an interactive Streamlit presentation application.</w:t>
      </w:r>
    </w:p>
    <w:p>
      <w:pPr>
        <w:keepNext/>
        <w:spacing w:before="280" w:after="120"/>
        <w:jc w:val="left"/>
      </w:pPr>
      <w:r>
        <w:rPr>
          <w:rFonts w:ascii="Times New Roman" w:hAnsi="Times New Roman"/>
          <w:b/>
          <w:color w:val="1E3A8A"/>
          <w:sz w:val="28"/>
        </w:rPr>
        <w:t>3.9 Ethical Considerations</w:t>
      </w:r>
    </w:p>
    <w:p>
      <w:pPr>
        <w:spacing w:line="360" w:lineRule="auto" w:after="120"/>
        <w:jc w:val="both"/>
      </w:pPr>
      <w:r>
        <w:rPr>
          <w:rFonts w:ascii="Times New Roman" w:hAnsi="Times New Roman"/>
          <w:b w:val="0"/>
          <w:i w:val="0"/>
          <w:sz w:val="24"/>
        </w:rPr>
        <w:t>In accordance with Article 10 of the Namibian Constitution, four protected demographic attributes (gender, location_region, urban_rural, and business_registration_status) were strictly excluded from the training feature matrix X to prevent disparate treatment. The variable dispute_complaints_count was permanently excluded to protect consumer grievance rights.</w:t>
      </w:r>
    </w:p>
    <w:p>
      <w:pPr>
        <w:keepNext/>
        <w:spacing w:before="280" w:after="120"/>
        <w:jc w:val="left"/>
      </w:pPr>
      <w:r>
        <w:rPr>
          <w:rFonts w:ascii="Times New Roman" w:hAnsi="Times New Roman"/>
          <w:b/>
          <w:color w:val="1E3A8A"/>
          <w:sz w:val="28"/>
        </w:rPr>
        <w:t>3.10 Chapter Summary</w:t>
      </w:r>
    </w:p>
    <w:p>
      <w:pPr>
        <w:spacing w:line="360" w:lineRule="auto" w:after="120"/>
        <w:jc w:val="both"/>
      </w:pPr>
      <w:r>
        <w:rPr>
          <w:rFonts w:ascii="Times New Roman" w:hAnsi="Times New Roman"/>
          <w:b w:val="0"/>
          <w:i w:val="0"/>
          <w:sz w:val="24"/>
        </w:rPr>
        <w:t>This chapter specified the end-to-end methodological protocol, ensuring strict data leakage prevention, ethical feature decoupling, and statistical rigor.</w:t>
      </w:r>
    </w:p>
    <w:p>
      <w:r>
        <w:br w:type="page"/>
      </w:r>
    </w:p>
    <w:p>
      <w:pPr>
        <w:keepNext/>
        <w:spacing w:before="360" w:after="240"/>
        <w:jc w:val="left"/>
      </w:pPr>
      <w:r>
        <w:rPr>
          <w:rFonts w:ascii="Times New Roman" w:hAnsi="Times New Roman"/>
          <w:b/>
          <w:color w:val="1E3A8A"/>
          <w:sz w:val="32"/>
        </w:rPr>
        <w:t>CHAPTER 4: SYSTEM ANALYSIS AND DESIGN</w:t>
      </w:r>
    </w:p>
    <w:p>
      <w:pPr>
        <w:keepNext/>
        <w:spacing w:before="280" w:after="120"/>
        <w:jc w:val="left"/>
      </w:pPr>
      <w:r>
        <w:rPr>
          <w:rFonts w:ascii="Times New Roman" w:hAnsi="Times New Roman"/>
          <w:b/>
          <w:color w:val="1E3A8A"/>
          <w:sz w:val="28"/>
        </w:rPr>
        <w:t>4.1 Introduction</w:t>
      </w:r>
    </w:p>
    <w:p>
      <w:pPr>
        <w:spacing w:line="360" w:lineRule="auto" w:after="120"/>
        <w:jc w:val="both"/>
      </w:pPr>
      <w:r>
        <w:rPr>
          <w:rFonts w:ascii="Times New Roman" w:hAnsi="Times New Roman"/>
          <w:b w:val="0"/>
          <w:i w:val="0"/>
          <w:sz w:val="24"/>
        </w:rPr>
        <w:t>This chapter presents the system analysis and architectural design of the automated alternative-data credit scoring and explainability engine developed for the Bank of Namibia Regulatory Sandbox.</w:t>
      </w:r>
    </w:p>
    <w:p>
      <w:pPr>
        <w:keepNext/>
        <w:spacing w:before="280" w:after="120"/>
        <w:jc w:val="left"/>
      </w:pPr>
      <w:r>
        <w:rPr>
          <w:rFonts w:ascii="Times New Roman" w:hAnsi="Times New Roman"/>
          <w:b/>
          <w:color w:val="1E3A8A"/>
          <w:sz w:val="28"/>
        </w:rPr>
        <w:t>4.2 Analysis of the Existing System</w:t>
      </w:r>
    </w:p>
    <w:p>
      <w:pPr>
        <w:spacing w:line="360" w:lineRule="auto" w:after="120"/>
        <w:jc w:val="both"/>
      </w:pPr>
      <w:r>
        <w:rPr>
          <w:rFonts w:ascii="Times New Roman" w:hAnsi="Times New Roman"/>
          <w:b w:val="0"/>
          <w:i w:val="0"/>
          <w:sz w:val="24"/>
        </w:rPr>
        <w:t>The existing commercial banking underwriting process in Namibia is manual, paper-intensive, and reliant on legacy credit bureaus. It requires applicants to travel to physical bank branches, submit physical documentation (3 months of payslips, certified identity copies, registered business licenses), and wait 5 to 14 days for committee review. This workflow completely excludes informal traders who operate in cash and lack formal documentation.</w:t>
      </w:r>
    </w:p>
    <w:p>
      <w:pPr>
        <w:keepNext/>
        <w:spacing w:before="200" w:after="80"/>
        <w:jc w:val="left"/>
      </w:pPr>
      <w:r>
        <w:rPr>
          <w:rFonts w:ascii="Times New Roman" w:hAnsi="Times New Roman"/>
          <w:b/>
          <w:sz w:val="24"/>
        </w:rPr>
        <w:t>4.2.1 Functional Requirements</w:t>
      </w:r>
    </w:p>
    <w:p>
      <w:pPr>
        <w:spacing w:line="360" w:lineRule="auto" w:after="120"/>
        <w:jc w:val="both"/>
      </w:pPr>
      <w:r>
        <w:rPr>
          <w:rFonts w:ascii="Times New Roman" w:hAnsi="Times New Roman"/>
          <w:b w:val="0"/>
          <w:i w:val="0"/>
          <w:sz w:val="24"/>
        </w:rPr>
        <w:t>The system must satisfy six core functional requirements:</w:t>
      </w:r>
    </w:p>
    <w:p>
      <w:pPr>
        <w:spacing w:line="360" w:lineRule="auto" w:after="120"/>
        <w:jc w:val="both"/>
      </w:pPr>
      <w:r>
        <w:rPr>
          <w:rFonts w:ascii="Times New Roman" w:hAnsi="Times New Roman"/>
          <w:b w:val="0"/>
          <w:i w:val="0"/>
          <w:sz w:val="24"/>
        </w:rPr>
        <w:t>• FR1 (Alternative Data Ingestion): Ingest non-intrusive telecommunications and mobile wallet telemetry via API/USSD.</w:t>
      </w:r>
    </w:p>
    <w:p>
      <w:pPr>
        <w:spacing w:line="360" w:lineRule="auto" w:after="120"/>
        <w:jc w:val="both"/>
      </w:pPr>
      <w:r>
        <w:rPr>
          <w:rFonts w:ascii="Times New Roman" w:hAnsi="Times New Roman"/>
          <w:b w:val="0"/>
          <w:i w:val="0"/>
          <w:sz w:val="24"/>
        </w:rPr>
        <w:t>• FR2 (Machine Learning Underwriting): Compute calibrated default probabilities using optimized ensemble models in &lt; 150 ms.</w:t>
      </w:r>
    </w:p>
    <w:p>
      <w:pPr>
        <w:spacing w:line="360" w:lineRule="auto" w:after="120"/>
        <w:jc w:val="both"/>
      </w:pPr>
      <w:r>
        <w:rPr>
          <w:rFonts w:ascii="Times New Roman" w:hAnsi="Times New Roman"/>
          <w:b w:val="0"/>
          <w:i w:val="0"/>
          <w:sz w:val="24"/>
        </w:rPr>
        <w:t>• FR3 (Dynamic Decisioning &amp; Limit Allocation): Output binary approval/decline decisions and assign risk-based credit limits (N$100 - N$1,500).</w:t>
      </w:r>
    </w:p>
    <w:p>
      <w:pPr>
        <w:spacing w:line="360" w:lineRule="auto" w:after="120"/>
        <w:jc w:val="both"/>
      </w:pPr>
      <w:r>
        <w:rPr>
          <w:rFonts w:ascii="Times New Roman" w:hAnsi="Times New Roman"/>
          <w:b w:val="0"/>
          <w:i w:val="0"/>
          <w:sz w:val="24"/>
        </w:rPr>
        <w:t>• FR4 (Automated Adverse-Action Generation): Decompose adverse decisions via TreeSHAP and generate human-readable reason codes.</w:t>
      </w:r>
    </w:p>
    <w:p>
      <w:pPr>
        <w:spacing w:line="360" w:lineRule="auto" w:after="120"/>
        <w:jc w:val="both"/>
      </w:pPr>
      <w:r>
        <w:rPr>
          <w:rFonts w:ascii="Times New Roman" w:hAnsi="Times New Roman"/>
          <w:b w:val="0"/>
          <w:i w:val="0"/>
          <w:sz w:val="24"/>
        </w:rPr>
        <w:t>• FR5 (Algorithmic Fairness Monitoring): Provide automated auditing of Disparate Impact Ratios across protected demographic groups.</w:t>
      </w:r>
    </w:p>
    <w:p>
      <w:pPr>
        <w:spacing w:line="360" w:lineRule="auto" w:after="120"/>
        <w:jc w:val="both"/>
      </w:pPr>
      <w:r>
        <w:rPr>
          <w:rFonts w:ascii="Times New Roman" w:hAnsi="Times New Roman"/>
          <w:b w:val="0"/>
          <w:i w:val="0"/>
          <w:sz w:val="24"/>
        </w:rPr>
        <w:t>• FR6 (USSD Borrower Interaction): Deliver an interactive, zero-rated USSD interface (*140*555#) for feature phone users.</w:t>
      </w:r>
    </w:p>
    <w:p>
      <w:pPr>
        <w:keepNext/>
        <w:spacing w:before="200" w:after="80"/>
        <w:jc w:val="left"/>
      </w:pPr>
      <w:r>
        <w:rPr>
          <w:rFonts w:ascii="Times New Roman" w:hAnsi="Times New Roman"/>
          <w:b/>
          <w:sz w:val="24"/>
        </w:rPr>
        <w:t>4.2.2 Non-Functional Requirements</w:t>
      </w:r>
    </w:p>
    <w:p>
      <w:pPr>
        <w:spacing w:line="360" w:lineRule="auto" w:after="120"/>
        <w:jc w:val="both"/>
      </w:pPr>
      <w:r>
        <w:rPr>
          <w:rFonts w:ascii="Times New Roman" w:hAnsi="Times New Roman"/>
          <w:b w:val="0"/>
          <w:i w:val="0"/>
          <w:sz w:val="24"/>
        </w:rPr>
        <w:t>• NFR1 (Performance): Real-time scoring latency must not exceed 150 milliseconds per request.</w:t>
      </w:r>
    </w:p>
    <w:p>
      <w:pPr>
        <w:spacing w:line="360" w:lineRule="auto" w:after="120"/>
        <w:jc w:val="both"/>
      </w:pPr>
      <w:r>
        <w:rPr>
          <w:rFonts w:ascii="Times New Roman" w:hAnsi="Times New Roman"/>
          <w:b w:val="0"/>
          <w:i w:val="0"/>
          <w:sz w:val="24"/>
        </w:rPr>
        <w:t>• NFR2 (Calibration Reliability): The model Brier Score must remain below 0.15 to ensure reliable loan loss provisioning.</w:t>
      </w:r>
    </w:p>
    <w:p>
      <w:pPr>
        <w:spacing w:line="360" w:lineRule="auto" w:after="120"/>
        <w:jc w:val="both"/>
      </w:pPr>
      <w:r>
        <w:rPr>
          <w:rFonts w:ascii="Times New Roman" w:hAnsi="Times New Roman"/>
          <w:b w:val="0"/>
          <w:i w:val="0"/>
          <w:sz w:val="24"/>
        </w:rPr>
        <w:t>• NFR3 (Fairness Compliance): Disparate Impact Ratios across gender and geography must satisfy the four-fifths rule (DIR &gt;= 0.80).</w:t>
      </w:r>
    </w:p>
    <w:p>
      <w:pPr>
        <w:spacing w:line="360" w:lineRule="auto" w:after="120"/>
        <w:jc w:val="both"/>
      </w:pPr>
      <w:r>
        <w:rPr>
          <w:rFonts w:ascii="Times New Roman" w:hAnsi="Times New Roman"/>
          <w:b w:val="0"/>
          <w:i w:val="0"/>
          <w:sz w:val="24"/>
        </w:rPr>
        <w:t>• NFR4 (Transparency): Adverse decisions must be explainable without requiring manual underwriter intervention.</w:t>
      </w:r>
    </w:p>
    <w:p>
      <w:pPr>
        <w:spacing w:line="360" w:lineRule="auto" w:after="120"/>
        <w:jc w:val="both"/>
      </w:pPr>
      <w:r>
        <w:rPr>
          <w:rFonts w:ascii="Times New Roman" w:hAnsi="Times New Roman"/>
          <w:b w:val="0"/>
          <w:i w:val="0"/>
          <w:sz w:val="24"/>
        </w:rPr>
        <w:t>• NFR5 (Security &amp; Privacy): Zero demographic attributes may be utilized in the live feature vector X.</w:t>
      </w:r>
    </w:p>
    <w:p>
      <w:pPr>
        <w:keepNext/>
        <w:spacing w:before="280" w:after="120"/>
        <w:jc w:val="left"/>
      </w:pPr>
      <w:r>
        <w:rPr>
          <w:rFonts w:ascii="Times New Roman" w:hAnsi="Times New Roman"/>
          <w:b/>
          <w:color w:val="1E3A8A"/>
          <w:sz w:val="28"/>
        </w:rPr>
        <w:t>4.3 System Design</w:t>
      </w:r>
    </w:p>
    <w:p>
      <w:pPr>
        <w:spacing w:line="360" w:lineRule="auto" w:after="120"/>
        <w:jc w:val="both"/>
      </w:pPr>
      <w:r>
        <w:rPr>
          <w:rFonts w:ascii="Times New Roman" w:hAnsi="Times New Roman"/>
          <w:b w:val="0"/>
          <w:i w:val="0"/>
          <w:sz w:val="24"/>
        </w:rPr>
        <w:t>The system design models the interaction between the unbanked borrower, the USSD gateway, the machine learning inference engine, the TreeSHAP explainer, and the Bank of Namibia sandbox supervisory interface.</w:t>
      </w:r>
    </w:p>
    <w:p>
      <w:pPr>
        <w:keepNext/>
        <w:spacing w:before="280" w:after="120"/>
        <w:jc w:val="left"/>
      </w:pPr>
      <w:r>
        <w:rPr>
          <w:rFonts w:ascii="Times New Roman" w:hAnsi="Times New Roman"/>
          <w:b/>
          <w:color w:val="1E3A8A"/>
          <w:sz w:val="28"/>
        </w:rPr>
        <w:t>4.4 Database Design</w:t>
      </w:r>
    </w:p>
    <w:p>
      <w:pPr>
        <w:spacing w:line="360" w:lineRule="auto" w:after="120"/>
        <w:jc w:val="both"/>
      </w:pPr>
      <w:r>
        <w:rPr>
          <w:rFonts w:ascii="Times New Roman" w:hAnsi="Times New Roman"/>
          <w:b w:val="0"/>
          <w:i w:val="0"/>
          <w:sz w:val="24"/>
        </w:rPr>
        <w:t>The database architecture is grounded in a 28-variable data dictionary partitioned into metadata, raw behavioral telemetry, engineered financial ratios, and protected demographic audit attributes. Continuous features are winsorized at the 1st and 99th percentiles and standardized using StandardScaler.</w:t>
      </w:r>
    </w:p>
    <w:p>
      <w:pPr>
        <w:keepNext/>
        <w:spacing w:before="280" w:after="120"/>
        <w:jc w:val="left"/>
      </w:pPr>
      <w:r>
        <w:rPr>
          <w:rFonts w:ascii="Times New Roman" w:hAnsi="Times New Roman"/>
          <w:b/>
          <w:color w:val="1E3A8A"/>
          <w:sz w:val="28"/>
        </w:rPr>
        <w:t>4.5 User Interface Design</w:t>
      </w:r>
    </w:p>
    <w:p>
      <w:pPr>
        <w:spacing w:line="360" w:lineRule="auto" w:after="120"/>
        <w:jc w:val="both"/>
      </w:pPr>
      <w:r>
        <w:rPr>
          <w:rFonts w:ascii="Times New Roman" w:hAnsi="Times New Roman"/>
          <w:b w:val="0"/>
          <w:i w:val="0"/>
          <w:sz w:val="24"/>
        </w:rPr>
        <w:t>Two primary user interfaces were engineered: (1) A monochrome USSD mobile wireframe (*140*555#) operating within the 182-character GSM protocol constraint; and (2) A web-based loan officer and supervisory dashboard developed in Streamlit, featuring real-time risk badges, interactive input sliders, and live TreeSHAP waterfall charts.</w:t>
      </w:r>
    </w:p>
    <w:p>
      <w:pPr>
        <w:keepNext/>
        <w:spacing w:before="280" w:after="120"/>
        <w:jc w:val="left"/>
      </w:pPr>
      <w:r>
        <w:rPr>
          <w:rFonts w:ascii="Times New Roman" w:hAnsi="Times New Roman"/>
          <w:b/>
          <w:color w:val="1E3A8A"/>
          <w:sz w:val="28"/>
        </w:rPr>
        <w:t>4.6 System Architecture</w:t>
      </w:r>
    </w:p>
    <w:p>
      <w:pPr>
        <w:spacing w:line="360" w:lineRule="auto" w:after="120"/>
        <w:jc w:val="both"/>
      </w:pPr>
      <w:r>
        <w:rPr>
          <w:rFonts w:ascii="Times New Roman" w:hAnsi="Times New Roman"/>
          <w:b w:val="0"/>
          <w:i w:val="0"/>
          <w:sz w:val="24"/>
        </w:rPr>
        <w:t>The multi-tier system architecture comprises five decoupled layers: (1) Data Ingestion Layer; (2) Preprocessing &amp; Leak-Free Scaling Pipeline; (3) Machine Learning Inference Engine (XGBoost/Random Forest); (4) TreeSHAP &amp; Fairness Auditing Middleware; and (5) Presentation &amp; USSD Gateway Layer.</w:t>
      </w:r>
    </w:p>
    <w:p>
      <w:r>
        <w:br w:type="page"/>
      </w:r>
    </w:p>
    <w:p>
      <w:pPr>
        <w:keepNext/>
        <w:spacing w:before="360" w:after="240"/>
        <w:jc w:val="left"/>
      </w:pPr>
      <w:r>
        <w:rPr>
          <w:rFonts w:ascii="Times New Roman" w:hAnsi="Times New Roman"/>
          <w:b/>
          <w:color w:val="1E3A8A"/>
          <w:sz w:val="32"/>
        </w:rPr>
        <w:t>CHAPTER 5: SYSTEM IMPLEMENTATION</w:t>
      </w:r>
    </w:p>
    <w:p>
      <w:pPr>
        <w:keepNext/>
        <w:spacing w:before="280" w:after="120"/>
        <w:jc w:val="left"/>
      </w:pPr>
      <w:r>
        <w:rPr>
          <w:rFonts w:ascii="Times New Roman" w:hAnsi="Times New Roman"/>
          <w:b/>
          <w:color w:val="1E3A8A"/>
          <w:sz w:val="28"/>
        </w:rPr>
        <w:t>5.1 Introduction</w:t>
      </w:r>
    </w:p>
    <w:p>
      <w:pPr>
        <w:spacing w:line="360" w:lineRule="auto" w:after="120"/>
        <w:jc w:val="both"/>
      </w:pPr>
      <w:r>
        <w:rPr>
          <w:rFonts w:ascii="Times New Roman" w:hAnsi="Times New Roman"/>
          <w:b w:val="0"/>
          <w:i w:val="0"/>
          <w:sz w:val="24"/>
        </w:rPr>
        <w:t>This chapter documents the technical implementation of the machine learning scoring engine, the data pipeline, the TreeSHAP explainability middleware, and the interactive presentation prototype.</w:t>
      </w:r>
    </w:p>
    <w:p>
      <w:pPr>
        <w:keepNext/>
        <w:spacing w:before="280" w:after="120"/>
        <w:jc w:val="left"/>
      </w:pPr>
      <w:r>
        <w:rPr>
          <w:rFonts w:ascii="Times New Roman" w:hAnsi="Times New Roman"/>
          <w:b/>
          <w:color w:val="1E3A8A"/>
          <w:sz w:val="28"/>
        </w:rPr>
        <w:t>5.2 Development Environment</w:t>
      </w:r>
    </w:p>
    <w:p>
      <w:pPr>
        <w:spacing w:line="360" w:lineRule="auto" w:after="120"/>
        <w:jc w:val="both"/>
      </w:pPr>
      <w:r>
        <w:rPr>
          <w:rFonts w:ascii="Times New Roman" w:hAnsi="Times New Roman"/>
          <w:b w:val="0"/>
          <w:i w:val="0"/>
          <w:sz w:val="24"/>
        </w:rPr>
        <w:t>The system was implemented using Python 3.11 within a virtualized Windows environment managed via the uv package manager. Key libraries included Scikit-Learn 1.9.1 (baselines, preprocessing, metrics), XGBoost 3.2.0 (gradient boosting), SHAP 0.51.0 (TreeSHAP attribution), Matplotlib 3.11.2 and Seaborn 0.13.2 (visualization), Joblib 1.6.0 (serialization), and Streamlit 1.64.0 (interactive UI).</w:t>
      </w:r>
    </w:p>
    <w:p>
      <w:pPr>
        <w:keepNext/>
        <w:spacing w:before="280" w:after="120"/>
        <w:jc w:val="left"/>
      </w:pPr>
      <w:r>
        <w:rPr>
          <w:rFonts w:ascii="Times New Roman" w:hAnsi="Times New Roman"/>
          <w:b/>
          <w:color w:val="1E3A8A"/>
          <w:sz w:val="28"/>
        </w:rPr>
        <w:t>5.3 System Implementation</w:t>
      </w:r>
    </w:p>
    <w:p>
      <w:pPr>
        <w:spacing w:line="360" w:lineRule="auto" w:after="120"/>
        <w:jc w:val="both"/>
      </w:pPr>
      <w:r>
        <w:rPr>
          <w:rFonts w:ascii="Times New Roman" w:hAnsi="Times New Roman"/>
          <w:b w:val="0"/>
          <w:i w:val="0"/>
          <w:sz w:val="24"/>
        </w:rPr>
        <w:t>The implementation is modularized across standalone scripts in the src/ directory: data_generation.py (cohort simulation), data_cleaning.py (winsorization and missingness flags), feature_engineering.py (ratio construction and leak-free scaling), train_baselines.py (Logistic Regression and Decision Trees), train_advanced.py (Random Forest and XGBoost), evaluate.py (DeLong tests and cost optimization), explainability.py (TreeSHAP attributions), and fairness_audit.py (disparate impact testing).</w:t>
      </w:r>
    </w:p>
    <w:p>
      <w:pPr>
        <w:keepNext/>
        <w:spacing w:before="280" w:after="120"/>
        <w:jc w:val="left"/>
      </w:pPr>
      <w:r>
        <w:rPr>
          <w:rFonts w:ascii="Times New Roman" w:hAnsi="Times New Roman"/>
          <w:b/>
          <w:color w:val="1E3A8A"/>
          <w:sz w:val="28"/>
        </w:rPr>
        <w:t>5.4 Implementation of Major Features</w:t>
      </w:r>
    </w:p>
    <w:p>
      <w:pPr>
        <w:spacing w:line="360" w:lineRule="auto" w:after="120"/>
        <w:jc w:val="both"/>
      </w:pPr>
      <w:r>
        <w:rPr>
          <w:rFonts w:ascii="Times New Roman" w:hAnsi="Times New Roman"/>
          <w:b w:val="0"/>
          <w:i w:val="0"/>
          <w:sz w:val="24"/>
        </w:rPr>
        <w:t>Major features implemented include: (1) XGBoost loss weighting using scale_pos_weight = 24.36 to resolve the 3.93% default class imbalance; (2) TreeSHAP exact polynomial-time waterfall decomposition translating margins into log-odds risk factors; (3) Automated plain-language adverse-action SMS notice generation; and (4) An interactive Streamlit dashboard (app.py) launched via launch_presentation_tool.bat.</w:t>
      </w:r>
    </w:p>
    <w:p>
      <w:pPr>
        <w:keepNext/>
        <w:spacing w:before="280" w:after="120"/>
        <w:jc w:val="left"/>
      </w:pPr>
      <w:r>
        <w:rPr>
          <w:rFonts w:ascii="Times New Roman" w:hAnsi="Times New Roman"/>
          <w:b/>
          <w:color w:val="1E3A8A"/>
          <w:sz w:val="28"/>
        </w:rPr>
        <w:t>5.5 Database Implementation</w:t>
      </w:r>
    </w:p>
    <w:p>
      <w:pPr>
        <w:spacing w:line="360" w:lineRule="auto" w:after="120"/>
        <w:jc w:val="both"/>
      </w:pPr>
      <w:r>
        <w:rPr>
          <w:rFonts w:ascii="Times New Roman" w:hAnsi="Times New Roman"/>
          <w:b w:val="0"/>
          <w:i w:val="0"/>
          <w:sz w:val="24"/>
        </w:rPr>
        <w:t>Processed features and ground truth targets are persisted as structured CSV files in data/processed/. Trained machine learning models and fitted StandardScaler transformers are serialized as binary .joblib artifacts in models/.</w:t>
      </w:r>
    </w:p>
    <w:p>
      <w:pPr>
        <w:keepNext/>
        <w:spacing w:before="280" w:after="120"/>
        <w:jc w:val="left"/>
      </w:pPr>
      <w:r>
        <w:rPr>
          <w:rFonts w:ascii="Times New Roman" w:hAnsi="Times New Roman"/>
          <w:b/>
          <w:color w:val="1E3A8A"/>
          <w:sz w:val="28"/>
        </w:rPr>
        <w:t>5.6 Security Implementation</w:t>
      </w:r>
    </w:p>
    <w:p>
      <w:pPr>
        <w:spacing w:line="360" w:lineRule="auto" w:after="120"/>
        <w:jc w:val="both"/>
      </w:pPr>
      <w:r>
        <w:rPr>
          <w:rFonts w:ascii="Times New Roman" w:hAnsi="Times New Roman"/>
          <w:b w:val="0"/>
          <w:i w:val="0"/>
          <w:sz w:val="24"/>
        </w:rPr>
        <w:t>Security and constitutional compliance are enforced via architectural feature decoupling: demographic attributes are stored in a separate protected partition (protected_attributes_test.csv) and are physically inaccessible to the model inference pipeline during scoring.</w:t>
      </w:r>
    </w:p>
    <w:p>
      <w:pPr>
        <w:keepNext/>
        <w:spacing w:before="280" w:after="120"/>
        <w:jc w:val="left"/>
      </w:pPr>
      <w:r>
        <w:rPr>
          <w:rFonts w:ascii="Times New Roman" w:hAnsi="Times New Roman"/>
          <w:b/>
          <w:color w:val="1E3A8A"/>
          <w:sz w:val="28"/>
        </w:rPr>
        <w:t>5.7 Challenges Encountered During Development</w:t>
      </w:r>
    </w:p>
    <w:p>
      <w:pPr>
        <w:spacing w:line="360" w:lineRule="auto" w:after="120"/>
        <w:jc w:val="both"/>
      </w:pPr>
      <w:r>
        <w:rPr>
          <w:rFonts w:ascii="Times New Roman" w:hAnsi="Times New Roman"/>
          <w:b w:val="0"/>
          <w:i w:val="0"/>
          <w:sz w:val="24"/>
        </w:rPr>
        <w:t>Key technical challenges resolved during development included: (1) Extreme class imbalance (3.93% default rate), which caused standard classifiers to predict zero defaults; (2) Operator precedence errors during cost curve threshold sweeps, which were diagnosed and resolved; and (3) Windows console cp1252 character encoding conflicts with Unicode checkmarks, which were resolved via ASCII sanitization.</w:t>
      </w:r>
    </w:p>
    <w:p>
      <w:r>
        <w:br w:type="page"/>
      </w:r>
    </w:p>
    <w:p>
      <w:pPr>
        <w:keepNext/>
        <w:spacing w:before="360" w:after="240"/>
        <w:jc w:val="left"/>
      </w:pPr>
      <w:r>
        <w:rPr>
          <w:rFonts w:ascii="Times New Roman" w:hAnsi="Times New Roman"/>
          <w:b/>
          <w:color w:val="1E3A8A"/>
          <w:sz w:val="32"/>
        </w:rPr>
        <w:t>CHAPTER 6: SYSTEM TESTING AND EVALUATION</w:t>
      </w:r>
    </w:p>
    <w:p>
      <w:pPr>
        <w:keepNext/>
        <w:spacing w:before="280" w:after="120"/>
        <w:jc w:val="left"/>
      </w:pPr>
      <w:r>
        <w:rPr>
          <w:rFonts w:ascii="Times New Roman" w:hAnsi="Times New Roman"/>
          <w:b/>
          <w:color w:val="1E3A8A"/>
          <w:sz w:val="28"/>
        </w:rPr>
        <w:t>6.1 Introduction</w:t>
      </w:r>
    </w:p>
    <w:p>
      <w:pPr>
        <w:spacing w:line="360" w:lineRule="auto" w:after="120"/>
        <w:jc w:val="both"/>
      </w:pPr>
      <w:r>
        <w:rPr>
          <w:rFonts w:ascii="Times New Roman" w:hAnsi="Times New Roman"/>
          <w:b w:val="0"/>
          <w:i w:val="0"/>
          <w:sz w:val="24"/>
        </w:rPr>
        <w:t>This chapter presents the empirical testing results, statistical hypothesis tests, probability calibration diagrams, cost-sensitive portfolio loss analyses, TreeSHAP feature attributions, and algorithmic fairness audits conducted on the holdout test partition (N = 1,500).</w:t>
      </w:r>
    </w:p>
    <w:p>
      <w:pPr>
        <w:keepNext/>
        <w:spacing w:before="280" w:after="120"/>
        <w:jc w:val="left"/>
      </w:pPr>
      <w:r>
        <w:rPr>
          <w:rFonts w:ascii="Times New Roman" w:hAnsi="Times New Roman"/>
          <w:b/>
          <w:color w:val="1E3A8A"/>
          <w:sz w:val="28"/>
        </w:rPr>
        <w:t>6.2 Testing Strategy</w:t>
      </w:r>
    </w:p>
    <w:p>
      <w:pPr>
        <w:spacing w:line="360" w:lineRule="auto" w:after="120"/>
        <w:jc w:val="both"/>
      </w:pPr>
      <w:r>
        <w:rPr>
          <w:rFonts w:ascii="Times New Roman" w:hAnsi="Times New Roman"/>
          <w:b w:val="0"/>
          <w:i w:val="0"/>
          <w:sz w:val="24"/>
        </w:rPr>
        <w:t>Testing incorporated 5-fold stratified cross-validation on training data, out-of-sample holdout test benchmarking, paired DeLong statistical significance tests, and four-fifths demographic parity auditing across gender, geography, and business formalization.</w:t>
      </w:r>
    </w:p>
    <w:p>
      <w:pPr>
        <w:keepNext/>
        <w:spacing w:before="280" w:after="120"/>
        <w:jc w:val="left"/>
      </w:pPr>
      <w:r>
        <w:rPr>
          <w:rFonts w:ascii="Times New Roman" w:hAnsi="Times New Roman"/>
          <w:b/>
          <w:color w:val="1E3A8A"/>
          <w:sz w:val="28"/>
        </w:rPr>
        <w:t>6.3 Test Cases</w:t>
      </w:r>
    </w:p>
    <w:p>
      <w:pPr>
        <w:spacing w:before="200" w:after="80"/>
      </w:pPr>
      <w:r>
        <w:rPr>
          <w:rFonts w:ascii="Times New Roman" w:hAnsi="Times New Roman"/>
          <w:b/>
          <w:sz w:val="22"/>
        </w:rPr>
        <w:t>Table: Table 6.1: Functional and Algorithmic Test Cases Execution Matrix</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3A8A"/>
          </w:tcPr>
          <w:p>
            <w:pPr>
              <w:jc w:val="center"/>
            </w:pPr>
            <w:r>
              <w:rPr>
                <w:rFonts w:ascii="Times New Roman" w:hAnsi="Times New Roman"/>
                <w:b/>
                <w:color w:val="FFFFFF"/>
                <w:sz w:val="20"/>
              </w:rPr>
              <w:t>Test ID</w:t>
            </w:r>
          </w:p>
        </w:tc>
        <w:tc>
          <w:tcPr>
            <w:tcW w:type="dxa" w:w="1872"/>
            <w:shd w:fill="1E3A8A"/>
          </w:tcPr>
          <w:p>
            <w:pPr>
              <w:jc w:val="center"/>
            </w:pPr>
            <w:r>
              <w:rPr>
                <w:rFonts w:ascii="Times New Roman" w:hAnsi="Times New Roman"/>
                <w:b/>
                <w:color w:val="FFFFFF"/>
                <w:sz w:val="20"/>
              </w:rPr>
              <w:t>Test Description</w:t>
            </w:r>
          </w:p>
        </w:tc>
        <w:tc>
          <w:tcPr>
            <w:tcW w:type="dxa" w:w="1872"/>
            <w:shd w:fill="1E3A8A"/>
          </w:tcPr>
          <w:p>
            <w:pPr>
              <w:jc w:val="center"/>
            </w:pPr>
            <w:r>
              <w:rPr>
                <w:rFonts w:ascii="Times New Roman" w:hAnsi="Times New Roman"/>
                <w:b/>
                <w:color w:val="FFFFFF"/>
                <w:sz w:val="20"/>
              </w:rPr>
              <w:t>Input Condition</w:t>
            </w:r>
          </w:p>
        </w:tc>
        <w:tc>
          <w:tcPr>
            <w:tcW w:type="dxa" w:w="1872"/>
            <w:shd w:fill="1E3A8A"/>
          </w:tcPr>
          <w:p>
            <w:pPr>
              <w:jc w:val="center"/>
            </w:pPr>
            <w:r>
              <w:rPr>
                <w:rFonts w:ascii="Times New Roman" w:hAnsi="Times New Roman"/>
                <w:b/>
                <w:color w:val="FFFFFF"/>
                <w:sz w:val="20"/>
              </w:rPr>
              <w:t>Expected Result</w:t>
            </w:r>
          </w:p>
        </w:tc>
        <w:tc>
          <w:tcPr>
            <w:tcW w:type="dxa" w:w="1872"/>
            <w:shd w:fill="1E3A8A"/>
          </w:tcPr>
          <w:p>
            <w:pPr>
              <w:jc w:val="center"/>
            </w:pPr>
            <w:r>
              <w:rPr>
                <w:rFonts w:ascii="Times New Roman" w:hAnsi="Times New Roman"/>
                <w:b/>
                <w:color w:val="FFFFFF"/>
                <w:sz w:val="20"/>
              </w:rPr>
              <w:t>Status</w:t>
            </w:r>
          </w:p>
        </w:tc>
      </w:tr>
      <w:tr>
        <w:tc>
          <w:tcPr>
            <w:tcW w:type="dxa" w:w="1872"/>
            <w:shd w:fill="FFFFFF"/>
          </w:tcPr>
          <w:p>
            <w:pPr>
              <w:jc w:val="left"/>
            </w:pPr>
            <w:r>
              <w:rPr>
                <w:rFonts w:ascii="Times New Roman" w:hAnsi="Times New Roman"/>
                <w:sz w:val="20"/>
              </w:rPr>
              <w:t>TC01</w:t>
            </w:r>
          </w:p>
        </w:tc>
        <w:tc>
          <w:tcPr>
            <w:tcW w:type="dxa" w:w="1872"/>
            <w:shd w:fill="FFFFFF"/>
          </w:tcPr>
          <w:p>
            <w:pPr>
              <w:jc w:val="center"/>
            </w:pPr>
            <w:r>
              <w:rPr>
                <w:rFonts w:ascii="Times New Roman" w:hAnsi="Times New Roman"/>
                <w:sz w:val="20"/>
              </w:rPr>
              <w:t>Leak-Free Normalization</w:t>
            </w:r>
          </w:p>
        </w:tc>
        <w:tc>
          <w:tcPr>
            <w:tcW w:type="dxa" w:w="1872"/>
            <w:shd w:fill="FFFFFF"/>
          </w:tcPr>
          <w:p>
            <w:pPr>
              <w:jc w:val="center"/>
            </w:pPr>
            <w:r>
              <w:rPr>
                <w:rFonts w:ascii="Times New Roman" w:hAnsi="Times New Roman"/>
                <w:sz w:val="20"/>
              </w:rPr>
              <w:t>Fit StandardScaler on Train only</w:t>
            </w:r>
          </w:p>
        </w:tc>
        <w:tc>
          <w:tcPr>
            <w:tcW w:type="dxa" w:w="1872"/>
            <w:shd w:fill="FFFFFF"/>
          </w:tcPr>
          <w:p>
            <w:pPr>
              <w:jc w:val="center"/>
            </w:pPr>
            <w:r>
              <w:rPr>
                <w:rFonts w:ascii="Times New Roman" w:hAnsi="Times New Roman"/>
                <w:sz w:val="20"/>
              </w:rPr>
              <w:t>Test set transformed with train mean/std</w:t>
            </w:r>
          </w:p>
        </w:tc>
        <w:tc>
          <w:tcPr>
            <w:tcW w:type="dxa" w:w="1872"/>
            <w:shd w:fill="FFFFFF"/>
          </w:tcPr>
          <w:p>
            <w:pPr>
              <w:jc w:val="center"/>
            </w:pPr>
            <w:r>
              <w:rPr>
                <w:rFonts w:ascii="Times New Roman" w:hAnsi="Times New Roman"/>
                <w:sz w:val="20"/>
              </w:rPr>
              <w:t>PASSED</w:t>
            </w:r>
          </w:p>
        </w:tc>
      </w:tr>
      <w:tr>
        <w:tc>
          <w:tcPr>
            <w:tcW w:type="dxa" w:w="1872"/>
            <w:shd w:fill="F8FAFC"/>
          </w:tcPr>
          <w:p>
            <w:pPr>
              <w:jc w:val="left"/>
            </w:pPr>
            <w:r>
              <w:rPr>
                <w:rFonts w:ascii="Times New Roman" w:hAnsi="Times New Roman"/>
                <w:sz w:val="20"/>
              </w:rPr>
              <w:t>TC02</w:t>
            </w:r>
          </w:p>
        </w:tc>
        <w:tc>
          <w:tcPr>
            <w:tcW w:type="dxa" w:w="1872"/>
            <w:shd w:fill="F8FAFC"/>
          </w:tcPr>
          <w:p>
            <w:pPr>
              <w:jc w:val="center"/>
            </w:pPr>
            <w:r>
              <w:rPr>
                <w:rFonts w:ascii="Times New Roman" w:hAnsi="Times New Roman"/>
                <w:sz w:val="20"/>
              </w:rPr>
              <w:t>Class Imbalance Weighting</w:t>
            </w:r>
          </w:p>
        </w:tc>
        <w:tc>
          <w:tcPr>
            <w:tcW w:type="dxa" w:w="1872"/>
            <w:shd w:fill="F8FAFC"/>
          </w:tcPr>
          <w:p>
            <w:pPr>
              <w:jc w:val="center"/>
            </w:pPr>
            <w:r>
              <w:rPr>
                <w:rFonts w:ascii="Times New Roman" w:hAnsi="Times New Roman"/>
                <w:sz w:val="20"/>
              </w:rPr>
              <w:t>Set scale_pos_weight = 24.36</w:t>
            </w:r>
          </w:p>
        </w:tc>
        <w:tc>
          <w:tcPr>
            <w:tcW w:type="dxa" w:w="1872"/>
            <w:shd w:fill="F8FAFC"/>
          </w:tcPr>
          <w:p>
            <w:pPr>
              <w:jc w:val="center"/>
            </w:pPr>
            <w:r>
              <w:rPr>
                <w:rFonts w:ascii="Times New Roman" w:hAnsi="Times New Roman"/>
                <w:sz w:val="20"/>
              </w:rPr>
              <w:t>Minority class recall exceeds 45%</w:t>
            </w:r>
          </w:p>
        </w:tc>
        <w:tc>
          <w:tcPr>
            <w:tcW w:type="dxa" w:w="1872"/>
            <w:shd w:fill="F8FAFC"/>
          </w:tcPr>
          <w:p>
            <w:pPr>
              <w:jc w:val="center"/>
            </w:pPr>
            <w:r>
              <w:rPr>
                <w:rFonts w:ascii="Times New Roman" w:hAnsi="Times New Roman"/>
                <w:sz w:val="20"/>
              </w:rPr>
              <w:t>PASSED</w:t>
            </w:r>
          </w:p>
        </w:tc>
      </w:tr>
      <w:tr>
        <w:tc>
          <w:tcPr>
            <w:tcW w:type="dxa" w:w="1872"/>
            <w:shd w:fill="FFFFFF"/>
          </w:tcPr>
          <w:p>
            <w:pPr>
              <w:jc w:val="left"/>
            </w:pPr>
            <w:r>
              <w:rPr>
                <w:rFonts w:ascii="Times New Roman" w:hAnsi="Times New Roman"/>
                <w:sz w:val="20"/>
              </w:rPr>
              <w:t>TC03</w:t>
            </w:r>
          </w:p>
        </w:tc>
        <w:tc>
          <w:tcPr>
            <w:tcW w:type="dxa" w:w="1872"/>
            <w:shd w:fill="FFFFFF"/>
          </w:tcPr>
          <w:p>
            <w:pPr>
              <w:jc w:val="center"/>
            </w:pPr>
            <w:r>
              <w:rPr>
                <w:rFonts w:ascii="Times New Roman" w:hAnsi="Times New Roman"/>
                <w:sz w:val="20"/>
              </w:rPr>
              <w:t>Probability Calibration</w:t>
            </w:r>
          </w:p>
        </w:tc>
        <w:tc>
          <w:tcPr>
            <w:tcW w:type="dxa" w:w="1872"/>
            <w:shd w:fill="FFFFFF"/>
          </w:tcPr>
          <w:p>
            <w:pPr>
              <w:jc w:val="center"/>
            </w:pPr>
            <w:r>
              <w:rPr>
                <w:rFonts w:ascii="Times New Roman" w:hAnsi="Times New Roman"/>
                <w:sz w:val="20"/>
              </w:rPr>
              <w:t>Evaluate Brier Score on holdout</w:t>
            </w:r>
          </w:p>
        </w:tc>
        <w:tc>
          <w:tcPr>
            <w:tcW w:type="dxa" w:w="1872"/>
            <w:shd w:fill="FFFFFF"/>
          </w:tcPr>
          <w:p>
            <w:pPr>
              <w:jc w:val="center"/>
            </w:pPr>
            <w:r>
              <w:rPr>
                <w:rFonts w:ascii="Times New Roman" w:hAnsi="Times New Roman"/>
                <w:sz w:val="20"/>
              </w:rPr>
              <w:t>Random Forest Brier &lt;= 0.10</w:t>
            </w:r>
          </w:p>
        </w:tc>
        <w:tc>
          <w:tcPr>
            <w:tcW w:type="dxa" w:w="1872"/>
            <w:shd w:fill="FFFFFF"/>
          </w:tcPr>
          <w:p>
            <w:pPr>
              <w:jc w:val="center"/>
            </w:pPr>
            <w:r>
              <w:rPr>
                <w:rFonts w:ascii="Times New Roman" w:hAnsi="Times New Roman"/>
                <w:sz w:val="20"/>
              </w:rPr>
              <w:t>PASSED</w:t>
            </w:r>
          </w:p>
        </w:tc>
      </w:tr>
      <w:tr>
        <w:tc>
          <w:tcPr>
            <w:tcW w:type="dxa" w:w="1872"/>
            <w:shd w:fill="F8FAFC"/>
          </w:tcPr>
          <w:p>
            <w:pPr>
              <w:jc w:val="left"/>
            </w:pPr>
            <w:r>
              <w:rPr>
                <w:rFonts w:ascii="Times New Roman" w:hAnsi="Times New Roman"/>
                <w:sz w:val="20"/>
              </w:rPr>
              <w:t>TC04</w:t>
            </w:r>
          </w:p>
        </w:tc>
        <w:tc>
          <w:tcPr>
            <w:tcW w:type="dxa" w:w="1872"/>
            <w:shd w:fill="F8FAFC"/>
          </w:tcPr>
          <w:p>
            <w:pPr>
              <w:jc w:val="center"/>
            </w:pPr>
            <w:r>
              <w:rPr>
                <w:rFonts w:ascii="Times New Roman" w:hAnsi="Times New Roman"/>
                <w:sz w:val="20"/>
              </w:rPr>
              <w:t>TreeSHAP Local Attribution</w:t>
            </w:r>
          </w:p>
        </w:tc>
        <w:tc>
          <w:tcPr>
            <w:tcW w:type="dxa" w:w="1872"/>
            <w:shd w:fill="F8FAFC"/>
          </w:tcPr>
          <w:p>
            <w:pPr>
              <w:jc w:val="center"/>
            </w:pPr>
            <w:r>
              <w:rPr>
                <w:rFonts w:ascii="Times New Roman" w:hAnsi="Times New Roman"/>
                <w:sz w:val="20"/>
              </w:rPr>
              <w:t>Explain declined case NAM-11764</w:t>
            </w:r>
          </w:p>
        </w:tc>
        <w:tc>
          <w:tcPr>
            <w:tcW w:type="dxa" w:w="1872"/>
            <w:shd w:fill="F8FAFC"/>
          </w:tcPr>
          <w:p>
            <w:pPr>
              <w:jc w:val="center"/>
            </w:pPr>
            <w:r>
              <w:rPr>
                <w:rFonts w:ascii="Times New Roman" w:hAnsi="Times New Roman"/>
                <w:sz w:val="20"/>
              </w:rPr>
              <w:t>Exact additive efficiency (R2 = 1.000)</w:t>
            </w:r>
          </w:p>
        </w:tc>
        <w:tc>
          <w:tcPr>
            <w:tcW w:type="dxa" w:w="1872"/>
            <w:shd w:fill="F8FAFC"/>
          </w:tcPr>
          <w:p>
            <w:pPr>
              <w:jc w:val="center"/>
            </w:pPr>
            <w:r>
              <w:rPr>
                <w:rFonts w:ascii="Times New Roman" w:hAnsi="Times New Roman"/>
                <w:sz w:val="20"/>
              </w:rPr>
              <w:t>PASSED</w:t>
            </w:r>
          </w:p>
        </w:tc>
      </w:tr>
      <w:tr>
        <w:tc>
          <w:tcPr>
            <w:tcW w:type="dxa" w:w="1872"/>
            <w:shd w:fill="FFFFFF"/>
          </w:tcPr>
          <w:p>
            <w:pPr>
              <w:jc w:val="left"/>
            </w:pPr>
            <w:r>
              <w:rPr>
                <w:rFonts w:ascii="Times New Roman" w:hAnsi="Times New Roman"/>
                <w:sz w:val="20"/>
              </w:rPr>
              <w:t>TC05</w:t>
            </w:r>
          </w:p>
        </w:tc>
        <w:tc>
          <w:tcPr>
            <w:tcW w:type="dxa" w:w="1872"/>
            <w:shd w:fill="FFFFFF"/>
          </w:tcPr>
          <w:p>
            <w:pPr>
              <w:jc w:val="center"/>
            </w:pPr>
            <w:r>
              <w:rPr>
                <w:rFonts w:ascii="Times New Roman" w:hAnsi="Times New Roman"/>
                <w:sz w:val="20"/>
              </w:rPr>
              <w:t>Gender Fairness Audit</w:t>
            </w:r>
          </w:p>
        </w:tc>
        <w:tc>
          <w:tcPr>
            <w:tcW w:type="dxa" w:w="1872"/>
            <w:shd w:fill="FFFFFF"/>
          </w:tcPr>
          <w:p>
            <w:pPr>
              <w:jc w:val="center"/>
            </w:pPr>
            <w:r>
              <w:rPr>
                <w:rFonts w:ascii="Times New Roman" w:hAnsi="Times New Roman"/>
                <w:sz w:val="20"/>
              </w:rPr>
              <w:t>Evaluate DIR across Female vs Male</w:t>
            </w:r>
          </w:p>
        </w:tc>
        <w:tc>
          <w:tcPr>
            <w:tcW w:type="dxa" w:w="1872"/>
            <w:shd w:fill="FFFFFF"/>
          </w:tcPr>
          <w:p>
            <w:pPr>
              <w:jc w:val="center"/>
            </w:pPr>
            <w:r>
              <w:rPr>
                <w:rFonts w:ascii="Times New Roman" w:hAnsi="Times New Roman"/>
                <w:sz w:val="20"/>
              </w:rPr>
              <w:t>XGBoost DIR &gt;= 0.80 (Four-fifths rule)</w:t>
            </w:r>
          </w:p>
        </w:tc>
        <w:tc>
          <w:tcPr>
            <w:tcW w:type="dxa" w:w="1872"/>
            <w:shd w:fill="FFFFFF"/>
          </w:tcPr>
          <w:p>
            <w:pPr>
              <w:jc w:val="center"/>
            </w:pPr>
            <w:r>
              <w:rPr>
                <w:rFonts w:ascii="Times New Roman" w:hAnsi="Times New Roman"/>
                <w:sz w:val="20"/>
              </w:rPr>
              <w:t>PASSED</w:t>
            </w:r>
          </w:p>
        </w:tc>
      </w:tr>
      <w:tr>
        <w:tc>
          <w:tcPr>
            <w:tcW w:type="dxa" w:w="1872"/>
            <w:shd w:fill="F8FAFC"/>
          </w:tcPr>
          <w:p>
            <w:pPr>
              <w:jc w:val="left"/>
            </w:pPr>
            <w:r>
              <w:rPr>
                <w:rFonts w:ascii="Times New Roman" w:hAnsi="Times New Roman"/>
                <w:sz w:val="20"/>
              </w:rPr>
              <w:t>TC06</w:t>
            </w:r>
          </w:p>
        </w:tc>
        <w:tc>
          <w:tcPr>
            <w:tcW w:type="dxa" w:w="1872"/>
            <w:shd w:fill="F8FAFC"/>
          </w:tcPr>
          <w:p>
            <w:pPr>
              <w:jc w:val="center"/>
            </w:pPr>
            <w:r>
              <w:rPr>
                <w:rFonts w:ascii="Times New Roman" w:hAnsi="Times New Roman"/>
                <w:sz w:val="20"/>
              </w:rPr>
              <w:t>Rural Disparate Impact</w:t>
            </w:r>
          </w:p>
        </w:tc>
        <w:tc>
          <w:tcPr>
            <w:tcW w:type="dxa" w:w="1872"/>
            <w:shd w:fill="F8FAFC"/>
          </w:tcPr>
          <w:p>
            <w:pPr>
              <w:jc w:val="center"/>
            </w:pPr>
            <w:r>
              <w:rPr>
                <w:rFonts w:ascii="Times New Roman" w:hAnsi="Times New Roman"/>
                <w:sz w:val="20"/>
              </w:rPr>
              <w:t>Evaluate DIR on Rural vs Urban</w:t>
            </w:r>
          </w:p>
        </w:tc>
        <w:tc>
          <w:tcPr>
            <w:tcW w:type="dxa" w:w="1872"/>
            <w:shd w:fill="F8FAFC"/>
          </w:tcPr>
          <w:p>
            <w:pPr>
              <w:jc w:val="center"/>
            </w:pPr>
            <w:r>
              <w:rPr>
                <w:rFonts w:ascii="Times New Roman" w:hAnsi="Times New Roman"/>
                <w:sz w:val="20"/>
              </w:rPr>
              <w:t>RF DIR &lt; 0.80 flagged; mitigated at tau=0.40</w:t>
            </w:r>
          </w:p>
        </w:tc>
        <w:tc>
          <w:tcPr>
            <w:tcW w:type="dxa" w:w="1872"/>
            <w:shd w:fill="F8FAFC"/>
          </w:tcPr>
          <w:p>
            <w:pPr>
              <w:jc w:val="center"/>
            </w:pPr>
            <w:r>
              <w:rPr>
                <w:rFonts w:ascii="Times New Roman" w:hAnsi="Times New Roman"/>
                <w:sz w:val="20"/>
              </w:rPr>
              <w:t>PASSED</w:t>
            </w:r>
          </w:p>
        </w:tc>
      </w:tr>
    </w:tbl>
    <w:p>
      <w:pPr>
        <w:spacing w:after="160"/>
      </w:pPr>
    </w:p>
    <w:p>
      <w:pPr>
        <w:keepNext/>
        <w:spacing w:before="280" w:after="120"/>
        <w:jc w:val="left"/>
      </w:pPr>
      <w:r>
        <w:rPr>
          <w:rFonts w:ascii="Times New Roman" w:hAnsi="Times New Roman"/>
          <w:b/>
          <w:color w:val="1E3A8A"/>
          <w:sz w:val="28"/>
        </w:rPr>
        <w:t>6.4 Testing Results</w:t>
      </w:r>
    </w:p>
    <w:p>
      <w:pPr>
        <w:spacing w:before="200" w:after="80"/>
      </w:pPr>
      <w:r>
        <w:rPr>
          <w:rFonts w:ascii="Times New Roman" w:hAnsi="Times New Roman"/>
          <w:b/>
          <w:sz w:val="22"/>
        </w:rPr>
        <w:t>Table: Table 6.2: Complete Benchmark Results on Holdout Test Set (N = 1,500)</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E3A8A"/>
          </w:tcPr>
          <w:p>
            <w:pPr>
              <w:jc w:val="center"/>
            </w:pPr>
            <w:r>
              <w:rPr>
                <w:rFonts w:ascii="Times New Roman" w:hAnsi="Times New Roman"/>
                <w:b/>
                <w:color w:val="FFFFFF"/>
                <w:sz w:val="20"/>
              </w:rPr>
              <w:t>Model Architecture</w:t>
            </w:r>
          </w:p>
        </w:tc>
        <w:tc>
          <w:tcPr>
            <w:tcW w:type="dxa" w:w="1170"/>
            <w:shd w:fill="1E3A8A"/>
          </w:tcPr>
          <w:p>
            <w:pPr>
              <w:jc w:val="center"/>
            </w:pPr>
            <w:r>
              <w:rPr>
                <w:rFonts w:ascii="Times New Roman" w:hAnsi="Times New Roman"/>
                <w:b/>
                <w:color w:val="FFFFFF"/>
                <w:sz w:val="20"/>
              </w:rPr>
              <w:t>Holdout ROC-AUC</w:t>
            </w:r>
          </w:p>
        </w:tc>
        <w:tc>
          <w:tcPr>
            <w:tcW w:type="dxa" w:w="1170"/>
            <w:shd w:fill="1E3A8A"/>
          </w:tcPr>
          <w:p>
            <w:pPr>
              <w:jc w:val="center"/>
            </w:pPr>
            <w:r>
              <w:rPr>
                <w:rFonts w:ascii="Times New Roman" w:hAnsi="Times New Roman"/>
                <w:b/>
                <w:color w:val="FFFFFF"/>
                <w:sz w:val="20"/>
              </w:rPr>
              <w:t>PR-AUC</w:t>
            </w:r>
          </w:p>
        </w:tc>
        <w:tc>
          <w:tcPr>
            <w:tcW w:type="dxa" w:w="1170"/>
            <w:shd w:fill="1E3A8A"/>
          </w:tcPr>
          <w:p>
            <w:pPr>
              <w:jc w:val="center"/>
            </w:pPr>
            <w:r>
              <w:rPr>
                <w:rFonts w:ascii="Times New Roman" w:hAnsi="Times New Roman"/>
                <w:b/>
                <w:color w:val="FFFFFF"/>
                <w:sz w:val="20"/>
              </w:rPr>
              <w:t>Default Recall</w:t>
            </w:r>
          </w:p>
        </w:tc>
        <w:tc>
          <w:tcPr>
            <w:tcW w:type="dxa" w:w="1170"/>
            <w:shd w:fill="1E3A8A"/>
          </w:tcPr>
          <w:p>
            <w:pPr>
              <w:jc w:val="center"/>
            </w:pPr>
            <w:r>
              <w:rPr>
                <w:rFonts w:ascii="Times New Roman" w:hAnsi="Times New Roman"/>
                <w:b/>
                <w:color w:val="FFFFFF"/>
                <w:sz w:val="20"/>
              </w:rPr>
              <w:t>FNR</w:t>
            </w:r>
          </w:p>
        </w:tc>
        <w:tc>
          <w:tcPr>
            <w:tcW w:type="dxa" w:w="1170"/>
            <w:shd w:fill="1E3A8A"/>
          </w:tcPr>
          <w:p>
            <w:pPr>
              <w:jc w:val="center"/>
            </w:pPr>
            <w:r>
              <w:rPr>
                <w:rFonts w:ascii="Times New Roman" w:hAnsi="Times New Roman"/>
                <w:b/>
                <w:color w:val="FFFFFF"/>
                <w:sz w:val="20"/>
              </w:rPr>
              <w:t>FPR</w:t>
            </w:r>
          </w:p>
        </w:tc>
        <w:tc>
          <w:tcPr>
            <w:tcW w:type="dxa" w:w="1170"/>
            <w:shd w:fill="1E3A8A"/>
          </w:tcPr>
          <w:p>
            <w:pPr>
              <w:jc w:val="center"/>
            </w:pPr>
            <w:r>
              <w:rPr>
                <w:rFonts w:ascii="Times New Roman" w:hAnsi="Times New Roman"/>
                <w:b/>
                <w:color w:val="FFFFFF"/>
                <w:sz w:val="20"/>
              </w:rPr>
              <w:t>Brier Score</w:t>
            </w:r>
          </w:p>
        </w:tc>
        <w:tc>
          <w:tcPr>
            <w:tcW w:type="dxa" w:w="1170"/>
            <w:shd w:fill="1E3A8A"/>
          </w:tcPr>
          <w:p>
            <w:pPr>
              <w:jc w:val="center"/>
            </w:pPr>
            <w:r>
              <w:rPr>
                <w:rFonts w:ascii="Times New Roman" w:hAnsi="Times New Roman"/>
                <w:b/>
                <w:color w:val="FFFFFF"/>
                <w:sz w:val="20"/>
              </w:rPr>
              <w:t>Min. Loss (5:1)</w:t>
            </w:r>
          </w:p>
        </w:tc>
      </w:tr>
      <w:tr>
        <w:tc>
          <w:tcPr>
            <w:tcW w:type="dxa" w:w="1170"/>
            <w:shd w:fill="FFFFFF"/>
          </w:tcPr>
          <w:p>
            <w:pPr>
              <w:jc w:val="left"/>
            </w:pPr>
            <w:r>
              <w:rPr>
                <w:rFonts w:ascii="Times New Roman" w:hAnsi="Times New Roman"/>
                <w:sz w:val="20"/>
              </w:rPr>
              <w:t>Logistic Regression</w:t>
            </w:r>
          </w:p>
        </w:tc>
        <w:tc>
          <w:tcPr>
            <w:tcW w:type="dxa" w:w="1170"/>
            <w:shd w:fill="FFFFFF"/>
          </w:tcPr>
          <w:p>
            <w:pPr>
              <w:jc w:val="center"/>
            </w:pPr>
            <w:r>
              <w:rPr>
                <w:rFonts w:ascii="Times New Roman" w:hAnsi="Times New Roman"/>
                <w:sz w:val="20"/>
              </w:rPr>
              <w:t>0.6668</w:t>
            </w:r>
          </w:p>
        </w:tc>
        <w:tc>
          <w:tcPr>
            <w:tcW w:type="dxa" w:w="1170"/>
            <w:shd w:fill="FFFFFF"/>
          </w:tcPr>
          <w:p>
            <w:pPr>
              <w:jc w:val="center"/>
            </w:pPr>
            <w:r>
              <w:rPr>
                <w:rFonts w:ascii="Times New Roman" w:hAnsi="Times New Roman"/>
                <w:sz w:val="20"/>
              </w:rPr>
              <w:t>0.1459</w:t>
            </w:r>
          </w:p>
        </w:tc>
        <w:tc>
          <w:tcPr>
            <w:tcW w:type="dxa" w:w="1170"/>
            <w:shd w:fill="FFFFFF"/>
          </w:tcPr>
          <w:p>
            <w:pPr>
              <w:jc w:val="center"/>
            </w:pPr>
            <w:r>
              <w:rPr>
                <w:rFonts w:ascii="Times New Roman" w:hAnsi="Times New Roman"/>
                <w:sz w:val="20"/>
              </w:rPr>
              <w:t>52.54%</w:t>
            </w:r>
          </w:p>
        </w:tc>
        <w:tc>
          <w:tcPr>
            <w:tcW w:type="dxa" w:w="1170"/>
            <w:shd w:fill="FFFFFF"/>
          </w:tcPr>
          <w:p>
            <w:pPr>
              <w:jc w:val="center"/>
            </w:pPr>
            <w:r>
              <w:rPr>
                <w:rFonts w:ascii="Times New Roman" w:hAnsi="Times New Roman"/>
                <w:sz w:val="20"/>
              </w:rPr>
              <w:t>47.46%</w:t>
            </w:r>
          </w:p>
        </w:tc>
        <w:tc>
          <w:tcPr>
            <w:tcW w:type="dxa" w:w="1170"/>
            <w:shd w:fill="FFFFFF"/>
          </w:tcPr>
          <w:p>
            <w:pPr>
              <w:jc w:val="center"/>
            </w:pPr>
            <w:r>
              <w:rPr>
                <w:rFonts w:ascii="Times New Roman" w:hAnsi="Times New Roman"/>
                <w:sz w:val="20"/>
              </w:rPr>
              <w:t>30.26%</w:t>
            </w:r>
          </w:p>
        </w:tc>
        <w:tc>
          <w:tcPr>
            <w:tcW w:type="dxa" w:w="1170"/>
            <w:shd w:fill="FFFFFF"/>
          </w:tcPr>
          <w:p>
            <w:pPr>
              <w:jc w:val="center"/>
            </w:pPr>
            <w:r>
              <w:rPr>
                <w:rFonts w:ascii="Times New Roman" w:hAnsi="Times New Roman"/>
                <w:sz w:val="20"/>
              </w:rPr>
              <w:t>0.2019</w:t>
            </w:r>
          </w:p>
        </w:tc>
        <w:tc>
          <w:tcPr>
            <w:tcW w:type="dxa" w:w="1170"/>
            <w:shd w:fill="FFFFFF"/>
          </w:tcPr>
          <w:p>
            <w:pPr>
              <w:jc w:val="center"/>
            </w:pPr>
            <w:r>
              <w:rPr>
                <w:rFonts w:ascii="Times New Roman" w:hAnsi="Times New Roman"/>
                <w:sz w:val="20"/>
              </w:rPr>
              <w:t>442.0</w:t>
            </w:r>
          </w:p>
        </w:tc>
      </w:tr>
      <w:tr>
        <w:tc>
          <w:tcPr>
            <w:tcW w:type="dxa" w:w="1170"/>
            <w:shd w:fill="F8FAFC"/>
          </w:tcPr>
          <w:p>
            <w:pPr>
              <w:jc w:val="left"/>
            </w:pPr>
            <w:r>
              <w:rPr>
                <w:rFonts w:ascii="Times New Roman" w:hAnsi="Times New Roman"/>
                <w:sz w:val="20"/>
              </w:rPr>
              <w:t>Decision Tree</w:t>
            </w:r>
          </w:p>
        </w:tc>
        <w:tc>
          <w:tcPr>
            <w:tcW w:type="dxa" w:w="1170"/>
            <w:shd w:fill="F8FAFC"/>
          </w:tcPr>
          <w:p>
            <w:pPr>
              <w:jc w:val="center"/>
            </w:pPr>
            <w:r>
              <w:rPr>
                <w:rFonts w:ascii="Times New Roman" w:hAnsi="Times New Roman"/>
                <w:sz w:val="20"/>
              </w:rPr>
              <w:t>0.5425</w:t>
            </w:r>
          </w:p>
        </w:tc>
        <w:tc>
          <w:tcPr>
            <w:tcW w:type="dxa" w:w="1170"/>
            <w:shd w:fill="F8FAFC"/>
          </w:tcPr>
          <w:p>
            <w:pPr>
              <w:jc w:val="center"/>
            </w:pPr>
            <w:r>
              <w:rPr>
                <w:rFonts w:ascii="Times New Roman" w:hAnsi="Times New Roman"/>
                <w:sz w:val="20"/>
              </w:rPr>
              <w:t>0.0459</w:t>
            </w:r>
          </w:p>
        </w:tc>
        <w:tc>
          <w:tcPr>
            <w:tcW w:type="dxa" w:w="1170"/>
            <w:shd w:fill="F8FAFC"/>
          </w:tcPr>
          <w:p>
            <w:pPr>
              <w:jc w:val="center"/>
            </w:pPr>
            <w:r>
              <w:rPr>
                <w:rFonts w:ascii="Times New Roman" w:hAnsi="Times New Roman"/>
                <w:sz w:val="20"/>
              </w:rPr>
              <w:t>40.68%</w:t>
            </w:r>
          </w:p>
        </w:tc>
        <w:tc>
          <w:tcPr>
            <w:tcW w:type="dxa" w:w="1170"/>
            <w:shd w:fill="F8FAFC"/>
          </w:tcPr>
          <w:p>
            <w:pPr>
              <w:jc w:val="center"/>
            </w:pPr>
            <w:r>
              <w:rPr>
                <w:rFonts w:ascii="Times New Roman" w:hAnsi="Times New Roman"/>
                <w:sz w:val="20"/>
              </w:rPr>
              <w:t>59.32%</w:t>
            </w:r>
          </w:p>
        </w:tc>
        <w:tc>
          <w:tcPr>
            <w:tcW w:type="dxa" w:w="1170"/>
            <w:shd w:fill="F8FAFC"/>
          </w:tcPr>
          <w:p>
            <w:pPr>
              <w:jc w:val="center"/>
            </w:pPr>
            <w:r>
              <w:rPr>
                <w:rFonts w:ascii="Times New Roman" w:hAnsi="Times New Roman"/>
                <w:sz w:val="20"/>
              </w:rPr>
              <w:t>30.19%</w:t>
            </w:r>
          </w:p>
        </w:tc>
        <w:tc>
          <w:tcPr>
            <w:tcW w:type="dxa" w:w="1170"/>
            <w:shd w:fill="F8FAFC"/>
          </w:tcPr>
          <w:p>
            <w:pPr>
              <w:jc w:val="center"/>
            </w:pPr>
            <w:r>
              <w:rPr>
                <w:rFonts w:ascii="Times New Roman" w:hAnsi="Times New Roman"/>
                <w:sz w:val="20"/>
              </w:rPr>
              <w:t>0.2086</w:t>
            </w:r>
          </w:p>
        </w:tc>
        <w:tc>
          <w:tcPr>
            <w:tcW w:type="dxa" w:w="1170"/>
            <w:shd w:fill="F8FAFC"/>
          </w:tcPr>
          <w:p>
            <w:pPr>
              <w:jc w:val="center"/>
            </w:pPr>
            <w:r>
              <w:rPr>
                <w:rFonts w:ascii="Times New Roman" w:hAnsi="Times New Roman"/>
                <w:sz w:val="20"/>
              </w:rPr>
              <w:t>467.0</w:t>
            </w:r>
          </w:p>
        </w:tc>
      </w:tr>
      <w:tr>
        <w:tc>
          <w:tcPr>
            <w:tcW w:type="dxa" w:w="1170"/>
            <w:shd w:fill="FFFFFF"/>
          </w:tcPr>
          <w:p>
            <w:pPr>
              <w:jc w:val="left"/>
            </w:pPr>
            <w:r>
              <w:rPr>
                <w:rFonts w:ascii="Times New Roman" w:hAnsi="Times New Roman"/>
                <w:sz w:val="20"/>
              </w:rPr>
              <w:t>Random Forest</w:t>
            </w:r>
          </w:p>
        </w:tc>
        <w:tc>
          <w:tcPr>
            <w:tcW w:type="dxa" w:w="1170"/>
            <w:shd w:fill="FFFFFF"/>
          </w:tcPr>
          <w:p>
            <w:pPr>
              <w:jc w:val="center"/>
            </w:pPr>
            <w:r>
              <w:rPr>
                <w:rFonts w:ascii="Times New Roman" w:hAnsi="Times New Roman"/>
                <w:sz w:val="20"/>
              </w:rPr>
              <w:t>0.6541</w:t>
            </w:r>
          </w:p>
        </w:tc>
        <w:tc>
          <w:tcPr>
            <w:tcW w:type="dxa" w:w="1170"/>
            <w:shd w:fill="FFFFFF"/>
          </w:tcPr>
          <w:p>
            <w:pPr>
              <w:jc w:val="center"/>
            </w:pPr>
            <w:r>
              <w:rPr>
                <w:rFonts w:ascii="Times New Roman" w:hAnsi="Times New Roman"/>
                <w:sz w:val="20"/>
              </w:rPr>
              <w:t>0.0944</w:t>
            </w:r>
          </w:p>
        </w:tc>
        <w:tc>
          <w:tcPr>
            <w:tcW w:type="dxa" w:w="1170"/>
            <w:shd w:fill="FFFFFF"/>
          </w:tcPr>
          <w:p>
            <w:pPr>
              <w:jc w:val="center"/>
            </w:pPr>
            <w:r>
              <w:rPr>
                <w:rFonts w:ascii="Times New Roman" w:hAnsi="Times New Roman"/>
                <w:sz w:val="20"/>
              </w:rPr>
              <w:t>18.64%</w:t>
            </w:r>
          </w:p>
        </w:tc>
        <w:tc>
          <w:tcPr>
            <w:tcW w:type="dxa" w:w="1170"/>
            <w:shd w:fill="FFFFFF"/>
          </w:tcPr>
          <w:p>
            <w:pPr>
              <w:jc w:val="center"/>
            </w:pPr>
            <w:r>
              <w:rPr>
                <w:rFonts w:ascii="Times New Roman" w:hAnsi="Times New Roman"/>
                <w:sz w:val="20"/>
              </w:rPr>
              <w:t>81.36%</w:t>
            </w:r>
          </w:p>
        </w:tc>
        <w:tc>
          <w:tcPr>
            <w:tcW w:type="dxa" w:w="1170"/>
            <w:shd w:fill="FFFFFF"/>
          </w:tcPr>
          <w:p>
            <w:pPr>
              <w:jc w:val="center"/>
            </w:pPr>
            <w:r>
              <w:rPr>
                <w:rFonts w:ascii="Times New Roman" w:hAnsi="Times New Roman"/>
                <w:sz w:val="20"/>
              </w:rPr>
              <w:t>7.01%</w:t>
            </w:r>
          </w:p>
        </w:tc>
        <w:tc>
          <w:tcPr>
            <w:tcW w:type="dxa" w:w="1170"/>
            <w:shd w:fill="FFFFFF"/>
          </w:tcPr>
          <w:p>
            <w:pPr>
              <w:jc w:val="center"/>
            </w:pPr>
            <w:r>
              <w:rPr>
                <w:rFonts w:ascii="Times New Roman" w:hAnsi="Times New Roman"/>
                <w:sz w:val="20"/>
              </w:rPr>
              <w:t>0.0997</w:t>
            </w:r>
          </w:p>
        </w:tc>
        <w:tc>
          <w:tcPr>
            <w:tcW w:type="dxa" w:w="1170"/>
            <w:shd w:fill="FFFFFF"/>
          </w:tcPr>
          <w:p>
            <w:pPr>
              <w:jc w:val="center"/>
            </w:pPr>
            <w:r>
              <w:rPr>
                <w:rFonts w:ascii="Times New Roman" w:hAnsi="Times New Roman"/>
                <w:sz w:val="20"/>
              </w:rPr>
              <w:t>298.0</w:t>
            </w:r>
          </w:p>
        </w:tc>
      </w:tr>
      <w:tr>
        <w:tc>
          <w:tcPr>
            <w:tcW w:type="dxa" w:w="1170"/>
            <w:shd w:fill="F8FAFC"/>
          </w:tcPr>
          <w:p>
            <w:pPr>
              <w:jc w:val="left"/>
            </w:pPr>
            <w:r>
              <w:rPr>
                <w:rFonts w:ascii="Times New Roman" w:hAnsi="Times New Roman"/>
                <w:sz w:val="20"/>
              </w:rPr>
              <w:t>XGBoost</w:t>
            </w:r>
          </w:p>
        </w:tc>
        <w:tc>
          <w:tcPr>
            <w:tcW w:type="dxa" w:w="1170"/>
            <w:shd w:fill="F8FAFC"/>
          </w:tcPr>
          <w:p>
            <w:pPr>
              <w:jc w:val="center"/>
            </w:pPr>
            <w:r>
              <w:rPr>
                <w:rFonts w:ascii="Times New Roman" w:hAnsi="Times New Roman"/>
                <w:sz w:val="20"/>
              </w:rPr>
              <w:t>0.6481</w:t>
            </w:r>
          </w:p>
        </w:tc>
        <w:tc>
          <w:tcPr>
            <w:tcW w:type="dxa" w:w="1170"/>
            <w:shd w:fill="F8FAFC"/>
          </w:tcPr>
          <w:p>
            <w:pPr>
              <w:jc w:val="center"/>
            </w:pPr>
            <w:r>
              <w:rPr>
                <w:rFonts w:ascii="Times New Roman" w:hAnsi="Times New Roman"/>
                <w:sz w:val="20"/>
              </w:rPr>
              <w:t>0.0895</w:t>
            </w:r>
          </w:p>
        </w:tc>
        <w:tc>
          <w:tcPr>
            <w:tcW w:type="dxa" w:w="1170"/>
            <w:shd w:fill="F8FAFC"/>
          </w:tcPr>
          <w:p>
            <w:pPr>
              <w:jc w:val="center"/>
            </w:pPr>
            <w:r>
              <w:rPr>
                <w:rFonts w:ascii="Times New Roman" w:hAnsi="Times New Roman"/>
                <w:sz w:val="20"/>
              </w:rPr>
              <w:t>45.76%</w:t>
            </w:r>
          </w:p>
        </w:tc>
        <w:tc>
          <w:tcPr>
            <w:tcW w:type="dxa" w:w="1170"/>
            <w:shd w:fill="F8FAFC"/>
          </w:tcPr>
          <w:p>
            <w:pPr>
              <w:jc w:val="center"/>
            </w:pPr>
            <w:r>
              <w:rPr>
                <w:rFonts w:ascii="Times New Roman" w:hAnsi="Times New Roman"/>
                <w:sz w:val="20"/>
              </w:rPr>
              <w:t>54.24%</w:t>
            </w:r>
          </w:p>
        </w:tc>
        <w:tc>
          <w:tcPr>
            <w:tcW w:type="dxa" w:w="1170"/>
            <w:shd w:fill="F8FAFC"/>
          </w:tcPr>
          <w:p>
            <w:pPr>
              <w:jc w:val="center"/>
            </w:pPr>
            <w:r>
              <w:rPr>
                <w:rFonts w:ascii="Times New Roman" w:hAnsi="Times New Roman"/>
                <w:sz w:val="20"/>
              </w:rPr>
              <w:t>21.58%</w:t>
            </w:r>
          </w:p>
        </w:tc>
        <w:tc>
          <w:tcPr>
            <w:tcW w:type="dxa" w:w="1170"/>
            <w:shd w:fill="F8FAFC"/>
          </w:tcPr>
          <w:p>
            <w:pPr>
              <w:jc w:val="center"/>
            </w:pPr>
            <w:r>
              <w:rPr>
                <w:rFonts w:ascii="Times New Roman" w:hAnsi="Times New Roman"/>
                <w:sz w:val="20"/>
              </w:rPr>
              <w:t>0.1610</w:t>
            </w:r>
          </w:p>
        </w:tc>
        <w:tc>
          <w:tcPr>
            <w:tcW w:type="dxa" w:w="1170"/>
            <w:shd w:fill="F8FAFC"/>
          </w:tcPr>
          <w:p>
            <w:pPr>
              <w:jc w:val="center"/>
            </w:pPr>
            <w:r>
              <w:rPr>
                <w:rFonts w:ascii="Times New Roman" w:hAnsi="Times New Roman"/>
                <w:sz w:val="20"/>
              </w:rPr>
              <w:t>360.0</w:t>
            </w:r>
          </w:p>
        </w:tc>
      </w:tr>
    </w:tbl>
    <w:p>
      <w:pPr>
        <w:spacing w:after="160"/>
      </w:pPr>
    </w:p>
    <w:p>
      <w:pPr>
        <w:spacing w:before="160" w:after="80"/>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roc_curves_comparison.png"/>
                    <pic:cNvPicPr/>
                  </pic:nvPicPr>
                  <pic:blipFill>
                    <a:blip r:embed="rId10"/>
                    <a:stretch>
                      <a:fillRect/>
                    </a:stretch>
                  </pic:blipFill>
                  <pic:spPr>
                    <a:xfrm>
                      <a:off x="0" y="0"/>
                      <a:ext cx="5486400" cy="4114800"/>
                    </a:xfrm>
                    <a:prstGeom prst="rect"/>
                  </pic:spPr>
                </pic:pic>
              </a:graphicData>
            </a:graphic>
          </wp:inline>
        </w:drawing>
      </w:r>
    </w:p>
    <w:p>
      <w:pPr>
        <w:spacing w:after="240"/>
        <w:jc w:val="center"/>
      </w:pPr>
      <w:r>
        <w:rPr>
          <w:rFonts w:ascii="Times New Roman" w:hAnsi="Times New Roman"/>
          <w:i/>
          <w:sz w:val="21"/>
        </w:rPr>
        <w:t>Figure: Figure 6.1: Receiver Operating Characteristic (ROC) Curves Across Evaluated Models</w:t>
      </w:r>
    </w:p>
    <w:p>
      <w:pPr>
        <w:spacing w:before="160" w:after="80"/>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calibration_curves.png"/>
                    <pic:cNvPicPr/>
                  </pic:nvPicPr>
                  <pic:blipFill>
                    <a:blip r:embed="rId11"/>
                    <a:stretch>
                      <a:fillRect/>
                    </a:stretch>
                  </pic:blipFill>
                  <pic:spPr>
                    <a:xfrm>
                      <a:off x="0" y="0"/>
                      <a:ext cx="5486400" cy="4114800"/>
                    </a:xfrm>
                    <a:prstGeom prst="rect"/>
                  </pic:spPr>
                </pic:pic>
              </a:graphicData>
            </a:graphic>
          </wp:inline>
        </w:drawing>
      </w:r>
    </w:p>
    <w:p>
      <w:pPr>
        <w:spacing w:after="240"/>
        <w:jc w:val="center"/>
      </w:pPr>
      <w:r>
        <w:rPr>
          <w:rFonts w:ascii="Times New Roman" w:hAnsi="Times New Roman"/>
          <w:i/>
          <w:sz w:val="21"/>
        </w:rPr>
        <w:t>Figure: Figure 6.2: Probability Calibration Curves (Reliability Diagrams)</w:t>
      </w:r>
    </w:p>
    <w:p>
      <w:pPr>
        <w:spacing w:before="160" w:after="80"/>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cost_curve_threshold_analysis.png"/>
                    <pic:cNvPicPr/>
                  </pic:nvPicPr>
                  <pic:blipFill>
                    <a:blip r:embed="rId12"/>
                    <a:stretch>
                      <a:fillRect/>
                    </a:stretch>
                  </pic:blipFill>
                  <pic:spPr>
                    <a:xfrm>
                      <a:off x="0" y="0"/>
                      <a:ext cx="5486400" cy="4114800"/>
                    </a:xfrm>
                    <a:prstGeom prst="rect"/>
                  </pic:spPr>
                </pic:pic>
              </a:graphicData>
            </a:graphic>
          </wp:inline>
        </w:drawing>
      </w:r>
    </w:p>
    <w:p>
      <w:pPr>
        <w:spacing w:after="240"/>
        <w:jc w:val="center"/>
      </w:pPr>
      <w:r>
        <w:rPr>
          <w:rFonts w:ascii="Times New Roman" w:hAnsi="Times New Roman"/>
          <w:i/>
          <w:sz w:val="21"/>
        </w:rPr>
        <w:t>Figure: Figure 6.3: Portfolio Loss vs. Threshold Cutoff (Asymmetric Cost Matrix C_FN=5, C_FP=1)</w:t>
      </w:r>
    </w:p>
    <w:p>
      <w:pPr>
        <w:spacing w:before="200" w:after="80"/>
      </w:pPr>
      <w:r>
        <w:rPr>
          <w:rFonts w:ascii="Times New Roman" w:hAnsi="Times New Roman"/>
          <w:b/>
          <w:sz w:val="22"/>
        </w:rPr>
        <w:t>Table: Table 6.3: Paired DeLong Statistical Significance Tests on ROC-AUC</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3A8A"/>
          </w:tcPr>
          <w:p>
            <w:pPr>
              <w:jc w:val="center"/>
            </w:pPr>
            <w:r>
              <w:rPr>
                <w:rFonts w:ascii="Times New Roman" w:hAnsi="Times New Roman"/>
                <w:b/>
                <w:color w:val="FFFFFF"/>
                <w:sz w:val="20"/>
              </w:rPr>
              <w:t>Model Pair Comparison</w:t>
            </w:r>
          </w:p>
        </w:tc>
        <w:tc>
          <w:tcPr>
            <w:tcW w:type="dxa" w:w="1872"/>
            <w:shd w:fill="1E3A8A"/>
          </w:tcPr>
          <w:p>
            <w:pPr>
              <w:jc w:val="center"/>
            </w:pPr>
            <w:r>
              <w:rPr>
                <w:rFonts w:ascii="Times New Roman" w:hAnsi="Times New Roman"/>
                <w:b/>
                <w:color w:val="FFFFFF"/>
                <w:sz w:val="20"/>
              </w:rPr>
              <w:t>AUC Difference</w:t>
            </w:r>
          </w:p>
        </w:tc>
        <w:tc>
          <w:tcPr>
            <w:tcW w:type="dxa" w:w="1872"/>
            <w:shd w:fill="1E3A8A"/>
          </w:tcPr>
          <w:p>
            <w:pPr>
              <w:jc w:val="center"/>
            </w:pPr>
            <w:r>
              <w:rPr>
                <w:rFonts w:ascii="Times New Roman" w:hAnsi="Times New Roman"/>
                <w:b/>
                <w:color w:val="FFFFFF"/>
                <w:sz w:val="20"/>
              </w:rPr>
              <w:t>z-statistic</w:t>
            </w:r>
          </w:p>
        </w:tc>
        <w:tc>
          <w:tcPr>
            <w:tcW w:type="dxa" w:w="1872"/>
            <w:shd w:fill="1E3A8A"/>
          </w:tcPr>
          <w:p>
            <w:pPr>
              <w:jc w:val="center"/>
            </w:pPr>
            <w:r>
              <w:rPr>
                <w:rFonts w:ascii="Times New Roman" w:hAnsi="Times New Roman"/>
                <w:b/>
                <w:color w:val="FFFFFF"/>
                <w:sz w:val="20"/>
              </w:rPr>
              <w:t>p-value</w:t>
            </w:r>
          </w:p>
        </w:tc>
        <w:tc>
          <w:tcPr>
            <w:tcW w:type="dxa" w:w="1872"/>
            <w:shd w:fill="1E3A8A"/>
          </w:tcPr>
          <w:p>
            <w:pPr>
              <w:jc w:val="center"/>
            </w:pPr>
            <w:r>
              <w:rPr>
                <w:rFonts w:ascii="Times New Roman" w:hAnsi="Times New Roman"/>
                <w:b/>
                <w:color w:val="FFFFFF"/>
                <w:sz w:val="20"/>
              </w:rPr>
              <w:t>Statistical Verdict (alpha = 0.05)</w:t>
            </w:r>
          </w:p>
        </w:tc>
      </w:tr>
      <w:tr>
        <w:tc>
          <w:tcPr>
            <w:tcW w:type="dxa" w:w="1872"/>
            <w:shd w:fill="FFFFFF"/>
          </w:tcPr>
          <w:p>
            <w:pPr>
              <w:jc w:val="left"/>
            </w:pPr>
            <w:r>
              <w:rPr>
                <w:rFonts w:ascii="Times New Roman" w:hAnsi="Times New Roman"/>
                <w:sz w:val="20"/>
              </w:rPr>
              <w:t>Random Forest vs. Decision Tree</w:t>
            </w:r>
          </w:p>
        </w:tc>
        <w:tc>
          <w:tcPr>
            <w:tcW w:type="dxa" w:w="1872"/>
            <w:shd w:fill="FFFFFF"/>
          </w:tcPr>
          <w:p>
            <w:pPr>
              <w:jc w:val="center"/>
            </w:pPr>
            <w:r>
              <w:rPr>
                <w:rFonts w:ascii="Times New Roman" w:hAnsi="Times New Roman"/>
                <w:sz w:val="20"/>
              </w:rPr>
              <w:t>+0.1116</w:t>
            </w:r>
          </w:p>
        </w:tc>
        <w:tc>
          <w:tcPr>
            <w:tcW w:type="dxa" w:w="1872"/>
            <w:shd w:fill="FFFFFF"/>
          </w:tcPr>
          <w:p>
            <w:pPr>
              <w:jc w:val="center"/>
            </w:pPr>
            <w:r>
              <w:rPr>
                <w:rFonts w:ascii="Times New Roman" w:hAnsi="Times New Roman"/>
                <w:sz w:val="20"/>
              </w:rPr>
              <w:t>2.7521</w:t>
            </w:r>
          </w:p>
        </w:tc>
        <w:tc>
          <w:tcPr>
            <w:tcW w:type="dxa" w:w="1872"/>
            <w:shd w:fill="FFFFFF"/>
          </w:tcPr>
          <w:p>
            <w:pPr>
              <w:jc w:val="center"/>
            </w:pPr>
            <w:r>
              <w:rPr>
                <w:rFonts w:ascii="Times New Roman" w:hAnsi="Times New Roman"/>
                <w:sz w:val="20"/>
              </w:rPr>
              <w:t>0.00592</w:t>
            </w:r>
          </w:p>
        </w:tc>
        <w:tc>
          <w:tcPr>
            <w:tcW w:type="dxa" w:w="1872"/>
            <w:shd w:fill="FFFFFF"/>
          </w:tcPr>
          <w:p>
            <w:pPr>
              <w:jc w:val="center"/>
            </w:pPr>
            <w:r>
              <w:rPr>
                <w:rFonts w:ascii="Times New Roman" w:hAnsi="Times New Roman"/>
                <w:sz w:val="20"/>
              </w:rPr>
              <w:t>Statistically Significant (p &lt; 0.01)</w:t>
            </w:r>
          </w:p>
        </w:tc>
      </w:tr>
      <w:tr>
        <w:tc>
          <w:tcPr>
            <w:tcW w:type="dxa" w:w="1872"/>
            <w:shd w:fill="F8FAFC"/>
          </w:tcPr>
          <w:p>
            <w:pPr>
              <w:jc w:val="left"/>
            </w:pPr>
            <w:r>
              <w:rPr>
                <w:rFonts w:ascii="Times New Roman" w:hAnsi="Times New Roman"/>
                <w:sz w:val="20"/>
              </w:rPr>
              <w:t>XGBoost vs. Decision Tree</w:t>
            </w:r>
          </w:p>
        </w:tc>
        <w:tc>
          <w:tcPr>
            <w:tcW w:type="dxa" w:w="1872"/>
            <w:shd w:fill="F8FAFC"/>
          </w:tcPr>
          <w:p>
            <w:pPr>
              <w:jc w:val="center"/>
            </w:pPr>
            <w:r>
              <w:rPr>
                <w:rFonts w:ascii="Times New Roman" w:hAnsi="Times New Roman"/>
                <w:sz w:val="20"/>
              </w:rPr>
              <w:t>+0.1055</w:t>
            </w:r>
          </w:p>
        </w:tc>
        <w:tc>
          <w:tcPr>
            <w:tcW w:type="dxa" w:w="1872"/>
            <w:shd w:fill="F8FAFC"/>
          </w:tcPr>
          <w:p>
            <w:pPr>
              <w:jc w:val="center"/>
            </w:pPr>
            <w:r>
              <w:rPr>
                <w:rFonts w:ascii="Times New Roman" w:hAnsi="Times New Roman"/>
                <w:sz w:val="20"/>
              </w:rPr>
              <w:t>2.6890</w:t>
            </w:r>
          </w:p>
        </w:tc>
        <w:tc>
          <w:tcPr>
            <w:tcW w:type="dxa" w:w="1872"/>
            <w:shd w:fill="F8FAFC"/>
          </w:tcPr>
          <w:p>
            <w:pPr>
              <w:jc w:val="center"/>
            </w:pPr>
            <w:r>
              <w:rPr>
                <w:rFonts w:ascii="Times New Roman" w:hAnsi="Times New Roman"/>
                <w:sz w:val="20"/>
              </w:rPr>
              <w:t>0.00717</w:t>
            </w:r>
          </w:p>
        </w:tc>
        <w:tc>
          <w:tcPr>
            <w:tcW w:type="dxa" w:w="1872"/>
            <w:shd w:fill="F8FAFC"/>
          </w:tcPr>
          <w:p>
            <w:pPr>
              <w:jc w:val="center"/>
            </w:pPr>
            <w:r>
              <w:rPr>
                <w:rFonts w:ascii="Times New Roman" w:hAnsi="Times New Roman"/>
                <w:sz w:val="20"/>
              </w:rPr>
              <w:t>Statistically Significant (p &lt; 0.01)</w:t>
            </w:r>
          </w:p>
        </w:tc>
      </w:tr>
      <w:tr>
        <w:tc>
          <w:tcPr>
            <w:tcW w:type="dxa" w:w="1872"/>
            <w:shd w:fill="FFFFFF"/>
          </w:tcPr>
          <w:p>
            <w:pPr>
              <w:jc w:val="left"/>
            </w:pPr>
            <w:r>
              <w:rPr>
                <w:rFonts w:ascii="Times New Roman" w:hAnsi="Times New Roman"/>
                <w:sz w:val="20"/>
              </w:rPr>
              <w:t>XGBoost vs. Logistic Regression</w:t>
            </w:r>
          </w:p>
        </w:tc>
        <w:tc>
          <w:tcPr>
            <w:tcW w:type="dxa" w:w="1872"/>
            <w:shd w:fill="FFFFFF"/>
          </w:tcPr>
          <w:p>
            <w:pPr>
              <w:jc w:val="center"/>
            </w:pPr>
            <w:r>
              <w:rPr>
                <w:rFonts w:ascii="Times New Roman" w:hAnsi="Times New Roman"/>
                <w:sz w:val="20"/>
              </w:rPr>
              <w:t>-0.0187</w:t>
            </w:r>
          </w:p>
        </w:tc>
        <w:tc>
          <w:tcPr>
            <w:tcW w:type="dxa" w:w="1872"/>
            <w:shd w:fill="FFFFFF"/>
          </w:tcPr>
          <w:p>
            <w:pPr>
              <w:jc w:val="center"/>
            </w:pPr>
            <w:r>
              <w:rPr>
                <w:rFonts w:ascii="Times New Roman" w:hAnsi="Times New Roman"/>
                <w:sz w:val="20"/>
              </w:rPr>
              <w:t>-0.8720</w:t>
            </w:r>
          </w:p>
        </w:tc>
        <w:tc>
          <w:tcPr>
            <w:tcW w:type="dxa" w:w="1872"/>
            <w:shd w:fill="FFFFFF"/>
          </w:tcPr>
          <w:p>
            <w:pPr>
              <w:jc w:val="center"/>
            </w:pPr>
            <w:r>
              <w:rPr>
                <w:rFonts w:ascii="Times New Roman" w:hAnsi="Times New Roman"/>
                <w:sz w:val="20"/>
              </w:rPr>
              <w:t>0.38323</w:t>
            </w:r>
          </w:p>
        </w:tc>
        <w:tc>
          <w:tcPr>
            <w:tcW w:type="dxa" w:w="1872"/>
            <w:shd w:fill="FFFFFF"/>
          </w:tcPr>
          <w:p>
            <w:pPr>
              <w:jc w:val="center"/>
            </w:pPr>
            <w:r>
              <w:rPr>
                <w:rFonts w:ascii="Times New Roman" w:hAnsi="Times New Roman"/>
                <w:sz w:val="20"/>
              </w:rPr>
              <w:t>Not Statistically Significant (p &gt;= 0.05)</w:t>
            </w:r>
          </w:p>
        </w:tc>
      </w:tr>
      <w:tr>
        <w:tc>
          <w:tcPr>
            <w:tcW w:type="dxa" w:w="1872"/>
            <w:shd w:fill="F8FAFC"/>
          </w:tcPr>
          <w:p>
            <w:pPr>
              <w:jc w:val="left"/>
            </w:pPr>
            <w:r>
              <w:rPr>
                <w:rFonts w:ascii="Times New Roman" w:hAnsi="Times New Roman"/>
                <w:sz w:val="20"/>
              </w:rPr>
              <w:t>Random Forest vs. Logistic Regression</w:t>
            </w:r>
          </w:p>
        </w:tc>
        <w:tc>
          <w:tcPr>
            <w:tcW w:type="dxa" w:w="1872"/>
            <w:shd w:fill="F8FAFC"/>
          </w:tcPr>
          <w:p>
            <w:pPr>
              <w:jc w:val="center"/>
            </w:pPr>
            <w:r>
              <w:rPr>
                <w:rFonts w:ascii="Times New Roman" w:hAnsi="Times New Roman"/>
                <w:sz w:val="20"/>
              </w:rPr>
              <w:t>-0.0127</w:t>
            </w:r>
          </w:p>
        </w:tc>
        <w:tc>
          <w:tcPr>
            <w:tcW w:type="dxa" w:w="1872"/>
            <w:shd w:fill="F8FAFC"/>
          </w:tcPr>
          <w:p>
            <w:pPr>
              <w:jc w:val="center"/>
            </w:pPr>
            <w:r>
              <w:rPr>
                <w:rFonts w:ascii="Times New Roman" w:hAnsi="Times New Roman"/>
                <w:sz w:val="20"/>
              </w:rPr>
              <w:t>-0.5274</w:t>
            </w:r>
          </w:p>
        </w:tc>
        <w:tc>
          <w:tcPr>
            <w:tcW w:type="dxa" w:w="1872"/>
            <w:shd w:fill="F8FAFC"/>
          </w:tcPr>
          <w:p>
            <w:pPr>
              <w:jc w:val="center"/>
            </w:pPr>
            <w:r>
              <w:rPr>
                <w:rFonts w:ascii="Times New Roman" w:hAnsi="Times New Roman"/>
                <w:sz w:val="20"/>
              </w:rPr>
              <w:t>0.59791</w:t>
            </w:r>
          </w:p>
        </w:tc>
        <w:tc>
          <w:tcPr>
            <w:tcW w:type="dxa" w:w="1872"/>
            <w:shd w:fill="F8FAFC"/>
          </w:tcPr>
          <w:p>
            <w:pPr>
              <w:jc w:val="center"/>
            </w:pPr>
            <w:r>
              <w:rPr>
                <w:rFonts w:ascii="Times New Roman" w:hAnsi="Times New Roman"/>
                <w:sz w:val="20"/>
              </w:rPr>
              <w:t>Not Statistically Significant (p &gt;= 0.05)</w:t>
            </w:r>
          </w:p>
        </w:tc>
      </w:tr>
      <w:tr>
        <w:tc>
          <w:tcPr>
            <w:tcW w:type="dxa" w:w="1872"/>
            <w:shd w:fill="FFFFFF"/>
          </w:tcPr>
          <w:p>
            <w:pPr>
              <w:jc w:val="left"/>
            </w:pPr>
            <w:r>
              <w:rPr>
                <w:rFonts w:ascii="Times New Roman" w:hAnsi="Times New Roman"/>
                <w:sz w:val="20"/>
              </w:rPr>
              <w:t>Random Forest vs. XGBoost</w:t>
            </w:r>
          </w:p>
        </w:tc>
        <w:tc>
          <w:tcPr>
            <w:tcW w:type="dxa" w:w="1872"/>
            <w:shd w:fill="FFFFFF"/>
          </w:tcPr>
          <w:p>
            <w:pPr>
              <w:jc w:val="center"/>
            </w:pPr>
            <w:r>
              <w:rPr>
                <w:rFonts w:ascii="Times New Roman" w:hAnsi="Times New Roman"/>
                <w:sz w:val="20"/>
              </w:rPr>
              <w:t>+0.0060</w:t>
            </w:r>
          </w:p>
        </w:tc>
        <w:tc>
          <w:tcPr>
            <w:tcW w:type="dxa" w:w="1872"/>
            <w:shd w:fill="FFFFFF"/>
          </w:tcPr>
          <w:p>
            <w:pPr>
              <w:jc w:val="center"/>
            </w:pPr>
            <w:r>
              <w:rPr>
                <w:rFonts w:ascii="Times New Roman" w:hAnsi="Times New Roman"/>
                <w:sz w:val="20"/>
              </w:rPr>
              <w:t>0.3437</w:t>
            </w:r>
          </w:p>
        </w:tc>
        <w:tc>
          <w:tcPr>
            <w:tcW w:type="dxa" w:w="1872"/>
            <w:shd w:fill="FFFFFF"/>
          </w:tcPr>
          <w:p>
            <w:pPr>
              <w:jc w:val="center"/>
            </w:pPr>
            <w:r>
              <w:rPr>
                <w:rFonts w:ascii="Times New Roman" w:hAnsi="Times New Roman"/>
                <w:sz w:val="20"/>
              </w:rPr>
              <w:t>0.73111</w:t>
            </w:r>
          </w:p>
        </w:tc>
        <w:tc>
          <w:tcPr>
            <w:tcW w:type="dxa" w:w="1872"/>
            <w:shd w:fill="FFFFFF"/>
          </w:tcPr>
          <w:p>
            <w:pPr>
              <w:jc w:val="center"/>
            </w:pPr>
            <w:r>
              <w:rPr>
                <w:rFonts w:ascii="Times New Roman" w:hAnsi="Times New Roman"/>
                <w:sz w:val="20"/>
              </w:rPr>
              <w:t>Not Statistically Significant (p &gt;= 0.05)</w:t>
            </w:r>
          </w:p>
        </w:tc>
      </w:tr>
    </w:tbl>
    <w:p>
      <w:pPr>
        <w:spacing w:after="160"/>
      </w:pPr>
    </w:p>
    <w:p>
      <w:pPr>
        <w:spacing w:before="160" w:after="80"/>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shap_feature_importance_bar.png"/>
                    <pic:cNvPicPr/>
                  </pic:nvPicPr>
                  <pic:blipFill>
                    <a:blip r:embed="rId13"/>
                    <a:stretch>
                      <a:fillRect/>
                    </a:stretch>
                  </pic:blipFill>
                  <pic:spPr>
                    <a:xfrm>
                      <a:off x="0" y="0"/>
                      <a:ext cx="5486400" cy="3291840"/>
                    </a:xfrm>
                    <a:prstGeom prst="rect"/>
                  </pic:spPr>
                </pic:pic>
              </a:graphicData>
            </a:graphic>
          </wp:inline>
        </w:drawing>
      </w:r>
    </w:p>
    <w:p>
      <w:pPr>
        <w:spacing w:after="240"/>
        <w:jc w:val="center"/>
      </w:pPr>
      <w:r>
        <w:rPr>
          <w:rFonts w:ascii="Times New Roman" w:hAnsi="Times New Roman"/>
          <w:i/>
          <w:sz w:val="21"/>
        </w:rPr>
        <w:t>Figure: Figure 6.4: TreeSHAP Global Feature Importance Bar Chart</w:t>
      </w:r>
    </w:p>
    <w:p>
      <w:pPr>
        <w:spacing w:before="160" w:after="80"/>
        <w:jc w:val="center"/>
      </w:pPr>
      <w:r>
        <w:drawing>
          <wp:inline xmlns:a="http://schemas.openxmlformats.org/drawingml/2006/main" xmlns:pic="http://schemas.openxmlformats.org/drawingml/2006/picture">
            <wp:extent cx="5486400" cy="4198441"/>
            <wp:docPr id="5" name="Picture 5"/>
            <wp:cNvGraphicFramePr>
              <a:graphicFrameLocks noChangeAspect="1"/>
            </wp:cNvGraphicFramePr>
            <a:graphic>
              <a:graphicData uri="http://schemas.openxmlformats.org/drawingml/2006/picture">
                <pic:pic>
                  <pic:nvPicPr>
                    <pic:cNvPr id="0" name="individual_adverse_action_waterfall.png"/>
                    <pic:cNvPicPr/>
                  </pic:nvPicPr>
                  <pic:blipFill>
                    <a:blip r:embed="rId14"/>
                    <a:stretch>
                      <a:fillRect/>
                    </a:stretch>
                  </pic:blipFill>
                  <pic:spPr>
                    <a:xfrm>
                      <a:off x="0" y="0"/>
                      <a:ext cx="5486400" cy="4198441"/>
                    </a:xfrm>
                    <a:prstGeom prst="rect"/>
                  </pic:spPr>
                </pic:pic>
              </a:graphicData>
            </a:graphic>
          </wp:inline>
        </w:drawing>
      </w:r>
    </w:p>
    <w:p>
      <w:pPr>
        <w:spacing w:after="240"/>
        <w:jc w:val="center"/>
      </w:pPr>
      <w:r>
        <w:rPr>
          <w:rFonts w:ascii="Times New Roman" w:hAnsi="Times New Roman"/>
          <w:i/>
          <w:sz w:val="21"/>
        </w:rPr>
        <w:t>Figure: Figure 6.5: Local Adverse-Action Waterfall Decomposition for Applicant NAM-11764</w:t>
      </w:r>
    </w:p>
    <w:p>
      <w:pPr>
        <w:keepNext/>
        <w:spacing w:before="280" w:after="120"/>
        <w:jc w:val="left"/>
      </w:pPr>
      <w:r>
        <w:rPr>
          <w:rFonts w:ascii="Times New Roman" w:hAnsi="Times New Roman"/>
          <w:b/>
          <w:color w:val="1E3A8A"/>
          <w:sz w:val="28"/>
        </w:rPr>
        <w:t>6.5 System Evaluation</w:t>
      </w:r>
    </w:p>
    <w:p>
      <w:pPr>
        <w:spacing w:before="200" w:after="80"/>
      </w:pPr>
      <w:r>
        <w:rPr>
          <w:rFonts w:ascii="Times New Roman" w:hAnsi="Times New Roman"/>
          <w:b/>
          <w:sz w:val="22"/>
        </w:rPr>
        <w:t>Table: Table 6.4: Algorithmic Fairness Audit across Demographic Sub-Groups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E3A8A"/>
          </w:tcPr>
          <w:p>
            <w:pPr>
              <w:jc w:val="center"/>
            </w:pPr>
            <w:r>
              <w:rPr>
                <w:rFonts w:ascii="Times New Roman" w:hAnsi="Times New Roman"/>
                <w:b/>
                <w:color w:val="FFFFFF"/>
                <w:sz w:val="20"/>
              </w:rPr>
              <w:t>Protected Attribute Dimension</w:t>
            </w:r>
          </w:p>
        </w:tc>
        <w:tc>
          <w:tcPr>
            <w:tcW w:type="dxa" w:w="1560"/>
            <w:shd w:fill="1E3A8A"/>
          </w:tcPr>
          <w:p>
            <w:pPr>
              <w:jc w:val="center"/>
            </w:pPr>
            <w:r>
              <w:rPr>
                <w:rFonts w:ascii="Times New Roman" w:hAnsi="Times New Roman"/>
                <w:b/>
                <w:color w:val="FFFFFF"/>
                <w:sz w:val="20"/>
              </w:rPr>
              <w:t>Privileged Approval</w:t>
            </w:r>
          </w:p>
        </w:tc>
        <w:tc>
          <w:tcPr>
            <w:tcW w:type="dxa" w:w="1560"/>
            <w:shd w:fill="1E3A8A"/>
          </w:tcPr>
          <w:p>
            <w:pPr>
              <w:jc w:val="center"/>
            </w:pPr>
            <w:r>
              <w:rPr>
                <w:rFonts w:ascii="Times New Roman" w:hAnsi="Times New Roman"/>
                <w:b/>
                <w:color w:val="FFFFFF"/>
                <w:sz w:val="20"/>
              </w:rPr>
              <w:t>Unprivileged Approval</w:t>
            </w:r>
          </w:p>
        </w:tc>
        <w:tc>
          <w:tcPr>
            <w:tcW w:type="dxa" w:w="1560"/>
            <w:shd w:fill="1E3A8A"/>
          </w:tcPr>
          <w:p>
            <w:pPr>
              <w:jc w:val="center"/>
            </w:pPr>
            <w:r>
              <w:rPr>
                <w:rFonts w:ascii="Times New Roman" w:hAnsi="Times New Roman"/>
                <w:b/>
                <w:color w:val="FFFFFF"/>
                <w:sz w:val="20"/>
              </w:rPr>
              <w:t>DIR</w:t>
            </w:r>
          </w:p>
        </w:tc>
        <w:tc>
          <w:tcPr>
            <w:tcW w:type="dxa" w:w="1560"/>
            <w:shd w:fill="1E3A8A"/>
          </w:tcPr>
          <w:p>
            <w:pPr>
              <w:jc w:val="center"/>
            </w:pPr>
            <w:r>
              <w:rPr>
                <w:rFonts w:ascii="Times New Roman" w:hAnsi="Times New Roman"/>
                <w:b/>
                <w:color w:val="FFFFFF"/>
                <w:sz w:val="20"/>
              </w:rPr>
              <w:t>EOD</w:t>
            </w:r>
          </w:p>
        </w:tc>
        <w:tc>
          <w:tcPr>
            <w:tcW w:type="dxa" w:w="1560"/>
            <w:shd w:fill="1E3A8A"/>
          </w:tcPr>
          <w:p>
            <w:pPr>
              <w:jc w:val="center"/>
            </w:pPr>
            <w:r>
              <w:rPr>
                <w:rFonts w:ascii="Times New Roman" w:hAnsi="Times New Roman"/>
                <w:b/>
                <w:color w:val="FFFFFF"/>
                <w:sz w:val="20"/>
              </w:rPr>
              <w:t>Four-Fifths Verdict</w:t>
            </w:r>
          </w:p>
        </w:tc>
      </w:tr>
      <w:tr>
        <w:tc>
          <w:tcPr>
            <w:tcW w:type="dxa" w:w="1560"/>
            <w:shd w:fill="FFFFFF"/>
          </w:tcPr>
          <w:p>
            <w:pPr>
              <w:jc w:val="left"/>
            </w:pPr>
            <w:r>
              <w:rPr>
                <w:rFonts w:ascii="Times New Roman" w:hAnsi="Times New Roman"/>
                <w:sz w:val="20"/>
              </w:rPr>
              <w:t>Gender (Female vs Male)</w:t>
            </w:r>
          </w:p>
        </w:tc>
        <w:tc>
          <w:tcPr>
            <w:tcW w:type="dxa" w:w="1560"/>
            <w:shd w:fill="FFFFFF"/>
          </w:tcPr>
          <w:p>
            <w:pPr>
              <w:jc w:val="center"/>
            </w:pPr>
            <w:r>
              <w:rPr>
                <w:rFonts w:ascii="Times New Roman" w:hAnsi="Times New Roman"/>
                <w:sz w:val="20"/>
              </w:rPr>
              <w:t>20.95%</w:t>
            </w:r>
          </w:p>
        </w:tc>
        <w:tc>
          <w:tcPr>
            <w:tcW w:type="dxa" w:w="1560"/>
            <w:shd w:fill="FFFFFF"/>
          </w:tcPr>
          <w:p>
            <w:pPr>
              <w:jc w:val="center"/>
            </w:pPr>
            <w:r>
              <w:rPr>
                <w:rFonts w:ascii="Times New Roman" w:hAnsi="Times New Roman"/>
                <w:sz w:val="20"/>
              </w:rPr>
              <w:t>23.91%</w:t>
            </w:r>
          </w:p>
        </w:tc>
        <w:tc>
          <w:tcPr>
            <w:tcW w:type="dxa" w:w="1560"/>
            <w:shd w:fill="FFFFFF"/>
          </w:tcPr>
          <w:p>
            <w:pPr>
              <w:jc w:val="center"/>
            </w:pPr>
            <w:r>
              <w:rPr>
                <w:rFonts w:ascii="Times New Roman" w:hAnsi="Times New Roman"/>
                <w:sz w:val="20"/>
              </w:rPr>
              <w:t>1.1413</w:t>
            </w:r>
          </w:p>
        </w:tc>
        <w:tc>
          <w:tcPr>
            <w:tcW w:type="dxa" w:w="1560"/>
            <w:shd w:fill="FFFFFF"/>
          </w:tcPr>
          <w:p>
            <w:pPr>
              <w:jc w:val="center"/>
            </w:pPr>
            <w:r>
              <w:rPr>
                <w:rFonts w:ascii="Times New Roman" w:hAnsi="Times New Roman"/>
                <w:sz w:val="20"/>
              </w:rPr>
              <w:t>+0.1087</w:t>
            </w:r>
          </w:p>
        </w:tc>
        <w:tc>
          <w:tcPr>
            <w:tcW w:type="dxa" w:w="1560"/>
            <w:shd w:fill="FFFFFF"/>
          </w:tcPr>
          <w:p>
            <w:pPr>
              <w:jc w:val="center"/>
            </w:pPr>
            <w:r>
              <w:rPr>
                <w:rFonts w:ascii="Times New Roman" w:hAnsi="Times New Roman"/>
                <w:sz w:val="20"/>
              </w:rPr>
              <w:t>COMPLIANT (DIR &gt;= 0.80)</w:t>
            </w:r>
          </w:p>
        </w:tc>
      </w:tr>
      <w:tr>
        <w:tc>
          <w:tcPr>
            <w:tcW w:type="dxa" w:w="1560"/>
            <w:shd w:fill="F8FAFC"/>
          </w:tcPr>
          <w:p>
            <w:pPr>
              <w:jc w:val="left"/>
            </w:pPr>
            <w:r>
              <w:rPr>
                <w:rFonts w:ascii="Times New Roman" w:hAnsi="Times New Roman"/>
                <w:sz w:val="20"/>
              </w:rPr>
              <w:t>Geography (Rural vs Urban)</w:t>
            </w:r>
          </w:p>
        </w:tc>
        <w:tc>
          <w:tcPr>
            <w:tcW w:type="dxa" w:w="1560"/>
            <w:shd w:fill="F8FAFC"/>
          </w:tcPr>
          <w:p>
            <w:pPr>
              <w:jc w:val="center"/>
            </w:pPr>
            <w:r>
              <w:rPr>
                <w:rFonts w:ascii="Times New Roman" w:hAnsi="Times New Roman"/>
                <w:sz w:val="20"/>
              </w:rPr>
              <w:t>23.01%</w:t>
            </w:r>
          </w:p>
        </w:tc>
        <w:tc>
          <w:tcPr>
            <w:tcW w:type="dxa" w:w="1560"/>
            <w:shd w:fill="F8FAFC"/>
          </w:tcPr>
          <w:p>
            <w:pPr>
              <w:jc w:val="center"/>
            </w:pPr>
            <w:r>
              <w:rPr>
                <w:rFonts w:ascii="Times New Roman" w:hAnsi="Times New Roman"/>
                <w:sz w:val="20"/>
              </w:rPr>
              <w:t>21.89%</w:t>
            </w:r>
          </w:p>
        </w:tc>
        <w:tc>
          <w:tcPr>
            <w:tcW w:type="dxa" w:w="1560"/>
            <w:shd w:fill="F8FAFC"/>
          </w:tcPr>
          <w:p>
            <w:pPr>
              <w:jc w:val="center"/>
            </w:pPr>
            <w:r>
              <w:rPr>
                <w:rFonts w:ascii="Times New Roman" w:hAnsi="Times New Roman"/>
                <w:sz w:val="20"/>
              </w:rPr>
              <w:t>0.9513</w:t>
            </w:r>
          </w:p>
        </w:tc>
        <w:tc>
          <w:tcPr>
            <w:tcW w:type="dxa" w:w="1560"/>
            <w:shd w:fill="F8FAFC"/>
          </w:tcPr>
          <w:p>
            <w:pPr>
              <w:jc w:val="center"/>
            </w:pPr>
            <w:r>
              <w:rPr>
                <w:rFonts w:ascii="Times New Roman" w:hAnsi="Times New Roman"/>
                <w:sz w:val="20"/>
              </w:rPr>
              <w:t>+0.0714</w:t>
            </w:r>
          </w:p>
        </w:tc>
        <w:tc>
          <w:tcPr>
            <w:tcW w:type="dxa" w:w="1560"/>
            <w:shd w:fill="F8FAFC"/>
          </w:tcPr>
          <w:p>
            <w:pPr>
              <w:jc w:val="center"/>
            </w:pPr>
            <w:r>
              <w:rPr>
                <w:rFonts w:ascii="Times New Roman" w:hAnsi="Times New Roman"/>
                <w:sz w:val="20"/>
              </w:rPr>
              <w:t>COMPLIANT (DIR &gt;= 0.80)</w:t>
            </w:r>
          </w:p>
        </w:tc>
      </w:tr>
      <w:tr>
        <w:tc>
          <w:tcPr>
            <w:tcW w:type="dxa" w:w="1560"/>
            <w:shd w:fill="FFFFFF"/>
          </w:tcPr>
          <w:p>
            <w:pPr>
              <w:jc w:val="left"/>
            </w:pPr>
            <w:r>
              <w:rPr>
                <w:rFonts w:ascii="Times New Roman" w:hAnsi="Times New Roman"/>
                <w:sz w:val="20"/>
              </w:rPr>
              <w:t>Business Status (Informal vs Formal)</w:t>
            </w:r>
          </w:p>
        </w:tc>
        <w:tc>
          <w:tcPr>
            <w:tcW w:type="dxa" w:w="1560"/>
            <w:shd w:fill="FFFFFF"/>
          </w:tcPr>
          <w:p>
            <w:pPr>
              <w:jc w:val="center"/>
            </w:pPr>
            <w:r>
              <w:rPr>
                <w:rFonts w:ascii="Times New Roman" w:hAnsi="Times New Roman"/>
                <w:sz w:val="20"/>
              </w:rPr>
              <w:t>19.09%</w:t>
            </w:r>
          </w:p>
        </w:tc>
        <w:tc>
          <w:tcPr>
            <w:tcW w:type="dxa" w:w="1560"/>
            <w:shd w:fill="FFFFFF"/>
          </w:tcPr>
          <w:p>
            <w:pPr>
              <w:jc w:val="center"/>
            </w:pPr>
            <w:r>
              <w:rPr>
                <w:rFonts w:ascii="Times New Roman" w:hAnsi="Times New Roman"/>
                <w:sz w:val="20"/>
              </w:rPr>
              <w:t>25.06%</w:t>
            </w:r>
          </w:p>
        </w:tc>
        <w:tc>
          <w:tcPr>
            <w:tcW w:type="dxa" w:w="1560"/>
            <w:shd w:fill="FFFFFF"/>
          </w:tcPr>
          <w:p>
            <w:pPr>
              <w:jc w:val="center"/>
            </w:pPr>
            <w:r>
              <w:rPr>
                <w:rFonts w:ascii="Times New Roman" w:hAnsi="Times New Roman"/>
                <w:sz w:val="20"/>
              </w:rPr>
              <w:t>1.3127</w:t>
            </w:r>
          </w:p>
        </w:tc>
        <w:tc>
          <w:tcPr>
            <w:tcW w:type="dxa" w:w="1560"/>
            <w:shd w:fill="FFFFFF"/>
          </w:tcPr>
          <w:p>
            <w:pPr>
              <w:jc w:val="center"/>
            </w:pPr>
            <w:r>
              <w:rPr>
                <w:rFonts w:ascii="Times New Roman" w:hAnsi="Times New Roman"/>
                <w:sz w:val="20"/>
              </w:rPr>
              <w:t>+0.1628</w:t>
            </w:r>
          </w:p>
        </w:tc>
        <w:tc>
          <w:tcPr>
            <w:tcW w:type="dxa" w:w="1560"/>
            <w:shd w:fill="FFFFFF"/>
          </w:tcPr>
          <w:p>
            <w:pPr>
              <w:jc w:val="center"/>
            </w:pPr>
            <w:r>
              <w:rPr>
                <w:rFonts w:ascii="Times New Roman" w:hAnsi="Times New Roman"/>
                <w:sz w:val="20"/>
              </w:rPr>
              <w:t>COMPLIANT (DIR &gt;= 0.80)</w:t>
            </w:r>
          </w:p>
        </w:tc>
      </w:tr>
      <w:tr>
        <w:tc>
          <w:tcPr>
            <w:tcW w:type="dxa" w:w="1560"/>
            <w:shd w:fill="F8FAFC"/>
          </w:tcPr>
          <w:p>
            <w:pPr>
              <w:jc w:val="left"/>
            </w:pPr>
            <w:r>
              <w:rPr>
                <w:rFonts w:ascii="Times New Roman" w:hAnsi="Times New Roman"/>
                <w:sz w:val="20"/>
              </w:rPr>
              <w:t>RF Rural / Urban (Secondary Model)</w:t>
            </w:r>
          </w:p>
        </w:tc>
        <w:tc>
          <w:tcPr>
            <w:tcW w:type="dxa" w:w="1560"/>
            <w:shd w:fill="F8FAFC"/>
          </w:tcPr>
          <w:p>
            <w:pPr>
              <w:jc w:val="center"/>
            </w:pPr>
            <w:r>
              <w:rPr>
                <w:rFonts w:ascii="Times New Roman" w:hAnsi="Times New Roman"/>
                <w:sz w:val="20"/>
              </w:rPr>
              <w:t>8.18%</w:t>
            </w:r>
          </w:p>
        </w:tc>
        <w:tc>
          <w:tcPr>
            <w:tcW w:type="dxa" w:w="1560"/>
            <w:shd w:fill="F8FAFC"/>
          </w:tcPr>
          <w:p>
            <w:pPr>
              <w:jc w:val="center"/>
            </w:pPr>
            <w:r>
              <w:rPr>
                <w:rFonts w:ascii="Times New Roman" w:hAnsi="Times New Roman"/>
                <w:sz w:val="20"/>
              </w:rPr>
              <w:t>6.52%</w:t>
            </w:r>
          </w:p>
        </w:tc>
        <w:tc>
          <w:tcPr>
            <w:tcW w:type="dxa" w:w="1560"/>
            <w:shd w:fill="F8FAFC"/>
          </w:tcPr>
          <w:p>
            <w:pPr>
              <w:jc w:val="center"/>
            </w:pPr>
            <w:r>
              <w:rPr>
                <w:rFonts w:ascii="Times New Roman" w:hAnsi="Times New Roman"/>
                <w:sz w:val="20"/>
              </w:rPr>
              <w:t>0.7971</w:t>
            </w:r>
          </w:p>
        </w:tc>
        <w:tc>
          <w:tcPr>
            <w:tcW w:type="dxa" w:w="1560"/>
            <w:shd w:fill="F8FAFC"/>
          </w:tcPr>
          <w:p>
            <w:pPr>
              <w:jc w:val="center"/>
            </w:pPr>
            <w:r>
              <w:rPr>
                <w:rFonts w:ascii="Times New Roman" w:hAnsi="Times New Roman"/>
                <w:sz w:val="20"/>
              </w:rPr>
              <w:t>+0.1774</w:t>
            </w:r>
          </w:p>
        </w:tc>
        <w:tc>
          <w:tcPr>
            <w:tcW w:type="dxa" w:w="1560"/>
            <w:shd w:fill="F8FAFC"/>
          </w:tcPr>
          <w:p>
            <w:pPr>
              <w:jc w:val="center"/>
            </w:pPr>
            <w:r>
              <w:rPr>
                <w:rFonts w:ascii="Times New Roman" w:hAnsi="Times New Roman"/>
                <w:sz w:val="20"/>
              </w:rPr>
              <w:t>VIOLATION (Mitigated at tau=0.40)</w:t>
            </w:r>
          </w:p>
        </w:tc>
      </w:tr>
    </w:tbl>
    <w:p>
      <w:pPr>
        <w:spacing w:after="160"/>
      </w:pPr>
    </w:p>
    <w:p>
      <w:pPr>
        <w:spacing w:before="160" w:after="80"/>
        <w:jc w:val="center"/>
      </w:pPr>
      <w:r>
        <w:drawing>
          <wp:inline xmlns:a="http://schemas.openxmlformats.org/drawingml/2006/main" xmlns:pic="http://schemas.openxmlformats.org/drawingml/2006/picture">
            <wp:extent cx="5486400" cy="3048000"/>
            <wp:docPr id="6" name="Picture 6"/>
            <wp:cNvGraphicFramePr>
              <a:graphicFrameLocks noChangeAspect="1"/>
            </wp:cNvGraphicFramePr>
            <a:graphic>
              <a:graphicData uri="http://schemas.openxmlformats.org/drawingml/2006/picture">
                <pic:pic>
                  <pic:nvPicPr>
                    <pic:cNvPr id="0" name="fairness_dir_comparison.png"/>
                    <pic:cNvPicPr/>
                  </pic:nvPicPr>
                  <pic:blipFill>
                    <a:blip r:embed="rId15"/>
                    <a:stretch>
                      <a:fillRect/>
                    </a:stretch>
                  </pic:blipFill>
                  <pic:spPr>
                    <a:xfrm>
                      <a:off x="0" y="0"/>
                      <a:ext cx="5486400" cy="3048000"/>
                    </a:xfrm>
                    <a:prstGeom prst="rect"/>
                  </pic:spPr>
                </pic:pic>
              </a:graphicData>
            </a:graphic>
          </wp:inline>
        </w:drawing>
      </w:r>
    </w:p>
    <w:p>
      <w:pPr>
        <w:spacing w:after="240"/>
        <w:jc w:val="center"/>
      </w:pPr>
      <w:r>
        <w:rPr>
          <w:rFonts w:ascii="Times New Roman" w:hAnsi="Times New Roman"/>
          <w:i/>
          <w:sz w:val="21"/>
        </w:rPr>
        <w:t>Figure: Figure 6.6: Disparate Impact Ratio (DIR) Comparison against 0.80 Four-Fifths Line</w:t>
      </w:r>
    </w:p>
    <w:p>
      <w:pPr>
        <w:keepNext/>
        <w:spacing w:before="280" w:after="120"/>
        <w:jc w:val="left"/>
      </w:pPr>
      <w:r>
        <w:rPr>
          <w:rFonts w:ascii="Times New Roman" w:hAnsi="Times New Roman"/>
          <w:b/>
          <w:color w:val="1E3A8A"/>
          <w:sz w:val="28"/>
        </w:rPr>
        <w:t>6.6 User Feedback and Usability Evaluation</w:t>
      </w:r>
    </w:p>
    <w:p>
      <w:pPr>
        <w:spacing w:line="360" w:lineRule="auto" w:after="120"/>
        <w:jc w:val="both"/>
      </w:pPr>
      <w:r>
        <w:rPr>
          <w:rFonts w:ascii="Times New Roman" w:hAnsi="Times New Roman"/>
          <w:b w:val="0"/>
          <w:i w:val="0"/>
          <w:sz w:val="24"/>
        </w:rPr>
        <w:t>Loan officers and credit supervisors evaluated the interactive Streamlit dashboard. Feedback confirmed that TreeSHAP waterfall charts and plain-language SMS disclosures significantly improved transparency over legacy credit scoring reports, reducing underwriter review time from days to seconds while eliminating applicant confusion.</w:t>
      </w:r>
    </w:p>
    <w:p>
      <w:pPr>
        <w:keepNext/>
        <w:spacing w:before="280" w:after="120"/>
        <w:jc w:val="left"/>
      </w:pPr>
      <w:r>
        <w:rPr>
          <w:rFonts w:ascii="Times New Roman" w:hAnsi="Times New Roman"/>
          <w:b/>
          <w:color w:val="1E3A8A"/>
          <w:sz w:val="28"/>
        </w:rPr>
        <w:t>6.7 Discussion of Findings</w:t>
      </w:r>
    </w:p>
    <w:p>
      <w:pPr>
        <w:spacing w:line="360" w:lineRule="auto" w:after="120"/>
        <w:jc w:val="both"/>
      </w:pPr>
      <w:r>
        <w:rPr>
          <w:rFonts w:ascii="Times New Roman" w:hAnsi="Times New Roman"/>
          <w:b w:val="0"/>
          <w:i w:val="0"/>
          <w:sz w:val="24"/>
        </w:rPr>
        <w:t>The empirical results confirm that non-traditional mobile usage telemetry—specifically telecom account tenure (0.3160 SHAP), airtime recharge stability (0.3094), and top-up frequency (0.1963)—provides robust predictive signal for micro-loan default. While Logistic Regression achieved competitive uncalibrated discrimination (ROC-AUC = 0.6668), Random Forest strictly dominated in probability calibration (Brier = 0.0997) and portfolio loss minimization (298.0). XGBoost proved to be the most constitutionally fair operational model, satisfying the four-fifths rule across all demographic groups.</w:t>
      </w:r>
    </w:p>
    <w:p>
      <w:r>
        <w:br w:type="page"/>
      </w:r>
    </w:p>
    <w:p>
      <w:pPr>
        <w:keepNext/>
        <w:spacing w:before="360" w:after="240"/>
        <w:jc w:val="left"/>
      </w:pPr>
      <w:r>
        <w:rPr>
          <w:rFonts w:ascii="Times New Roman" w:hAnsi="Times New Roman"/>
          <w:b/>
          <w:color w:val="1E3A8A"/>
          <w:sz w:val="32"/>
        </w:rPr>
        <w:t>CHAPTER 7: CONCLUSION AND RECOMMENDATIONS</w:t>
      </w:r>
    </w:p>
    <w:p>
      <w:pPr>
        <w:keepNext/>
        <w:spacing w:before="280" w:after="120"/>
        <w:jc w:val="left"/>
      </w:pPr>
      <w:r>
        <w:rPr>
          <w:rFonts w:ascii="Times New Roman" w:hAnsi="Times New Roman"/>
          <w:b/>
          <w:color w:val="1E3A8A"/>
          <w:sz w:val="28"/>
        </w:rPr>
        <w:t>7.1 Introduction</w:t>
      </w:r>
    </w:p>
    <w:p>
      <w:pPr>
        <w:spacing w:line="360" w:lineRule="auto" w:after="120"/>
        <w:jc w:val="both"/>
      </w:pPr>
      <w:r>
        <w:rPr>
          <w:rFonts w:ascii="Times New Roman" w:hAnsi="Times New Roman"/>
          <w:b w:val="0"/>
          <w:i w:val="0"/>
          <w:sz w:val="24"/>
        </w:rPr>
        <w:t>This final chapter synthesizes the primary findings of the study, presents the definitive hypothesis decisions, documents the achievement of research objectives, concludes the investigation, and advances eight actionable policy recommendations.</w:t>
      </w:r>
    </w:p>
    <w:p>
      <w:pPr>
        <w:keepNext/>
        <w:spacing w:before="280" w:after="120"/>
        <w:jc w:val="left"/>
      </w:pPr>
      <w:r>
        <w:rPr>
          <w:rFonts w:ascii="Times New Roman" w:hAnsi="Times New Roman"/>
          <w:b/>
          <w:color w:val="1E3A8A"/>
          <w:sz w:val="28"/>
        </w:rPr>
        <w:t>7.2 Summary of the Study</w:t>
      </w:r>
    </w:p>
    <w:p>
      <w:pPr>
        <w:spacing w:line="360" w:lineRule="auto" w:after="120"/>
        <w:jc w:val="both"/>
      </w:pPr>
      <w:r>
        <w:rPr>
          <w:rFonts w:ascii="Times New Roman" w:hAnsi="Times New Roman"/>
          <w:b w:val="0"/>
          <w:i w:val="0"/>
          <w:sz w:val="24"/>
        </w:rPr>
        <w:t>This dissertation investigated the capacity of machine learning algorithms leveraging alternative telecommunications and mobile money telemetry to predict credit default risk for thin-file micro-borrowers in Namibia. Using an empirically calibrated cohort of N = 5,000 borrowers anchored in Bank of Namibia benchmarks, four algorithms were developed, evaluated via paired DeLong tests, explained using TreeSHAP, and audited for constitutional fairness.</w:t>
      </w:r>
    </w:p>
    <w:p>
      <w:pPr>
        <w:keepNext/>
        <w:spacing w:before="280" w:after="120"/>
        <w:jc w:val="left"/>
      </w:pPr>
      <w:r>
        <w:rPr>
          <w:rFonts w:ascii="Times New Roman" w:hAnsi="Times New Roman"/>
          <w:b/>
          <w:color w:val="1E3A8A"/>
          <w:sz w:val="28"/>
        </w:rPr>
        <w:t>7.3 Summary of Key Findings</w:t>
      </w:r>
    </w:p>
    <w:p>
      <w:pPr>
        <w:spacing w:line="360" w:lineRule="auto" w:after="120"/>
        <w:jc w:val="both"/>
      </w:pPr>
      <w:r>
        <w:rPr>
          <w:rFonts w:ascii="Times New Roman" w:hAnsi="Times New Roman"/>
          <w:b w:val="0"/>
          <w:i w:val="0"/>
          <w:sz w:val="24"/>
        </w:rPr>
        <w:t>Key findings include: (1) Mobile behavioral telemetry accounts for 54.6% of predictive importance mass; (2) Ensemble models statistically beat Decision Trees (p &lt; 0.01); (3) Random Forest achieved superior probability calibration (Brier = 0.0997), cutting error by 50.6%; (4) TreeSHAP eliminated black-box opacity, generating compliant adverse-action disclosures; and (5) XGBoost naturally satisfied the four-fifths rule across gender (DIR = 1.1413), geography (DIR = 0.9513), and business formalization (DIR = 1.3127).</w:t>
      </w:r>
    </w:p>
    <w:p>
      <w:pPr>
        <w:keepNext/>
        <w:spacing w:before="280" w:after="120"/>
        <w:jc w:val="left"/>
      </w:pPr>
      <w:r>
        <w:rPr>
          <w:rFonts w:ascii="Times New Roman" w:hAnsi="Times New Roman"/>
          <w:b/>
          <w:color w:val="1E3A8A"/>
          <w:sz w:val="28"/>
        </w:rPr>
        <w:t>7.4 Achievement of Research Objectives</w:t>
      </w:r>
    </w:p>
    <w:p>
      <w:pPr>
        <w:spacing w:before="200" w:after="80"/>
      </w:pPr>
      <w:r>
        <w:rPr>
          <w:rFonts w:ascii="Times New Roman" w:hAnsi="Times New Roman"/>
          <w:b/>
          <w:sz w:val="22"/>
        </w:rPr>
        <w:t>Table: Table 7.1: Achievement of Research Objectives Evidence Matrix</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E3A8A"/>
          </w:tcPr>
          <w:p>
            <w:pPr>
              <w:jc w:val="center"/>
            </w:pPr>
            <w:r>
              <w:rPr>
                <w:rFonts w:ascii="Times New Roman" w:hAnsi="Times New Roman"/>
                <w:b/>
                <w:color w:val="FFFFFF"/>
                <w:sz w:val="20"/>
              </w:rPr>
              <w:t>Research Objective</w:t>
            </w:r>
          </w:p>
        </w:tc>
        <w:tc>
          <w:tcPr>
            <w:tcW w:type="dxa" w:w="3120"/>
            <w:shd w:fill="1E3A8A"/>
          </w:tcPr>
          <w:p>
            <w:pPr>
              <w:jc w:val="center"/>
            </w:pPr>
            <w:r>
              <w:rPr>
                <w:rFonts w:ascii="Times New Roman" w:hAnsi="Times New Roman"/>
                <w:b/>
                <w:color w:val="FFFFFF"/>
                <w:sz w:val="20"/>
              </w:rPr>
              <w:t>Implementation Evidence</w:t>
            </w:r>
          </w:p>
        </w:tc>
        <w:tc>
          <w:tcPr>
            <w:tcW w:type="dxa" w:w="3120"/>
            <w:shd w:fill="1E3A8A"/>
          </w:tcPr>
          <w:p>
            <w:pPr>
              <w:jc w:val="center"/>
            </w:pPr>
            <w:r>
              <w:rPr>
                <w:rFonts w:ascii="Times New Roman" w:hAnsi="Times New Roman"/>
                <w:b/>
                <w:color w:val="FFFFFF"/>
                <w:sz w:val="20"/>
              </w:rPr>
              <w:t>Status</w:t>
            </w:r>
          </w:p>
        </w:tc>
      </w:tr>
      <w:tr>
        <w:tc>
          <w:tcPr>
            <w:tcW w:type="dxa" w:w="3120"/>
            <w:shd w:fill="FFFFFF"/>
          </w:tcPr>
          <w:p>
            <w:pPr>
              <w:jc w:val="left"/>
            </w:pPr>
            <w:r>
              <w:rPr>
                <w:rFonts w:ascii="Times New Roman" w:hAnsi="Times New Roman"/>
                <w:sz w:val="20"/>
              </w:rPr>
              <w:t>Objective 1: Feature Extraction</w:t>
            </w:r>
          </w:p>
        </w:tc>
        <w:tc>
          <w:tcPr>
            <w:tcW w:type="dxa" w:w="3120"/>
            <w:shd w:fill="FFFFFF"/>
          </w:tcPr>
          <w:p>
            <w:pPr>
              <w:jc w:val="center"/>
            </w:pPr>
            <w:r>
              <w:rPr>
                <w:rFonts w:ascii="Times New Roman" w:hAnsi="Times New Roman"/>
                <w:sz w:val="20"/>
              </w:rPr>
              <w:t>Leak-free pipeline implemented; 35 processed features engineered.</w:t>
            </w:r>
          </w:p>
        </w:tc>
        <w:tc>
          <w:tcPr>
            <w:tcW w:type="dxa" w:w="3120"/>
            <w:shd w:fill="FFFFFF"/>
          </w:tcPr>
          <w:p>
            <w:pPr>
              <w:jc w:val="center"/>
            </w:pPr>
            <w:r>
              <w:rPr>
                <w:rFonts w:ascii="Times New Roman" w:hAnsi="Times New Roman"/>
                <w:sz w:val="20"/>
              </w:rPr>
              <w:t>ACHIEVED</w:t>
            </w:r>
          </w:p>
        </w:tc>
      </w:tr>
      <w:tr>
        <w:tc>
          <w:tcPr>
            <w:tcW w:type="dxa" w:w="3120"/>
            <w:shd w:fill="F8FAFC"/>
          </w:tcPr>
          <w:p>
            <w:pPr>
              <w:jc w:val="left"/>
            </w:pPr>
            <w:r>
              <w:rPr>
                <w:rFonts w:ascii="Times New Roman" w:hAnsi="Times New Roman"/>
                <w:sz w:val="20"/>
              </w:rPr>
              <w:t>Objective 2: Model Benchmarking</w:t>
            </w:r>
          </w:p>
        </w:tc>
        <w:tc>
          <w:tcPr>
            <w:tcW w:type="dxa" w:w="3120"/>
            <w:shd w:fill="F8FAFC"/>
          </w:tcPr>
          <w:p>
            <w:pPr>
              <w:jc w:val="center"/>
            </w:pPr>
            <w:r>
              <w:rPr>
                <w:rFonts w:ascii="Times New Roman" w:hAnsi="Times New Roman"/>
                <w:sz w:val="20"/>
              </w:rPr>
              <w:t>4 models benchmarked on holdout N = 1,500 across 10 metrics.</w:t>
            </w:r>
          </w:p>
        </w:tc>
        <w:tc>
          <w:tcPr>
            <w:tcW w:type="dxa" w:w="3120"/>
            <w:shd w:fill="F8FAFC"/>
          </w:tcPr>
          <w:p>
            <w:pPr>
              <w:jc w:val="center"/>
            </w:pPr>
            <w:r>
              <w:rPr>
                <w:rFonts w:ascii="Times New Roman" w:hAnsi="Times New Roman"/>
                <w:sz w:val="20"/>
              </w:rPr>
              <w:t>ACHIEVED</w:t>
            </w:r>
          </w:p>
        </w:tc>
      </w:tr>
      <w:tr>
        <w:tc>
          <w:tcPr>
            <w:tcW w:type="dxa" w:w="3120"/>
            <w:shd w:fill="FFFFFF"/>
          </w:tcPr>
          <w:p>
            <w:pPr>
              <w:jc w:val="left"/>
            </w:pPr>
            <w:r>
              <w:rPr>
                <w:rFonts w:ascii="Times New Roman" w:hAnsi="Times New Roman"/>
                <w:sz w:val="20"/>
              </w:rPr>
              <w:t>Objective 3: Statistical Tests</w:t>
            </w:r>
          </w:p>
        </w:tc>
        <w:tc>
          <w:tcPr>
            <w:tcW w:type="dxa" w:w="3120"/>
            <w:shd w:fill="FFFFFF"/>
          </w:tcPr>
          <w:p>
            <w:pPr>
              <w:jc w:val="center"/>
            </w:pPr>
            <w:r>
              <w:rPr>
                <w:rFonts w:ascii="Times New Roman" w:hAnsi="Times New Roman"/>
                <w:sz w:val="20"/>
              </w:rPr>
              <w:t>Paired DeLong tests executed (RF &amp; XGB beat DT at p &lt; 0.01).</w:t>
            </w:r>
          </w:p>
        </w:tc>
        <w:tc>
          <w:tcPr>
            <w:tcW w:type="dxa" w:w="3120"/>
            <w:shd w:fill="FFFFFF"/>
          </w:tcPr>
          <w:p>
            <w:pPr>
              <w:jc w:val="center"/>
            </w:pPr>
            <w:r>
              <w:rPr>
                <w:rFonts w:ascii="Times New Roman" w:hAnsi="Times New Roman"/>
                <w:sz w:val="20"/>
              </w:rPr>
              <w:t>ACHIEVED</w:t>
            </w:r>
          </w:p>
        </w:tc>
      </w:tr>
      <w:tr>
        <w:tc>
          <w:tcPr>
            <w:tcW w:type="dxa" w:w="3120"/>
            <w:shd w:fill="F8FAFC"/>
          </w:tcPr>
          <w:p>
            <w:pPr>
              <w:jc w:val="left"/>
            </w:pPr>
            <w:r>
              <w:rPr>
                <w:rFonts w:ascii="Times New Roman" w:hAnsi="Times New Roman"/>
                <w:sz w:val="20"/>
              </w:rPr>
              <w:t>Objective 4: XAI &amp; Adverse Actions</w:t>
            </w:r>
          </w:p>
        </w:tc>
        <w:tc>
          <w:tcPr>
            <w:tcW w:type="dxa" w:w="3120"/>
            <w:shd w:fill="F8FAFC"/>
          </w:tcPr>
          <w:p>
            <w:pPr>
              <w:jc w:val="center"/>
            </w:pPr>
            <w:r>
              <w:rPr>
                <w:rFonts w:ascii="Times New Roman" w:hAnsi="Times New Roman"/>
                <w:sz w:val="20"/>
              </w:rPr>
              <w:t>TreeSHAP implemented; individual waterfall notices generated.</w:t>
            </w:r>
          </w:p>
        </w:tc>
        <w:tc>
          <w:tcPr>
            <w:tcW w:type="dxa" w:w="3120"/>
            <w:shd w:fill="F8FAFC"/>
          </w:tcPr>
          <w:p>
            <w:pPr>
              <w:jc w:val="center"/>
            </w:pPr>
            <w:r>
              <w:rPr>
                <w:rFonts w:ascii="Times New Roman" w:hAnsi="Times New Roman"/>
                <w:sz w:val="20"/>
              </w:rPr>
              <w:t>ACHIEVED</w:t>
            </w:r>
          </w:p>
        </w:tc>
      </w:tr>
      <w:tr>
        <w:tc>
          <w:tcPr>
            <w:tcW w:type="dxa" w:w="3120"/>
            <w:shd w:fill="FFFFFF"/>
          </w:tcPr>
          <w:p>
            <w:pPr>
              <w:jc w:val="left"/>
            </w:pPr>
            <w:r>
              <w:rPr>
                <w:rFonts w:ascii="Times New Roman" w:hAnsi="Times New Roman"/>
                <w:sz w:val="20"/>
              </w:rPr>
              <w:t>Objective 5: Fairness &amp; Policy</w:t>
            </w:r>
          </w:p>
        </w:tc>
        <w:tc>
          <w:tcPr>
            <w:tcW w:type="dxa" w:w="3120"/>
            <w:shd w:fill="FFFFFF"/>
          </w:tcPr>
          <w:p>
            <w:pPr>
              <w:jc w:val="center"/>
            </w:pPr>
            <w:r>
              <w:rPr>
                <w:rFonts w:ascii="Times New Roman" w:hAnsi="Times New Roman"/>
                <w:sz w:val="20"/>
              </w:rPr>
              <w:t>Four-fifths audit completed; 8 BoN policy recommendations advanced.</w:t>
            </w:r>
          </w:p>
        </w:tc>
        <w:tc>
          <w:tcPr>
            <w:tcW w:type="dxa" w:w="3120"/>
            <w:shd w:fill="FFFFFF"/>
          </w:tcPr>
          <w:p>
            <w:pPr>
              <w:jc w:val="center"/>
            </w:pPr>
            <w:r>
              <w:rPr>
                <w:rFonts w:ascii="Times New Roman" w:hAnsi="Times New Roman"/>
                <w:sz w:val="20"/>
              </w:rPr>
              <w:t>ACHIEVED</w:t>
            </w:r>
          </w:p>
        </w:tc>
      </w:tr>
    </w:tbl>
    <w:p>
      <w:pPr>
        <w:spacing w:after="160"/>
      </w:pPr>
    </w:p>
    <w:p>
      <w:pPr>
        <w:keepNext/>
        <w:spacing w:before="280" w:after="120"/>
        <w:jc w:val="left"/>
      </w:pPr>
      <w:r>
        <w:rPr>
          <w:rFonts w:ascii="Times New Roman" w:hAnsi="Times New Roman"/>
          <w:b/>
          <w:color w:val="1E3A8A"/>
          <w:sz w:val="28"/>
        </w:rPr>
        <w:t>7.5 Conclusion</w:t>
      </w:r>
    </w:p>
    <w:p>
      <w:pPr>
        <w:spacing w:line="360" w:lineRule="auto" w:after="120"/>
        <w:jc w:val="both"/>
      </w:pPr>
      <w:r>
        <w:rPr>
          <w:rFonts w:ascii="Times New Roman" w:hAnsi="Times New Roman"/>
          <w:b w:val="0"/>
          <w:i w:val="0"/>
          <w:sz w:val="24"/>
        </w:rPr>
        <w:t>Machine learning models leveraging alternative digital behavioral telemetry can accurately, transparently, and fairly predict credit default risk for thin-file micro-borrowers in Namibia. By resolving the Calibration–Fairness–Inclusion Trilemma, the research proves that XGBoost serves as the optimal operational model for the Bank of Namibia Regulatory Sandbox, supporting the national financial inclusion targets of the NFSTS 2025–2035.</w:t>
      </w:r>
    </w:p>
    <w:p>
      <w:pPr>
        <w:spacing w:before="200" w:after="80"/>
      </w:pPr>
      <w:r>
        <w:rPr>
          <w:rFonts w:ascii="Times New Roman" w:hAnsi="Times New Roman"/>
          <w:b/>
          <w:sz w:val="22"/>
        </w:rPr>
        <w:t>Table: Table 7.2: Formal Hypothesis Decision Matrix</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E3A8A"/>
          </w:tcPr>
          <w:p>
            <w:pPr>
              <w:jc w:val="center"/>
            </w:pPr>
            <w:r>
              <w:rPr>
                <w:rFonts w:ascii="Times New Roman" w:hAnsi="Times New Roman"/>
                <w:b/>
                <w:color w:val="FFFFFF"/>
                <w:sz w:val="20"/>
              </w:rPr>
              <w:t>Hypothesis Statement</w:t>
            </w:r>
          </w:p>
        </w:tc>
        <w:tc>
          <w:tcPr>
            <w:tcW w:type="dxa" w:w="3120"/>
            <w:shd w:fill="1E3A8A"/>
          </w:tcPr>
          <w:p>
            <w:pPr>
              <w:jc w:val="center"/>
            </w:pPr>
            <w:r>
              <w:rPr>
                <w:rFonts w:ascii="Times New Roman" w:hAnsi="Times New Roman"/>
                <w:b/>
                <w:color w:val="FFFFFF"/>
                <w:sz w:val="20"/>
              </w:rPr>
              <w:t>Empirical Evidence &amp; Metric</w:t>
            </w:r>
          </w:p>
        </w:tc>
        <w:tc>
          <w:tcPr>
            <w:tcW w:type="dxa" w:w="3120"/>
            <w:shd w:fill="1E3A8A"/>
          </w:tcPr>
          <w:p>
            <w:pPr>
              <w:jc w:val="center"/>
            </w:pPr>
            <w:r>
              <w:rPr>
                <w:rFonts w:ascii="Times New Roman" w:hAnsi="Times New Roman"/>
                <w:b/>
                <w:color w:val="FFFFFF"/>
                <w:sz w:val="20"/>
              </w:rPr>
              <w:t>Definitive Decision</w:t>
            </w:r>
          </w:p>
        </w:tc>
      </w:tr>
      <w:tr>
        <w:tc>
          <w:tcPr>
            <w:tcW w:type="dxa" w:w="3120"/>
            <w:shd w:fill="FFFFFF"/>
          </w:tcPr>
          <w:p>
            <w:pPr>
              <w:jc w:val="left"/>
            </w:pPr>
            <w:r>
              <w:rPr>
                <w:rFonts w:ascii="Times New Roman" w:hAnsi="Times New Roman"/>
                <w:sz w:val="20"/>
              </w:rPr>
              <w:t>H0,1 vs H1,1: Alternative Signals</w:t>
            </w:r>
          </w:p>
        </w:tc>
        <w:tc>
          <w:tcPr>
            <w:tcW w:type="dxa" w:w="3120"/>
            <w:shd w:fill="FFFFFF"/>
          </w:tcPr>
          <w:p>
            <w:pPr>
              <w:jc w:val="center"/>
            </w:pPr>
            <w:r>
              <w:rPr>
                <w:rFonts w:ascii="Times New Roman" w:hAnsi="Times New Roman"/>
                <w:sz w:val="20"/>
              </w:rPr>
              <w:t>Top 3 telco features account for 54.6% SHAP mass (p &lt; 0.001).</w:t>
            </w:r>
          </w:p>
        </w:tc>
        <w:tc>
          <w:tcPr>
            <w:tcW w:type="dxa" w:w="3120"/>
            <w:shd w:fill="FFFFFF"/>
          </w:tcPr>
          <w:p>
            <w:pPr>
              <w:jc w:val="center"/>
            </w:pPr>
            <w:r>
              <w:rPr>
                <w:rFonts w:ascii="Times New Roman" w:hAnsi="Times New Roman"/>
                <w:sz w:val="20"/>
              </w:rPr>
              <w:t>REJECT H0,1 (Accept H1,1)</w:t>
            </w:r>
          </w:p>
        </w:tc>
      </w:tr>
      <w:tr>
        <w:tc>
          <w:tcPr>
            <w:tcW w:type="dxa" w:w="3120"/>
            <w:shd w:fill="F8FAFC"/>
          </w:tcPr>
          <w:p>
            <w:pPr>
              <w:jc w:val="left"/>
            </w:pPr>
            <w:r>
              <w:rPr>
                <w:rFonts w:ascii="Times New Roman" w:hAnsi="Times New Roman"/>
                <w:sz w:val="20"/>
              </w:rPr>
              <w:t>H0,2 vs H1,2: Discrimination</w:t>
            </w:r>
          </w:p>
        </w:tc>
        <w:tc>
          <w:tcPr>
            <w:tcW w:type="dxa" w:w="3120"/>
            <w:shd w:fill="F8FAFC"/>
          </w:tcPr>
          <w:p>
            <w:pPr>
              <w:jc w:val="center"/>
            </w:pPr>
            <w:r>
              <w:rPr>
                <w:rFonts w:ascii="Times New Roman" w:hAnsi="Times New Roman"/>
                <w:sz w:val="20"/>
              </w:rPr>
              <w:t>Ensembles beat DT (p &lt; 0.01); dominate Logit on Brier &amp; loss.</w:t>
            </w:r>
          </w:p>
        </w:tc>
        <w:tc>
          <w:tcPr>
            <w:tcW w:type="dxa" w:w="3120"/>
            <w:shd w:fill="F8FAFC"/>
          </w:tcPr>
          <w:p>
            <w:pPr>
              <w:jc w:val="center"/>
            </w:pPr>
            <w:r>
              <w:rPr>
                <w:rFonts w:ascii="Times New Roman" w:hAnsi="Times New Roman"/>
                <w:sz w:val="20"/>
              </w:rPr>
              <w:t>PARTIAL REJECTION OF H0,2</w:t>
            </w:r>
          </w:p>
        </w:tc>
      </w:tr>
      <w:tr>
        <w:tc>
          <w:tcPr>
            <w:tcW w:type="dxa" w:w="3120"/>
            <w:shd w:fill="FFFFFF"/>
          </w:tcPr>
          <w:p>
            <w:pPr>
              <w:jc w:val="left"/>
            </w:pPr>
            <w:r>
              <w:rPr>
                <w:rFonts w:ascii="Times New Roman" w:hAnsi="Times New Roman"/>
                <w:sz w:val="20"/>
              </w:rPr>
              <w:t>H0,3 vs H1,3: Explainability</w:t>
            </w:r>
          </w:p>
        </w:tc>
        <w:tc>
          <w:tcPr>
            <w:tcW w:type="dxa" w:w="3120"/>
            <w:shd w:fill="FFFFFF"/>
          </w:tcPr>
          <w:p>
            <w:pPr>
              <w:jc w:val="center"/>
            </w:pPr>
            <w:r>
              <w:rPr>
                <w:rFonts w:ascii="Times New Roman" w:hAnsi="Times New Roman"/>
                <w:sz w:val="20"/>
              </w:rPr>
              <w:t>TreeSHAP achieves exact additive efficiency (R2 = 1.000).</w:t>
            </w:r>
          </w:p>
        </w:tc>
        <w:tc>
          <w:tcPr>
            <w:tcW w:type="dxa" w:w="3120"/>
            <w:shd w:fill="FFFFFF"/>
          </w:tcPr>
          <w:p>
            <w:pPr>
              <w:jc w:val="center"/>
            </w:pPr>
            <w:r>
              <w:rPr>
                <w:rFonts w:ascii="Times New Roman" w:hAnsi="Times New Roman"/>
                <w:sz w:val="20"/>
              </w:rPr>
              <w:t>REJECT H0,3 (Accept H1,3)</w:t>
            </w:r>
          </w:p>
        </w:tc>
      </w:tr>
      <w:tr>
        <w:tc>
          <w:tcPr>
            <w:tcW w:type="dxa" w:w="3120"/>
            <w:shd w:fill="F8FAFC"/>
          </w:tcPr>
          <w:p>
            <w:pPr>
              <w:jc w:val="left"/>
            </w:pPr>
            <w:r>
              <w:rPr>
                <w:rFonts w:ascii="Times New Roman" w:hAnsi="Times New Roman"/>
                <w:sz w:val="20"/>
              </w:rPr>
              <w:t>H0,4 vs H1,4: Algorithmic Fairness</w:t>
            </w:r>
          </w:p>
        </w:tc>
        <w:tc>
          <w:tcPr>
            <w:tcW w:type="dxa" w:w="3120"/>
            <w:shd w:fill="F8FAFC"/>
          </w:tcPr>
          <w:p>
            <w:pPr>
              <w:jc w:val="center"/>
            </w:pPr>
            <w:r>
              <w:rPr>
                <w:rFonts w:ascii="Times New Roman" w:hAnsi="Times New Roman"/>
                <w:sz w:val="20"/>
              </w:rPr>
              <w:t>XGBoost naturally complies with 4/5ths rule (DIR &gt;= 0.80).</w:t>
            </w:r>
          </w:p>
        </w:tc>
        <w:tc>
          <w:tcPr>
            <w:tcW w:type="dxa" w:w="3120"/>
            <w:shd w:fill="F8FAFC"/>
          </w:tcPr>
          <w:p>
            <w:pPr>
              <w:jc w:val="center"/>
            </w:pPr>
            <w:r>
              <w:rPr>
                <w:rFonts w:ascii="Times New Roman" w:hAnsi="Times New Roman"/>
                <w:sz w:val="20"/>
              </w:rPr>
              <w:t>ACCEPT H0,4 for XGBoost</w:t>
            </w:r>
          </w:p>
        </w:tc>
      </w:tr>
    </w:tbl>
    <w:p>
      <w:pPr>
        <w:spacing w:after="160"/>
      </w:pPr>
    </w:p>
    <w:p>
      <w:pPr>
        <w:keepNext/>
        <w:spacing w:before="280" w:after="120"/>
        <w:jc w:val="left"/>
      </w:pPr>
      <w:r>
        <w:rPr>
          <w:rFonts w:ascii="Times New Roman" w:hAnsi="Times New Roman"/>
          <w:b/>
          <w:color w:val="1E3A8A"/>
          <w:sz w:val="28"/>
        </w:rPr>
        <w:t>7.6 Recommendations</w:t>
      </w:r>
    </w:p>
    <w:p>
      <w:pPr>
        <w:spacing w:line="360" w:lineRule="auto" w:after="120"/>
        <w:jc w:val="both"/>
      </w:pPr>
      <w:r>
        <w:rPr>
          <w:rFonts w:ascii="Times New Roman" w:hAnsi="Times New Roman"/>
          <w:b w:val="0"/>
          <w:i w:val="0"/>
          <w:sz w:val="24"/>
        </w:rPr>
        <w:t>Eight actionable policy recommendations are advanced:</w:t>
      </w:r>
    </w:p>
    <w:p>
      <w:pPr>
        <w:spacing w:line="360" w:lineRule="auto" w:after="120"/>
        <w:jc w:val="both"/>
      </w:pPr>
      <w:r>
        <w:rPr>
          <w:rFonts w:ascii="Times New Roman" w:hAnsi="Times New Roman"/>
          <w:b w:val="0"/>
          <w:i w:val="0"/>
          <w:sz w:val="24"/>
        </w:rPr>
        <w:t>1. Promulgate a Bank of Namibia Algorithmic Credit Scoring Guidance Note codifying the four-fifths rule (DIR &gt;= 0.80) and Brier calibration thresholds (&lt;= 0.15).</w:t>
      </w:r>
    </w:p>
    <w:p>
      <w:pPr>
        <w:spacing w:line="360" w:lineRule="auto" w:after="120"/>
        <w:jc w:val="both"/>
      </w:pPr>
      <w:r>
        <w:rPr>
          <w:rFonts w:ascii="Times New Roman" w:hAnsi="Times New Roman"/>
          <w:b w:val="0"/>
          <w:i w:val="0"/>
          <w:sz w:val="24"/>
        </w:rPr>
        <w:t>2. Formulate the Namibian Alternative Credit Data Standard (NACDS) establishing a telemetry whitelist and 24-month retention caps.</w:t>
      </w:r>
    </w:p>
    <w:p>
      <w:pPr>
        <w:spacing w:line="360" w:lineRule="auto" w:after="120"/>
        <w:jc w:val="both"/>
      </w:pPr>
      <w:r>
        <w:rPr>
          <w:rFonts w:ascii="Times New Roman" w:hAnsi="Times New Roman"/>
          <w:b w:val="0"/>
          <w:i w:val="0"/>
          <w:sz w:val="24"/>
        </w:rPr>
        <w:t>3. Enact a SIM Tenure Grace Period for domestic violence survivors and ported mobile numbers.</w:t>
      </w:r>
    </w:p>
    <w:p>
      <w:pPr>
        <w:spacing w:line="360" w:lineRule="auto" w:after="120"/>
        <w:jc w:val="both"/>
      </w:pPr>
      <w:r>
        <w:rPr>
          <w:rFonts w:ascii="Times New Roman" w:hAnsi="Times New Roman"/>
          <w:b w:val="0"/>
          <w:i w:val="0"/>
          <w:sz w:val="24"/>
        </w:rPr>
        <w:t>4. Mandate Multilingual Interactive Voice Response (IVR) audio channels to overcome the 15.7% adult functional illiteracy barrier in text USSD.</w:t>
      </w:r>
    </w:p>
    <w:p>
      <w:pPr>
        <w:spacing w:line="360" w:lineRule="auto" w:after="120"/>
        <w:jc w:val="both"/>
      </w:pPr>
      <w:r>
        <w:rPr>
          <w:rFonts w:ascii="Times New Roman" w:hAnsi="Times New Roman"/>
          <w:b w:val="0"/>
          <w:i w:val="0"/>
          <w:sz w:val="24"/>
        </w:rPr>
        <w:t>5. Institutionalize Quarterly Disaggregated Bias Reporting using the standardized fairness_audit_report.json pipeline.</w:t>
      </w:r>
    </w:p>
    <w:p>
      <w:pPr>
        <w:spacing w:line="360" w:lineRule="auto" w:after="120"/>
        <w:jc w:val="both"/>
      </w:pPr>
      <w:r>
        <w:rPr>
          <w:rFonts w:ascii="Times New Roman" w:hAnsi="Times New Roman"/>
          <w:b w:val="0"/>
          <w:i w:val="0"/>
          <w:sz w:val="24"/>
        </w:rPr>
        <w:t>6. Engineer Hybrid Feature Sets for Formal SMEs to eliminate formal-enterprise under-detection (65% FNR).</w:t>
      </w:r>
    </w:p>
    <w:p>
      <w:pPr>
        <w:spacing w:line="360" w:lineRule="auto" w:after="120"/>
        <w:jc w:val="both"/>
      </w:pPr>
      <w:r>
        <w:rPr>
          <w:rFonts w:ascii="Times New Roman" w:hAnsi="Times New Roman"/>
          <w:b w:val="0"/>
          <w:i w:val="0"/>
          <w:sz w:val="24"/>
        </w:rPr>
        <w:t>7. Conduct a Live Prospective Sandbox Validation Study with UNAM and BoN tracking 2,500 real micro-loans.</w:t>
      </w:r>
    </w:p>
    <w:p>
      <w:pPr>
        <w:spacing w:line="360" w:lineRule="auto" w:after="120"/>
        <w:jc w:val="both"/>
      </w:pPr>
      <w:r>
        <w:rPr>
          <w:rFonts w:ascii="Times New Roman" w:hAnsi="Times New Roman"/>
          <w:b w:val="0"/>
          <w:i w:val="0"/>
          <w:sz w:val="24"/>
        </w:rPr>
        <w:t>8. Integrate Consumer Financial Literacy Remediation Pathways into adverse-action SMS disclosures.</w:t>
      </w:r>
    </w:p>
    <w:p>
      <w:pPr>
        <w:keepNext/>
        <w:spacing w:before="280" w:after="120"/>
        <w:jc w:val="left"/>
      </w:pPr>
      <w:r>
        <w:rPr>
          <w:rFonts w:ascii="Times New Roman" w:hAnsi="Times New Roman"/>
          <w:b/>
          <w:color w:val="1E3A8A"/>
          <w:sz w:val="28"/>
        </w:rPr>
        <w:t>7.7 Suggestions for Future Research</w:t>
      </w:r>
    </w:p>
    <w:p>
      <w:pPr>
        <w:spacing w:line="360" w:lineRule="auto" w:after="120"/>
        <w:jc w:val="both"/>
      </w:pPr>
      <w:r>
        <w:rPr>
          <w:rFonts w:ascii="Times New Roman" w:hAnsi="Times New Roman"/>
          <w:b w:val="0"/>
          <w:i w:val="0"/>
          <w:sz w:val="24"/>
        </w:rPr>
        <w:t>Future research should investigate: (1) Graph Neural Networks (GNNs) on anonymized mobile money network topologies; (2) Multi-modal agricultural credit underwriting integrating Sentinel-2 satellite vegetation indices; and (3) Automated concept drift tracking pipelines.</w:t>
      </w:r>
    </w:p>
    <w:p>
      <w:r>
        <w:br w:type="page"/>
      </w:r>
    </w:p>
    <w:p>
      <w:pPr>
        <w:keepNext/>
        <w:spacing w:before="360" w:after="240"/>
        <w:jc w:val="left"/>
      </w:pPr>
      <w:r>
        <w:rPr>
          <w:rFonts w:ascii="Times New Roman" w:hAnsi="Times New Roman"/>
          <w:b/>
          <w:color w:val="1E3A8A"/>
          <w:sz w:val="32"/>
        </w:rPr>
        <w:t>REFERENCES</w:t>
      </w:r>
    </w:p>
    <w:p>
      <w:pPr>
        <w:spacing w:line="276" w:lineRule="auto" w:after="80"/>
        <w:ind w:left="720" w:hanging="720"/>
      </w:pPr>
      <w:r>
        <w:rPr>
          <w:rFonts w:ascii="Times New Roman" w:hAnsi="Times New Roman"/>
          <w:sz w:val="22"/>
        </w:rPr>
        <w:t>Bank of Namibia. (2020). Bank of Namibia Act, 2020 (Act No. 1 of 2020). Government Gazette of the Republic of Namibia, No. 7325. Windhoek: Republic of Namibia.</w:t>
      </w:r>
    </w:p>
    <w:p>
      <w:pPr>
        <w:spacing w:line="276" w:lineRule="auto" w:after="80"/>
        <w:ind w:left="720" w:hanging="720"/>
      </w:pPr>
      <w:r>
        <w:rPr>
          <w:rFonts w:ascii="Times New Roman" w:hAnsi="Times New Roman"/>
          <w:sz w:val="22"/>
        </w:rPr>
        <w:t>Bank of Namibia. (2024). Financial Stability Report 2024. Windhoek: Bank of Namibia &amp; Namibia Financial Institutions Supervisory Authority (NAMFISA).</w:t>
      </w:r>
    </w:p>
    <w:p>
      <w:pPr>
        <w:spacing w:line="276" w:lineRule="auto" w:after="80"/>
        <w:ind w:left="720" w:hanging="720"/>
      </w:pPr>
      <w:r>
        <w:rPr>
          <w:rFonts w:ascii="Times New Roman" w:hAnsi="Times New Roman"/>
          <w:sz w:val="22"/>
        </w:rPr>
        <w:t>Bank of Namibia. (2025). National Financial Sector Transformation Strategy (NFSTS) 2025–2035. Windhoek: Ministry of Finance and Public Enterprises &amp; Bank of Namibia.</w:t>
      </w:r>
    </w:p>
    <w:p>
      <w:pPr>
        <w:spacing w:line="276" w:lineRule="auto" w:after="80"/>
        <w:ind w:left="720" w:hanging="720"/>
      </w:pPr>
      <w:r>
        <w:rPr>
          <w:rFonts w:ascii="Times New Roman" w:hAnsi="Times New Roman"/>
          <w:sz w:val="22"/>
        </w:rPr>
        <w:t>Bank of Namibia. (2026a). Banking Supervision Annual Report (Macroprudential NPL Statistics as of December 2025). Windhoek: Bank of Namibia.</w:t>
      </w:r>
    </w:p>
    <w:p>
      <w:pPr>
        <w:spacing w:line="276" w:lineRule="auto" w:after="80"/>
        <w:ind w:left="720" w:hanging="720"/>
      </w:pPr>
      <w:r>
        <w:rPr>
          <w:rFonts w:ascii="Times New Roman" w:hAnsi="Times New Roman"/>
          <w:sz w:val="22"/>
        </w:rPr>
        <w:t>Bank of Namibia. (2026b). Revised Fintech Innovation Regulatory Framework 2026. Windhoek: Bank of Namibia Fintech Supervision Unit.</w:t>
      </w:r>
    </w:p>
    <w:p>
      <w:pPr>
        <w:spacing w:line="276" w:lineRule="auto" w:after="80"/>
        <w:ind w:left="720" w:hanging="720"/>
      </w:pPr>
      <w:r>
        <w:rPr>
          <w:rFonts w:ascii="Times New Roman" w:hAnsi="Times New Roman"/>
          <w:sz w:val="22"/>
        </w:rPr>
        <w:t>Barocas, S., &amp; Selbst, A. D. (2016). Big data's disparate impact. California Law Review, 104(3), 671–732. https://doi.org/10.15779/Z38BG31</w:t>
      </w:r>
    </w:p>
    <w:p>
      <w:pPr>
        <w:spacing w:line="276" w:lineRule="auto" w:after="80"/>
        <w:ind w:left="720" w:hanging="720"/>
      </w:pPr>
      <w:r>
        <w:rPr>
          <w:rFonts w:ascii="Times New Roman" w:hAnsi="Times New Roman"/>
          <w:sz w:val="22"/>
        </w:rPr>
        <w:t>Beck, T., &amp; Demirgüç-Kunt, A. (2006). Small and medium-size enterprises: Access to finance as a growth constraint. Journal of Banking &amp; Finance, 30(11), 2931–2943. https://doi.org/10.1016/j.jbankfin.2006.05.009</w:t>
      </w:r>
    </w:p>
    <w:p>
      <w:pPr>
        <w:spacing w:line="276" w:lineRule="auto" w:after="80"/>
        <w:ind w:left="720" w:hanging="720"/>
      </w:pPr>
      <w:r>
        <w:rPr>
          <w:rFonts w:ascii="Times New Roman" w:hAnsi="Times New Roman"/>
          <w:sz w:val="22"/>
        </w:rPr>
        <w:t>Berg, T., Burg, V., Gombović, A., &amp; Puri, M. (2020). On the rise of fintechs: Credit scoring using digital footprints. The Review of Financial Studies, 33(7), 2845–2897. https://doi.org/10.1093/rfs/hhz099</w:t>
      </w:r>
    </w:p>
    <w:p>
      <w:pPr>
        <w:spacing w:line="276" w:lineRule="auto" w:after="80"/>
        <w:ind w:left="720" w:hanging="720"/>
      </w:pPr>
      <w:r>
        <w:rPr>
          <w:rFonts w:ascii="Times New Roman" w:hAnsi="Times New Roman"/>
          <w:sz w:val="22"/>
        </w:rPr>
        <w:t>Bester, H. (1985). Screening vs. rationing in credit markets with imperfect information. The American Economic Review, 75(4), 850–855.</w:t>
      </w:r>
    </w:p>
    <w:p>
      <w:pPr>
        <w:spacing w:line="276" w:lineRule="auto" w:after="80"/>
        <w:ind w:left="720" w:hanging="720"/>
      </w:pPr>
      <w:r>
        <w:rPr>
          <w:rFonts w:ascii="Times New Roman" w:hAnsi="Times New Roman"/>
          <w:sz w:val="22"/>
        </w:rPr>
        <w:t>Björkegren, D., &amp; Grissen, D. (2018). The potential of digital footprints in credit scoring. Journal of Development Economics, 135, 363–379. https://doi.org/10.1016/j.jdeveco.2018.08.008</w:t>
      </w:r>
    </w:p>
    <w:p>
      <w:pPr>
        <w:spacing w:line="276" w:lineRule="auto" w:after="80"/>
        <w:ind w:left="720" w:hanging="720"/>
      </w:pPr>
      <w:r>
        <w:rPr>
          <w:rFonts w:ascii="Times New Roman" w:hAnsi="Times New Roman"/>
          <w:sz w:val="22"/>
        </w:rPr>
        <w:t>Björkegren, D., &amp; Grissen, D. (2020). Behavior revealed in mobile phone usage predicts credit repayment. The World Bank Economic Review, 34(3), 618–634. https://doi.org/10.1093/wber/lhz003</w:t>
      </w:r>
    </w:p>
    <w:p>
      <w:pPr>
        <w:spacing w:line="276" w:lineRule="auto" w:after="80"/>
        <w:ind w:left="720" w:hanging="720"/>
      </w:pPr>
      <w:r>
        <w:rPr>
          <w:rFonts w:ascii="Times New Roman" w:hAnsi="Times New Roman"/>
          <w:sz w:val="22"/>
        </w:rPr>
        <w:t>Breiman, L. (2001). Random forests. Machine Learning, 45(1), 5–32. https://doi.org/10.1023/A:1010933404324</w:t>
      </w:r>
    </w:p>
    <w:p>
      <w:pPr>
        <w:spacing w:line="276" w:lineRule="auto" w:after="80"/>
        <w:ind w:left="720" w:hanging="720"/>
      </w:pPr>
      <w:r>
        <w:rPr>
          <w:rFonts w:ascii="Times New Roman" w:hAnsi="Times New Roman"/>
          <w:sz w:val="22"/>
        </w:rPr>
        <w:t>Breiman, L., Friedman, J., Stone, C. J., &amp; Olshen, R. A. (1984). Classification and regression trees. Belmont, CA: Wadsworth &amp; Brooks/Cole Advanced Books &amp; Software.</w:t>
      </w:r>
    </w:p>
    <w:p>
      <w:pPr>
        <w:spacing w:line="276" w:lineRule="auto" w:after="80"/>
        <w:ind w:left="720" w:hanging="720"/>
      </w:pPr>
      <w:r>
        <w:rPr>
          <w:rFonts w:ascii="Times New Roman" w:hAnsi="Times New Roman"/>
          <w:sz w:val="22"/>
        </w:rPr>
        <w:t>Chen, T., &amp; Guestrin, C. (2016). XGBoost: A scalable tree boosting system. In Proceedings of the 22nd ACM SIGKDD International Conference on Knowledge Discovery and Data Mining (pp. 785–794). ACM. https://doi.org/10.1145/2939672.2939785</w:t>
      </w:r>
    </w:p>
    <w:p>
      <w:pPr>
        <w:spacing w:line="276" w:lineRule="auto" w:after="80"/>
        <w:ind w:left="720" w:hanging="720"/>
      </w:pPr>
      <w:r>
        <w:rPr>
          <w:rFonts w:ascii="Times New Roman" w:hAnsi="Times New Roman"/>
          <w:sz w:val="22"/>
        </w:rPr>
        <w:t>Chouldechova, A. (2017). Fair prediction with disparate impact: A study of bias in recidivism prediction instruments. Big Data, 5(2), 153–163. https://doi.org/10.1089/big.2016.0047</w:t>
      </w:r>
    </w:p>
    <w:p>
      <w:pPr>
        <w:spacing w:line="276" w:lineRule="auto" w:after="80"/>
        <w:ind w:left="720" w:hanging="720"/>
      </w:pPr>
      <w:r>
        <w:rPr>
          <w:rFonts w:ascii="Times New Roman" w:hAnsi="Times New Roman"/>
          <w:sz w:val="22"/>
        </w:rPr>
        <w:t>Communications Regulatory Authority of Namibia. (2023). Annual Telecommunications Sector Performance Report 2023. Windhoek: CRAN.</w:t>
      </w:r>
    </w:p>
    <w:p>
      <w:pPr>
        <w:spacing w:line="276" w:lineRule="auto" w:after="80"/>
        <w:ind w:left="720" w:hanging="720"/>
      </w:pPr>
      <w:r>
        <w:rPr>
          <w:rFonts w:ascii="Times New Roman" w:hAnsi="Times New Roman"/>
          <w:sz w:val="22"/>
        </w:rPr>
        <w:t>Creswell, J. W., &amp; Creswell, J. D. (2018). Research design: qualitative, quantitative, and mixed methods approaches (5th ed.). Thousand Oaks, CA: SAGE Publications.</w:t>
      </w:r>
    </w:p>
    <w:p>
      <w:pPr>
        <w:spacing w:line="276" w:lineRule="auto" w:after="80"/>
        <w:ind w:left="720" w:hanging="720"/>
      </w:pPr>
      <w:r>
        <w:rPr>
          <w:rFonts w:ascii="Times New Roman" w:hAnsi="Times New Roman"/>
          <w:sz w:val="22"/>
        </w:rPr>
        <w:t>DeLong, E. R., DeLong, D. M., &amp; Clarke-Pearson, D. L. (1988). Comparing the areas under two or more correlated receiver operating characteristic curves: A nonparametric approach. Biometrics, 44(3), 837–845. https://doi.org/10.2307/2531595</w:t>
      </w:r>
    </w:p>
    <w:p>
      <w:pPr>
        <w:spacing w:line="276" w:lineRule="auto" w:after="80"/>
        <w:ind w:left="720" w:hanging="720"/>
      </w:pPr>
      <w:r>
        <w:rPr>
          <w:rFonts w:ascii="Times New Roman" w:hAnsi="Times New Roman"/>
          <w:sz w:val="22"/>
        </w:rPr>
        <w:t>Demirgüç-Kunt, A., Klapper, L., Singer, D., &amp; Ansar, S. (2022). The Global Findex Database 2021: Financial inclusion, digital payments, and resilience in the age of COVID-19. Washington, DC: World Bank. https://doi.org/10.1596/978-1-4648-1897-4</w:t>
      </w:r>
    </w:p>
    <w:p>
      <w:pPr>
        <w:spacing w:line="276" w:lineRule="auto" w:after="80"/>
        <w:ind w:left="720" w:hanging="720"/>
      </w:pPr>
      <w:r>
        <w:rPr>
          <w:rFonts w:ascii="Times New Roman" w:hAnsi="Times New Roman"/>
          <w:sz w:val="22"/>
        </w:rPr>
        <w:t>Durand, D. (1941). Risk elements in consumer installment financing. New York, NY: National Bureau of Economic Research.</w:t>
      </w:r>
    </w:p>
    <w:p>
      <w:pPr>
        <w:spacing w:line="276" w:lineRule="auto" w:after="80"/>
        <w:ind w:left="720" w:hanging="720"/>
      </w:pPr>
      <w:r>
        <w:rPr>
          <w:rFonts w:ascii="Times New Roman" w:hAnsi="Times New Roman"/>
          <w:sz w:val="22"/>
        </w:rPr>
        <w:t>Elkan, C. (2001). The foundations of cost-sensitive learning. In Proceedings of the 17th International Joint Conference on Artificial Intelligence (IJCAI) (Vol. 1, pp. 973–978). Morgan Kaufmann.</w:t>
      </w:r>
    </w:p>
    <w:p>
      <w:pPr>
        <w:spacing w:line="276" w:lineRule="auto" w:after="80"/>
        <w:ind w:left="720" w:hanging="720"/>
      </w:pPr>
      <w:r>
        <w:rPr>
          <w:rFonts w:ascii="Times New Roman" w:hAnsi="Times New Roman"/>
          <w:sz w:val="22"/>
        </w:rPr>
        <w:t>Eubanks, V. (2018). Automating inequality: How high-tech tools profile, police, and punish the poor. New York, NY: St. Martin's Press.</w:t>
      </w:r>
    </w:p>
    <w:p>
      <w:pPr>
        <w:spacing w:line="276" w:lineRule="auto" w:after="80"/>
        <w:ind w:left="720" w:hanging="720"/>
      </w:pPr>
      <w:r>
        <w:rPr>
          <w:rFonts w:ascii="Times New Roman" w:hAnsi="Times New Roman"/>
          <w:sz w:val="22"/>
        </w:rPr>
        <w:t>Fisher, R. A. (1936). The use of multiple measurements in taxonomic problems. Annals of Eugenics, 7(2), 179–188. https://doi.org/10.1111/j.1469-1809.1936.tb02137.x</w:t>
      </w:r>
    </w:p>
    <w:p>
      <w:pPr>
        <w:spacing w:line="276" w:lineRule="auto" w:after="80"/>
        <w:ind w:left="720" w:hanging="720"/>
      </w:pPr>
      <w:r>
        <w:rPr>
          <w:rFonts w:ascii="Times New Roman" w:hAnsi="Times New Roman"/>
          <w:sz w:val="22"/>
        </w:rPr>
        <w:t>Gambacorta, L., Huang, Y., Qiu, H., &amp; Wang, J. (2020). How do machine learning and non-traditional data affect credit scoring? New evidence from a Chinese fintech firm. Journal of Financial Intermediation, 44, Article 100868. https://doi.org/10.1016/j.jfi.2020.100868</w:t>
      </w:r>
    </w:p>
    <w:p>
      <w:pPr>
        <w:spacing w:line="276" w:lineRule="auto" w:after="80"/>
        <w:ind w:left="720" w:hanging="720"/>
      </w:pPr>
      <w:r>
        <w:rPr>
          <w:rFonts w:ascii="Times New Roman" w:hAnsi="Times New Roman"/>
          <w:sz w:val="22"/>
        </w:rPr>
        <w:t>Government of the Republic of Namibia. (1990). The Constitution of the Republic of Namibia. Windhoek: Ministry of Information and Broadcasting.</w:t>
      </w:r>
    </w:p>
    <w:p>
      <w:pPr>
        <w:spacing w:line="276" w:lineRule="auto" w:after="80"/>
        <w:ind w:left="720" w:hanging="720"/>
      </w:pPr>
      <w:r>
        <w:rPr>
          <w:rFonts w:ascii="Times New Roman" w:hAnsi="Times New Roman"/>
          <w:sz w:val="22"/>
        </w:rPr>
        <w:t>Hand, D. J. (2009). Measuring classifier performance: a coherent alternative to the area under the ROC curve. Machine Learning, 77(1), 103–123. https://doi.org/10.1007/s10994-009-5119-5</w:t>
      </w:r>
    </w:p>
    <w:p>
      <w:pPr>
        <w:spacing w:line="276" w:lineRule="auto" w:after="80"/>
        <w:ind w:left="720" w:hanging="720"/>
      </w:pPr>
      <w:r>
        <w:rPr>
          <w:rFonts w:ascii="Times New Roman" w:hAnsi="Times New Roman"/>
          <w:sz w:val="22"/>
        </w:rPr>
        <w:t>Hand, D. J., &amp; Henley, W. E. (1997). Statistical classification methods in consumer credit scoring: a review. Journal of the Royal Statistical Society: Series A (Statistics in Society), 160(3), 523–541. https://doi.org/10.1111/j.1467-985X.1997.00078.x</w:t>
      </w:r>
    </w:p>
    <w:p>
      <w:pPr>
        <w:spacing w:line="276" w:lineRule="auto" w:after="80"/>
        <w:ind w:left="720" w:hanging="720"/>
      </w:pPr>
      <w:r>
        <w:rPr>
          <w:rFonts w:ascii="Times New Roman" w:hAnsi="Times New Roman"/>
          <w:sz w:val="22"/>
        </w:rPr>
        <w:t>Hardt, M., Price, E., &amp; Srebro, N. (2016). Equality of opportunity in supervised learning. In Advances in Neural Information Processing Systems (NeurIPS 2016) (Vol. 29, pp. 3315–3323). Curran Associates, Inc.</w:t>
      </w:r>
    </w:p>
    <w:p>
      <w:pPr>
        <w:spacing w:line="276" w:lineRule="auto" w:after="80"/>
        <w:ind w:left="720" w:hanging="720"/>
      </w:pPr>
      <w:r>
        <w:rPr>
          <w:rFonts w:ascii="Times New Roman" w:hAnsi="Times New Roman"/>
          <w:sz w:val="22"/>
        </w:rPr>
        <w:t>He, H., &amp; Garcia, E. A. (2009). Learning from imbalanced data. IEEE Transactions on Knowledge and Data Engineering, 21(9), 1263–1284. https://doi.org/10.1109/TKDE.2008.239</w:t>
      </w:r>
    </w:p>
    <w:p>
      <w:pPr>
        <w:spacing w:line="276" w:lineRule="auto" w:after="80"/>
        <w:ind w:left="720" w:hanging="720"/>
      </w:pPr>
      <w:r>
        <w:rPr>
          <w:rFonts w:ascii="Times New Roman" w:hAnsi="Times New Roman"/>
          <w:sz w:val="22"/>
        </w:rPr>
        <w:t>Kaufman, S., Rosset, S., Perlich, C., &amp; Stitelman, O. (2012). Leakage in data mining: Formulation, detection, and avoidance. ACM Transactions on Knowledge Discovery from Data (TKDD), 6(4), Article 15. https://doi.org/10.1145/2382577.2382579</w:t>
      </w:r>
    </w:p>
    <w:p>
      <w:pPr>
        <w:spacing w:line="276" w:lineRule="auto" w:after="80"/>
        <w:ind w:left="720" w:hanging="720"/>
      </w:pPr>
      <w:r>
        <w:rPr>
          <w:rFonts w:ascii="Times New Roman" w:hAnsi="Times New Roman"/>
          <w:sz w:val="22"/>
        </w:rPr>
        <w:t>Klafft, M. (2008). Peer to peer lending: Auctioning microcredits over the internet. In Proceedings of the 2008 International Conference on Information Systems, Technology and Management (ICISTM) (pp. 1–8).</w:t>
      </w:r>
    </w:p>
    <w:p>
      <w:pPr>
        <w:spacing w:line="276" w:lineRule="auto" w:after="80"/>
        <w:ind w:left="720" w:hanging="720"/>
      </w:pPr>
      <w:r>
        <w:rPr>
          <w:rFonts w:ascii="Times New Roman" w:hAnsi="Times New Roman"/>
          <w:sz w:val="22"/>
        </w:rPr>
        <w:t>Kleinberg, J., Mullainathan, S., &amp; Raghavan, M. (2016). Inherent trade-offs in the fair determination of risk scores. In Proceedings of the 8th Innovations in Theoretical Computer Science Conference (ITCS). https://doi.org/10.4230/LIPIcs.ITCS.2017.43</w:t>
      </w:r>
    </w:p>
    <w:p>
      <w:pPr>
        <w:spacing w:line="276" w:lineRule="auto" w:after="80"/>
        <w:ind w:left="720" w:hanging="720"/>
      </w:pPr>
      <w:r>
        <w:rPr>
          <w:rFonts w:ascii="Times New Roman" w:hAnsi="Times New Roman"/>
          <w:sz w:val="22"/>
        </w:rPr>
        <w:t>Lessmann, S., Baesens, B., Seow, H.-V., &amp; Thomas, L. C. (2015). Benchmarking state-of-the-art classification algorithms for credit scoring: An update of research. European Journal of Operational Research, 247(1), 124–136. https://doi.org/10.1016/j.ejor.2015.05.030</w:t>
      </w:r>
    </w:p>
    <w:p>
      <w:pPr>
        <w:spacing w:line="276" w:lineRule="auto" w:after="80"/>
        <w:ind w:left="720" w:hanging="720"/>
      </w:pPr>
      <w:r>
        <w:rPr>
          <w:rFonts w:ascii="Times New Roman" w:hAnsi="Times New Roman"/>
          <w:sz w:val="22"/>
        </w:rPr>
        <w:t>Lundberg, S. M., &amp; Lee, S.-I. (2017). A unified approach to interpreting model predictions. In Advances in Neural Information Processing Systems (NeurIPS 2017) (Vol. 30, pp. 4765–4774). Curran Associates, Inc.</w:t>
      </w:r>
    </w:p>
    <w:p>
      <w:pPr>
        <w:spacing w:line="276" w:lineRule="auto" w:after="80"/>
        <w:ind w:left="720" w:hanging="720"/>
      </w:pPr>
      <w:r>
        <w:rPr>
          <w:rFonts w:ascii="Times New Roman" w:hAnsi="Times New Roman"/>
          <w:sz w:val="22"/>
        </w:rPr>
        <w:t>Lundberg, S. M., Erion, G., Chen, H., DeGrave, A., Prutkin, J. M., Nair, B., Katz, R., Himmelfarb, J., Bansal, N., &amp; Lee, S.-I. (2020). From local explanations to global understanding with explainable AI for trees. Nature Machine Intelligence, 2(1), 56–67. https://doi.org/10.1038/s42256-019-0138-9</w:t>
      </w:r>
    </w:p>
    <w:p>
      <w:pPr>
        <w:spacing w:line="276" w:lineRule="auto" w:after="80"/>
        <w:ind w:left="720" w:hanging="720"/>
      </w:pPr>
      <w:r>
        <w:rPr>
          <w:rFonts w:ascii="Times New Roman" w:hAnsi="Times New Roman"/>
          <w:sz w:val="22"/>
        </w:rPr>
        <w:t>Mehrabi, N., Morstatter, F., Saxena, N., Lerman, K., &amp; Galstyan, A. (2021). A survey on bias and fairness in machine learning. ACM Computing Surveys (CSUR), 54(6), Article 115. https://doi.org/10.1145/3457607</w:t>
      </w:r>
    </w:p>
    <w:p>
      <w:pPr>
        <w:spacing w:line="276" w:lineRule="auto" w:after="80"/>
        <w:ind w:left="720" w:hanging="720"/>
      </w:pPr>
      <w:r>
        <w:rPr>
          <w:rFonts w:ascii="Times New Roman" w:hAnsi="Times New Roman"/>
          <w:sz w:val="22"/>
        </w:rPr>
        <w:t>Misheva, B. Z., Osterrieder, J., Hirsa, A., Kulkarni, O., &amp; Lin, C. W. (2021). Explainable AI in credit risk management. Frontiers in Artificial Intelligence, 4, Article 683032. https://doi.org/10.3389/frai.2021.683032</w:t>
      </w:r>
    </w:p>
    <w:p>
      <w:pPr>
        <w:spacing w:line="276" w:lineRule="auto" w:after="80"/>
        <w:ind w:left="720" w:hanging="720"/>
      </w:pPr>
      <w:r>
        <w:rPr>
          <w:rFonts w:ascii="Times New Roman" w:hAnsi="Times New Roman"/>
          <w:sz w:val="22"/>
        </w:rPr>
        <w:t>Mishra, S., Sharma, R., &amp; Agarwal, V. (2024). Mobile transaction velocity as an underwriter: Alternative credit assessment for unbanked micro-merchants. Journal of Financial Services Research, 65(2), 211–239.</w:t>
      </w:r>
    </w:p>
    <w:p>
      <w:pPr>
        <w:spacing w:line="276" w:lineRule="auto" w:after="80"/>
        <w:ind w:left="720" w:hanging="720"/>
      </w:pPr>
      <w:r>
        <w:rPr>
          <w:rFonts w:ascii="Times New Roman" w:hAnsi="Times New Roman"/>
          <w:sz w:val="22"/>
        </w:rPr>
        <w:t>Molnar, C. (2020). Interpretable machine learning: A guide for making black box models explainable. Munich, Germany: Leanpub.</w:t>
      </w:r>
    </w:p>
    <w:p>
      <w:pPr>
        <w:spacing w:line="276" w:lineRule="auto" w:after="80"/>
        <w:ind w:left="720" w:hanging="720"/>
      </w:pPr>
      <w:r>
        <w:rPr>
          <w:rFonts w:ascii="Times New Roman" w:hAnsi="Times New Roman"/>
          <w:sz w:val="22"/>
        </w:rPr>
        <w:t>Mwesigwa, D., Jackson, S. J., &amp; Csikszentmihalyi, C. (2026). Borrowing from the algorithm: An ethnographic study of mobile digital lending and indebtedness in Nairobi. In Proceedings of the 2026 ACM SIGCHI Conference on Human Factors in Computing Systems (CHI '26). ACM.</w:t>
      </w:r>
    </w:p>
    <w:p>
      <w:pPr>
        <w:spacing w:line="276" w:lineRule="auto" w:after="80"/>
        <w:ind w:left="720" w:hanging="720"/>
      </w:pPr>
      <w:r>
        <w:rPr>
          <w:rFonts w:ascii="Times New Roman" w:hAnsi="Times New Roman"/>
          <w:sz w:val="22"/>
        </w:rPr>
        <w:t>Namibia Financial Institutions Supervisory Authority. (2018). Microlending Act, 2018 (Act No. 7 of 2018). Government Gazette of the Republic of Namibia, No. 6692. Windhoek: NAMFISA.</w:t>
      </w:r>
    </w:p>
    <w:p>
      <w:pPr>
        <w:spacing w:line="276" w:lineRule="auto" w:after="80"/>
        <w:ind w:left="720" w:hanging="720"/>
      </w:pPr>
      <w:r>
        <w:rPr>
          <w:rFonts w:ascii="Times New Roman" w:hAnsi="Times New Roman"/>
          <w:sz w:val="22"/>
        </w:rPr>
        <w:t>Namibia Statistics Agency. (2017). Namibia Financial Inclusion Survey (NFIS) 2017 Report. Windhoek: Namibia Statistics Agency.</w:t>
      </w:r>
    </w:p>
    <w:p>
      <w:pPr>
        <w:spacing w:line="276" w:lineRule="auto" w:after="80"/>
        <w:ind w:left="720" w:hanging="720"/>
      </w:pPr>
      <w:r>
        <w:rPr>
          <w:rFonts w:ascii="Times New Roman" w:hAnsi="Times New Roman"/>
          <w:sz w:val="22"/>
        </w:rPr>
        <w:t>Namibia Statistics Agency. (2021). The Namibia Labour Force Survey 2021 Report. Windhoek: Namibia Statistics Agency.</w:t>
      </w:r>
    </w:p>
    <w:p>
      <w:pPr>
        <w:spacing w:line="276" w:lineRule="auto" w:after="80"/>
        <w:ind w:left="720" w:hanging="720"/>
      </w:pPr>
      <w:r>
        <w:rPr>
          <w:rFonts w:ascii="Times New Roman" w:hAnsi="Times New Roman"/>
          <w:sz w:val="22"/>
        </w:rPr>
        <w:t>Noble, S. U. (2018). Algorithms of oppression: How search engines reinforce racism. New York, NY: New York University Press.</w:t>
      </w:r>
    </w:p>
    <w:p>
      <w:pPr>
        <w:spacing w:line="276" w:lineRule="auto" w:after="80"/>
        <w:ind w:left="720" w:hanging="720"/>
      </w:pPr>
      <w:r>
        <w:rPr>
          <w:rFonts w:ascii="Times New Roman" w:hAnsi="Times New Roman"/>
          <w:sz w:val="22"/>
        </w:rPr>
        <w:t>O'Neil, C. (2016). Weapons of math destruction: How big data increases inequality and threatens democracy. New York, NY: Crown Publishing Group.</w:t>
      </w:r>
    </w:p>
    <w:p>
      <w:pPr>
        <w:spacing w:line="276" w:lineRule="auto" w:after="80"/>
        <w:ind w:left="720" w:hanging="720"/>
      </w:pPr>
      <w:r>
        <w:rPr>
          <w:rFonts w:ascii="Times New Roman" w:hAnsi="Times New Roman"/>
          <w:sz w:val="22"/>
        </w:rPr>
        <w:t>Óskarsdóttir, M., Bravo, C., Sarraute, C., Vanthienen, J., &amp; Baesens, B. (2019). The value of big data for credit scoring: Enhancing financial inclusion using mobile phone data and social network analytics. Applied Soft Computing, 74, 26–39. https://doi.org/10.1016/j.asoc.2018.10.004</w:t>
      </w:r>
    </w:p>
    <w:p>
      <w:pPr>
        <w:spacing w:line="276" w:lineRule="auto" w:after="80"/>
        <w:ind w:left="720" w:hanging="720"/>
      </w:pPr>
      <w:r>
        <w:rPr>
          <w:rFonts w:ascii="Times New Roman" w:hAnsi="Times New Roman"/>
          <w:sz w:val="22"/>
        </w:rPr>
        <w:t>Ribeiro, M. T., Singh, S., &amp; Guestrin, C. (2016). 'Why should I trust you?': Explaining the predictions of any classifier. In Proceedings of the 22nd ACM SIGKDD International Conference on Knowledge Discovery and Data Mining (pp. 1135–1144). ACM. https://doi.org/10.1145/2939672.2939778</w:t>
      </w:r>
    </w:p>
    <w:p>
      <w:pPr>
        <w:spacing w:line="276" w:lineRule="auto" w:after="80"/>
        <w:ind w:left="720" w:hanging="720"/>
      </w:pPr>
      <w:r>
        <w:rPr>
          <w:rFonts w:ascii="Times New Roman" w:hAnsi="Times New Roman"/>
          <w:sz w:val="22"/>
        </w:rPr>
        <w:t>Rudin, C. (2019). Stop explaining black box machine learning models for high stakes decisions and use interpretable models instead. Nature Machine Intelligence, 1(5), 206–215. https://doi.org/10.1038/s42256-019-0048-x</w:t>
      </w:r>
    </w:p>
    <w:p>
      <w:pPr>
        <w:spacing w:line="276" w:lineRule="auto" w:after="80"/>
        <w:ind w:left="720" w:hanging="720"/>
      </w:pPr>
      <w:r>
        <w:rPr>
          <w:rFonts w:ascii="Times New Roman" w:hAnsi="Times New Roman"/>
          <w:sz w:val="22"/>
        </w:rPr>
        <w:t>Shapley, L. S. (1953). A value for n-person games. In H. W. Kuhn &amp; A. W. Tucker (Eds.), Contributions to the Theory of Games (Annals of Mathematics Studies, Vol. 28, pp. 307–317). Princeton, NJ: Princeton University Press.</w:t>
      </w:r>
    </w:p>
    <w:p>
      <w:pPr>
        <w:spacing w:line="276" w:lineRule="auto" w:after="80"/>
        <w:ind w:left="720" w:hanging="720"/>
      </w:pPr>
      <w:r>
        <w:rPr>
          <w:rFonts w:ascii="Times New Roman" w:hAnsi="Times New Roman"/>
          <w:sz w:val="22"/>
        </w:rPr>
        <w:t>Stiglitz, J. E., &amp; Weiss, A. (1981). Credit rationing in markets with imperfect information. The American Economic Review, 71(3), 393–410.</w:t>
      </w:r>
    </w:p>
    <w:p>
      <w:pPr>
        <w:spacing w:line="276" w:lineRule="auto" w:after="80"/>
        <w:ind w:left="720" w:hanging="720"/>
      </w:pPr>
      <w:r>
        <w:rPr>
          <w:rFonts w:ascii="Times New Roman" w:hAnsi="Times New Roman"/>
          <w:sz w:val="22"/>
        </w:rPr>
        <w:t>Suri, T., &amp; Jack, W. (2016). The long-run poverty and gender impacts of mobile money. Science, 354(6317), 1288–1292. https://doi.org/10.1126/science.aah5309</w:t>
      </w:r>
    </w:p>
    <w:p>
      <w:pPr>
        <w:spacing w:line="276" w:lineRule="auto" w:after="80"/>
        <w:ind w:left="720" w:hanging="720"/>
      </w:pPr>
      <w:r>
        <w:rPr>
          <w:rFonts w:ascii="Times New Roman" w:hAnsi="Times New Roman"/>
          <w:sz w:val="22"/>
        </w:rPr>
        <w:t>Thomas, L. C. (2000). A survey of credit and behavioural scoring: forecasting financial risk of lending to consumers. International Journal of Forecasting, 16(2), 149–172. https://doi.org/10.1016/S0169-2070(00)00034-0</w:t>
      </w:r>
    </w:p>
    <w:p>
      <w:pPr>
        <w:spacing w:line="276" w:lineRule="auto" w:after="80"/>
        <w:ind w:left="720" w:hanging="720"/>
      </w:pPr>
      <w:r>
        <w:rPr>
          <w:rFonts w:ascii="Times New Roman" w:hAnsi="Times New Roman"/>
          <w:sz w:val="22"/>
        </w:rPr>
        <w:t>Thomas, L. C., Edelman, D. B., &amp; Crook, J. N. (2017). Credit scoring and its applications (2nd ed.). Philadelphia, PA: Society for Industrial and Applied Mathematics (SIAM). https://doi.org/10.1137/1.9781611974560</w:t>
      </w:r>
    </w:p>
    <w:p>
      <w:pPr>
        <w:spacing w:line="276" w:lineRule="auto" w:after="80"/>
        <w:ind w:left="720" w:hanging="720"/>
      </w:pPr>
      <w:r>
        <w:rPr>
          <w:rFonts w:ascii="Times New Roman" w:hAnsi="Times New Roman"/>
          <w:sz w:val="22"/>
        </w:rPr>
        <w:t>United Nations Educational, Scientific and Cultural Organization. (2023). Global Education Monitoring Report: Literacy rates and educational attainment in Southern Africa. Paris: UNESCO.</w:t>
      </w:r>
    </w:p>
    <w:p>
      <w:pPr>
        <w:spacing w:line="276" w:lineRule="auto" w:after="80"/>
        <w:ind w:left="720" w:hanging="720"/>
      </w:pPr>
      <w:r>
        <w:rPr>
          <w:rFonts w:ascii="Times New Roman" w:hAnsi="Times New Roman"/>
          <w:sz w:val="22"/>
        </w:rPr>
        <w:t>Verma, S., &amp; Rubin, J. (2018). Fairness definitions explained. In Proceedings of the International Workshop on Software Fairness (FairWare '18) (pp. 1–7). ACM. https://doi.org/10.1145/3194770.3194776</w:t>
      </w:r>
    </w:p>
    <w:p>
      <w:pPr>
        <w:spacing w:line="276" w:lineRule="auto" w:after="80"/>
        <w:ind w:left="720" w:hanging="720"/>
      </w:pPr>
      <w:r>
        <w:rPr>
          <w:rFonts w:ascii="Times New Roman" w:hAnsi="Times New Roman"/>
          <w:sz w:val="22"/>
        </w:rPr>
        <w:t>Wachter, S., Mittelstadt, B., &amp; Floridi, L. (2017). Why a right to explanation of automated decision-making does not exist in the General Data Protection Regulation. International Data Privacy Law, 7(2), 76–99. https://doi.org/10.1093/idpl/ipx005</w:t>
      </w:r>
    </w:p>
    <w:p>
      <w:pPr>
        <w:spacing w:line="276" w:lineRule="auto" w:after="80"/>
        <w:ind w:left="720" w:hanging="720"/>
      </w:pPr>
      <w:r>
        <w:rPr>
          <w:rFonts w:ascii="Times New Roman" w:hAnsi="Times New Roman"/>
          <w:sz w:val="22"/>
        </w:rPr>
        <w:t>Winner, L. (1980). Do artifacts have politics? Daedalus, 109(1), 121–136.</w:t>
      </w:r>
    </w:p>
    <w:p>
      <w:pPr>
        <w:spacing w:line="276" w:lineRule="auto" w:after="80"/>
        <w:ind w:left="720" w:hanging="720"/>
      </w:pPr>
      <w:r>
        <w:rPr>
          <w:rFonts w:ascii="Times New Roman" w:hAnsi="Times New Roman"/>
          <w:sz w:val="22"/>
        </w:rPr>
        <w:t>World Bank. (2021). Data for better lives: World Development Report 2021. Washington, DC: World Bank. https://doi.org/10.1596/978-1-4648-1600-0</w:t>
      </w:r>
    </w:p>
    <w:p>
      <w:pPr>
        <w:spacing w:line="276" w:lineRule="auto" w:after="80"/>
        <w:ind w:left="720" w:hanging="720"/>
      </w:pPr>
      <w:r>
        <w:rPr>
          <w:rFonts w:ascii="Times New Roman" w:hAnsi="Times New Roman"/>
          <w:sz w:val="22"/>
        </w:rPr>
        <w:t>World Bank. (2022). Financing MSMEs in Sub-Saharan Africa: Bridging the credit gap through digital innovation. Washington, DC: International Finance Corporation &amp; World Bank.</w:t>
      </w:r>
    </w:p>
    <w:p>
      <w:r>
        <w:br w:type="page"/>
      </w:r>
    </w:p>
    <w:p>
      <w:pPr>
        <w:keepNext/>
        <w:spacing w:before="360" w:after="240"/>
        <w:jc w:val="left"/>
      </w:pPr>
      <w:r>
        <w:rPr>
          <w:rFonts w:ascii="Times New Roman" w:hAnsi="Times New Roman"/>
          <w:b/>
          <w:color w:val="1E3A8A"/>
          <w:sz w:val="32"/>
        </w:rPr>
        <w:t>APPENDICES</w:t>
      </w:r>
    </w:p>
    <w:p>
      <w:pPr>
        <w:keepNext/>
        <w:spacing w:before="280" w:after="120"/>
        <w:jc w:val="left"/>
      </w:pPr>
      <w:r>
        <w:rPr>
          <w:rFonts w:ascii="Times New Roman" w:hAnsi="Times New Roman"/>
          <w:b/>
          <w:color w:val="1E3A8A"/>
          <w:sz w:val="28"/>
        </w:rPr>
        <w:t>Appendix A: Research Questionnaire &amp; Feature Attributes</w:t>
      </w:r>
    </w:p>
    <w:p>
      <w:pPr>
        <w:spacing w:line="360" w:lineRule="auto" w:after="120"/>
        <w:jc w:val="both"/>
      </w:pPr>
      <w:r>
        <w:rPr>
          <w:rFonts w:ascii="Times New Roman" w:hAnsi="Times New Roman"/>
          <w:b w:val="0"/>
          <w:i w:val="0"/>
          <w:sz w:val="24"/>
        </w:rPr>
        <w:t>Contains the structured 28-variable data dictionary and feature elicitation specifications used to capture alternative telecommunications, mobile money, and micro-loan attributes.</w:t>
      </w:r>
    </w:p>
    <w:p>
      <w:pPr>
        <w:keepNext/>
        <w:spacing w:before="280" w:after="120"/>
        <w:jc w:val="left"/>
      </w:pPr>
      <w:r>
        <w:rPr>
          <w:rFonts w:ascii="Times New Roman" w:hAnsi="Times New Roman"/>
          <w:b/>
          <w:color w:val="1E3A8A"/>
          <w:sz w:val="28"/>
        </w:rPr>
        <w:t>Appendix B: Regulatory Inquiry &amp; BoN Sandbox Policy Guide</w:t>
      </w:r>
    </w:p>
    <w:p>
      <w:pPr>
        <w:spacing w:line="360" w:lineRule="auto" w:after="120"/>
        <w:jc w:val="both"/>
      </w:pPr>
      <w:r>
        <w:rPr>
          <w:rFonts w:ascii="Times New Roman" w:hAnsi="Times New Roman"/>
          <w:b w:val="0"/>
          <w:i w:val="0"/>
          <w:sz w:val="24"/>
        </w:rPr>
        <w:t>Contains the statutory evaluation rubric mapping machine learning models against Sections 4.3, 5.1, 5.4, 5.6, and 6.2 of the Bank of Namibia Revised Fintech Innovation Regulatory Framework (2026).</w:t>
      </w:r>
    </w:p>
    <w:p>
      <w:pPr>
        <w:keepNext/>
        <w:spacing w:before="280" w:after="120"/>
        <w:jc w:val="left"/>
      </w:pPr>
      <w:r>
        <w:rPr>
          <w:rFonts w:ascii="Times New Roman" w:hAnsi="Times New Roman"/>
          <w:b/>
          <w:color w:val="1E3A8A"/>
          <w:sz w:val="28"/>
        </w:rPr>
        <w:t>Appendix C: Additional System Screenshots</w:t>
      </w:r>
    </w:p>
    <w:p>
      <w:pPr>
        <w:spacing w:line="360" w:lineRule="auto" w:after="120"/>
        <w:jc w:val="both"/>
      </w:pPr>
      <w:r>
        <w:rPr>
          <w:rFonts w:ascii="Times New Roman" w:hAnsi="Times New Roman"/>
          <w:b w:val="0"/>
          <w:i w:val="0"/>
          <w:sz w:val="24"/>
        </w:rPr>
        <w:t>Detailed screenshots of the interactive Streamlit presentation prototype (app.py) demonstrating the Underwriting Tool, Benchmarks Viewer, Fairness Auditing Suite, and Nokia 3310 USSD Mobile Simulator.</w:t>
      </w:r>
    </w:p>
    <w:p>
      <w:pPr>
        <w:keepNext/>
        <w:spacing w:before="280" w:after="120"/>
        <w:jc w:val="left"/>
      </w:pPr>
      <w:r>
        <w:rPr>
          <w:rFonts w:ascii="Times New Roman" w:hAnsi="Times New Roman"/>
          <w:b/>
          <w:color w:val="1E3A8A"/>
          <w:sz w:val="28"/>
        </w:rPr>
        <w:t>Appendix D: Selected Source Code</w:t>
      </w:r>
    </w:p>
    <w:p>
      <w:pPr>
        <w:spacing w:line="360" w:lineRule="auto" w:after="120"/>
        <w:jc w:val="both"/>
      </w:pPr>
      <w:r>
        <w:rPr>
          <w:rFonts w:ascii="Times New Roman" w:hAnsi="Times New Roman"/>
          <w:b w:val="0"/>
          <w:i w:val="0"/>
          <w:sz w:val="24"/>
        </w:rPr>
        <w:t>Key reproducible Python excerpts from src/feature_engineering.py, src/train_advanced.py, and src/explainability.py documenting leak-free scaling, scale_pos_weight tuning, and TreeSHAP waterfall generation.</w:t>
      </w:r>
    </w:p>
    <w:p>
      <w:pPr>
        <w:keepNext/>
        <w:spacing w:before="280" w:after="120"/>
        <w:jc w:val="left"/>
      </w:pPr>
      <w:r>
        <w:rPr>
          <w:rFonts w:ascii="Times New Roman" w:hAnsi="Times New Roman"/>
          <w:b/>
          <w:color w:val="1E3A8A"/>
          <w:sz w:val="28"/>
        </w:rPr>
        <w:t>Appendix E: Complete Test Results</w:t>
      </w:r>
    </w:p>
    <w:p>
      <w:pPr>
        <w:spacing w:line="360" w:lineRule="auto" w:after="120"/>
        <w:jc w:val="both"/>
      </w:pPr>
      <w:r>
        <w:rPr>
          <w:rFonts w:ascii="Times New Roman" w:hAnsi="Times New Roman"/>
          <w:b w:val="0"/>
          <w:i w:val="0"/>
          <w:sz w:val="24"/>
        </w:rPr>
        <w:t>Full statistical logs, 5-fold cross-validation performance standard deviations, paired DeLong covariance matrices, and the standardized JSON fairness report (fairness_audit_report.json).</w:t>
      </w:r>
    </w:p>
    <w:p>
      <w:pPr>
        <w:keepNext/>
        <w:spacing w:before="280" w:after="120"/>
        <w:jc w:val="left"/>
      </w:pPr>
      <w:r>
        <w:rPr>
          <w:rFonts w:ascii="Times New Roman" w:hAnsi="Times New Roman"/>
          <w:b/>
          <w:color w:val="1E3A8A"/>
          <w:sz w:val="28"/>
        </w:rPr>
        <w:t>Appendix F: Project User Manual &amp; Launch Instructions</w:t>
      </w:r>
    </w:p>
    <w:p>
      <w:pPr>
        <w:spacing w:line="360" w:lineRule="auto" w:after="120"/>
        <w:jc w:val="both"/>
      </w:pPr>
      <w:r>
        <w:rPr>
          <w:rFonts w:ascii="Times New Roman" w:hAnsi="Times New Roman"/>
          <w:b w:val="0"/>
          <w:i w:val="0"/>
          <w:sz w:val="24"/>
        </w:rPr>
        <w:t>Step-by-step user manual instructing examiners and loan officers on executing launch_presentation_tool.bat to access the live dashboard at http://localhost:8501.</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