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3"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8"/>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3E79B531"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30413">
              <w:rPr>
                <w:rFonts w:ascii="Times New Roman" w:eastAsia="Times New Roman" w:hAnsi="Times New Roman" w:cs="Times New Roman"/>
                <w:sz w:val="24"/>
                <w:szCs w:val="24"/>
              </w:rPr>
              <w:t>AI X Global</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110AD430"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Domain 2</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0A6F01DE"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SDG 8 — Decent Work and Economic Growth</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274DF040" w:rsidR="00CB46A4" w:rsidRDefault="003B77A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4FC733D4" w:rsidR="00CB46A4" w:rsidRDefault="00D30413">
            <w:pPr>
              <w:jc w:val="both"/>
              <w:rPr>
                <w:rFonts w:ascii="Times New Roman" w:eastAsia="Times New Roman" w:hAnsi="Times New Roman" w:cs="Times New Roman"/>
                <w:sz w:val="24"/>
                <w:szCs w:val="24"/>
              </w:rPr>
            </w:pPr>
            <w:proofErr w:type="spellStart"/>
            <w:r w:rsidRPr="00D30413">
              <w:rPr>
                <w:rFonts w:ascii="Times New Roman" w:eastAsia="Times New Roman" w:hAnsi="Times New Roman" w:cs="Times New Roman"/>
                <w:sz w:val="24"/>
                <w:szCs w:val="24"/>
              </w:rPr>
              <w:t>Bhone</w:t>
            </w:r>
            <w:proofErr w:type="spellEnd"/>
            <w:r w:rsidRPr="00D30413">
              <w:rPr>
                <w:rFonts w:ascii="Times New Roman" w:eastAsia="Times New Roman" w:hAnsi="Times New Roman" w:cs="Times New Roman"/>
                <w:sz w:val="24"/>
                <w:szCs w:val="24"/>
              </w:rPr>
              <w:t xml:space="preserve"> Myat Paing Soe</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2B782EC2"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842EE0" w:rsidRPr="00842EE0">
              <w:rPr>
                <w:rFonts w:ascii="Times New Roman" w:eastAsia="Times New Roman" w:hAnsi="Times New Roman" w:cs="Times New Roman"/>
                <w:sz w:val="24"/>
                <w:szCs w:val="24"/>
              </w:rPr>
              <w:t>jeremywin37@gmail.com ; 0173481780</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6A441D60"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 xml:space="preserve">Monash University, Sunway University, </w:t>
            </w:r>
            <w:proofErr w:type="spellStart"/>
            <w:r w:rsidRPr="00D30413">
              <w:rPr>
                <w:rFonts w:ascii="Times New Roman" w:eastAsia="Times New Roman" w:hAnsi="Times New Roman" w:cs="Times New Roman"/>
                <w:sz w:val="24"/>
                <w:szCs w:val="24"/>
              </w:rPr>
              <w:t>Univeristy</w:t>
            </w:r>
            <w:proofErr w:type="spellEnd"/>
            <w:r w:rsidRPr="00D30413">
              <w:rPr>
                <w:rFonts w:ascii="Times New Roman" w:eastAsia="Times New Roman" w:hAnsi="Times New Roman" w:cs="Times New Roman"/>
                <w:sz w:val="24"/>
                <w:szCs w:val="24"/>
              </w:rPr>
              <w:t xml:space="preserve"> of Nottingham Malaysia</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4D0451D6"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7CE905B6" w14:textId="4EC83217"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Small and medium enterprises (SMEs) face a constant flood of customer reviews across multiple platforms. For busy owners and managers (in particular those running Malaysian micro-businesses) reading every review, tracking recurring problems, and drafting individual responses is an overwhelming administrative burden. Furthermore, standard rating systems often obscure actionable insights, as a single review might mix specific praise with a critical operational complaint. Valuable feedback is buried, and owners lack the time to trace issues back to their exact source evidence. </w:t>
            </w:r>
          </w:p>
          <w:p w14:paraId="4B318630" w14:textId="1D89CEEA"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This inefficiency directly hampers sustainable economic growth and decent work (SDG 8). When SME owners are bogged down by manual data triage, business quality stagnates. Failing to notice critical operational hazards risks customer safety and damages economic viability.   </w:t>
            </w:r>
          </w:p>
          <w:p w14:paraId="1808BAD0" w14:textId="4445D228" w:rsidR="00CB46A4"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Our team is tackling this challenge by shifting the SME workflow from administrative busywork to actionable business improvement. Our project transforms unstructured, mixed feedback into clear, evidence-backed operational tasks. By empowering local business owners to quickly move from a customer complaint to an approved, verifiable repair, the application relieves the digital paperwork burden. This enables local enterprises to maintain safe environments, operate efficiently, and focus on sustainable growth.</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p w14:paraId="03B396FD" w14:textId="77777777" w:rsidR="00CF1208" w:rsidRDefault="00CF1208">
      <w:r>
        <w:br w:type="page"/>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55E7E643" w14:textId="30CB5635" w:rsidR="005A11D3" w:rsidRPr="005A11D3" w:rsidRDefault="0032595D" w:rsidP="005A11D3">
            <w:pPr>
              <w:spacing w:after="160"/>
              <w:jc w:val="both"/>
              <w:rPr>
                <w:rFonts w:ascii="Times New Roman" w:eastAsia="Times New Roman" w:hAnsi="Times New Roman" w:cs="Times New Roman"/>
                <w:lang w:val="en-MY"/>
              </w:rPr>
            </w:pPr>
            <w:r>
              <w:rPr>
                <w:rFonts w:ascii="Times New Roman" w:eastAsia="Times New Roman" w:hAnsi="Times New Roman" w:cs="Times New Roman"/>
                <w:lang w:val="en-MY"/>
              </w:rPr>
              <w:lastRenderedPageBreak/>
              <w:t>Clarity</w:t>
            </w:r>
            <w:r w:rsidR="005A11D3" w:rsidRPr="005A11D3">
              <w:rPr>
                <w:rFonts w:ascii="Times New Roman" w:eastAsia="Times New Roman" w:hAnsi="Times New Roman" w:cs="Times New Roman"/>
                <w:lang w:val="en-MY"/>
              </w:rPr>
              <w:t xml:space="preserve"> is a web application that transforms unstructured customer feedback into evidence-backed operational workflows for small and medium enterprises, relieving owners of administrative busywork to promote productive, decent work environments. Instead of forcing owners to read every generic comment, a multi-stage pipeline first screens incoming reviews to identify only those containing specific, actionable details. A </w:t>
            </w:r>
            <w:proofErr w:type="spellStart"/>
            <w:r w:rsidR="005A11D3" w:rsidRPr="005A11D3">
              <w:rPr>
                <w:rFonts w:ascii="Times New Roman" w:eastAsia="Times New Roman" w:hAnsi="Times New Roman" w:cs="Times New Roman"/>
                <w:lang w:val="en-MY"/>
              </w:rPr>
              <w:t>Jev</w:t>
            </w:r>
            <w:proofErr w:type="spellEnd"/>
            <w:r w:rsidR="005A11D3" w:rsidRPr="005A11D3">
              <w:rPr>
                <w:rFonts w:ascii="Times New Roman" w:eastAsia="Times New Roman" w:hAnsi="Times New Roman" w:cs="Times New Roman"/>
                <w:lang w:val="en-MY"/>
              </w:rPr>
              <w:t xml:space="preserve"> classification model performs this initial screening; however, if </w:t>
            </w:r>
            <w:proofErr w:type="spellStart"/>
            <w:r w:rsidR="005A11D3" w:rsidRPr="005A11D3">
              <w:rPr>
                <w:rFonts w:ascii="Times New Roman" w:eastAsia="Times New Roman" w:hAnsi="Times New Roman" w:cs="Times New Roman"/>
                <w:lang w:val="en-MY"/>
              </w:rPr>
              <w:t>Jev</w:t>
            </w:r>
            <w:proofErr w:type="spellEnd"/>
            <w:r w:rsidR="005A11D3" w:rsidRPr="005A11D3">
              <w:rPr>
                <w:rFonts w:ascii="Times New Roman" w:eastAsia="Times New Roman" w:hAnsi="Times New Roman" w:cs="Times New Roman"/>
                <w:lang w:val="en-MY"/>
              </w:rPr>
              <w:t xml:space="preserve"> fails or is uncertain, an OpenAI model acts as a fallback to screen the review using the exact same rules. When a customer leaves a mixed review, the software uses OpenAI to separate these points into distinct observations while strictly preserving the customer’s exact words for evidence. As new feedback arrives, the system automatically connects related observations, alerting the manager to recurring, branch-specific issues.</w:t>
            </w:r>
          </w:p>
          <w:p w14:paraId="1CB62283" w14:textId="044D5E7F" w:rsidR="005A11D3" w:rsidRPr="005A11D3"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Once an issue is identified, an owner can propose a task and assign it to an employee, who can start work and submit a report. Crucially, the owner must then enter a separate verification note before the system considers the task fully resolved. Finally, the application uses this verified note to prepare individualized, truthful responses for the affected customers. If an owner resolves one issue but the source review contains other unresolved complaints, the AI intelligently attaches a partial-reply warning to the draft. This warning restricts batch approval and requires explicit, individual owner sign-off to ensure accurate customer communication.</w:t>
            </w:r>
          </w:p>
          <w:p w14:paraId="034C1BA2" w14:textId="1256B5BD" w:rsidR="00CB46A4" w:rsidRPr="00CF1208"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 xml:space="preserve">Leveraging core skills gained from technical workshops, the application relies on GenAI APIs such as a typed </w:t>
            </w:r>
            <w:proofErr w:type="spellStart"/>
            <w:r w:rsidRPr="005A11D3">
              <w:rPr>
                <w:rFonts w:ascii="Times New Roman" w:eastAsia="Times New Roman" w:hAnsi="Times New Roman" w:cs="Times New Roman"/>
                <w:lang w:val="en-MY"/>
              </w:rPr>
              <w:t>Jev</w:t>
            </w:r>
            <w:proofErr w:type="spellEnd"/>
            <w:r w:rsidRPr="005A11D3">
              <w:rPr>
                <w:rFonts w:ascii="Times New Roman" w:eastAsia="Times New Roman" w:hAnsi="Times New Roman" w:cs="Times New Roman"/>
                <w:lang w:val="en-MY"/>
              </w:rPr>
              <w:t xml:space="preserve"> adapter to maintain reliable, server-side model interactions. The system is built on a robust database architecture using PostgreSQL and Drizzle (ORM). Finally, the full-stack Next.js application is constructed with clear environment configurations for seamless cloud hosting and deployment on platforms like </w:t>
            </w:r>
            <w:proofErr w:type="spellStart"/>
            <w:r w:rsidRPr="005A11D3">
              <w:rPr>
                <w:rFonts w:ascii="Times New Roman" w:eastAsia="Times New Roman" w:hAnsi="Times New Roman" w:cs="Times New Roman"/>
                <w:lang w:val="en-MY"/>
              </w:rPr>
              <w:t>Replit</w:t>
            </w:r>
            <w:proofErr w:type="spellEnd"/>
            <w:r w:rsidRPr="005A11D3">
              <w:rPr>
                <w:rFonts w:ascii="Times New Roman" w:eastAsia="Times New Roman" w:hAnsi="Times New Roman" w:cs="Times New Roman"/>
                <w:lang w:val="en-MY"/>
              </w:rPr>
              <w: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77F5EAD" w14:textId="77777777"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prototype is built as a unified, full-stack Next.js web application utilizing TypeScript and the App Router for seamless server and client integration. The user interface relies on standard React components and a highly modular, token-based CSS architecture. Visual styles are managed through specific files like tokens.css and workspace.css, ensuring that visual design is strictly separated from the React domain logic. For robust data management, the application employs a PostgreSQL database accessed through a modern ORM, utilizing runtime validation with Zod at all external input boundaries to maintain data integrity.</w:t>
            </w:r>
          </w:p>
          <w:p w14:paraId="7B867D0D" w14:textId="0DADB9D1"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system architecture follows a server-side data flow designed for strict data isolation and reliability. The entire application is strictly scoped by a business identifier across all API routes and data tables, allowing the same database to handle distinct entities</w:t>
            </w:r>
            <w:r w:rsidR="00F20C6B">
              <w:rPr>
                <w:rFonts w:ascii="Times New Roman" w:eastAsia="Times New Roman" w:hAnsi="Times New Roman" w:cs="Times New Roman"/>
              </w:rPr>
              <w:t xml:space="preserve"> </w:t>
            </w:r>
            <w:r w:rsidRPr="00D90675">
              <w:rPr>
                <w:rFonts w:ascii="Times New Roman" w:eastAsia="Times New Roman" w:hAnsi="Times New Roman" w:cs="Times New Roman"/>
              </w:rPr>
              <w:t>simultaneously without data leakage. Database migrations, such as the hotel workflow extension, successfully expand the schema to support complex employee roles, verification notes, and recurring issue tracking without disrupting existing records.</w:t>
            </w:r>
          </w:p>
          <w:p w14:paraId="2432CD8E" w14:textId="09DA4F99" w:rsidR="00CB46A4"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 xml:space="preserve">External customer feedback enters the application layer, which persists the raw data in the database before routing it through the AI pipeline. The server orchestrates requests to the </w:t>
            </w:r>
            <w:proofErr w:type="spellStart"/>
            <w:r w:rsidRPr="00D90675">
              <w:rPr>
                <w:rFonts w:ascii="Times New Roman" w:eastAsia="Times New Roman" w:hAnsi="Times New Roman" w:cs="Times New Roman"/>
              </w:rPr>
              <w:t>TypeSafe</w:t>
            </w:r>
            <w:proofErr w:type="spellEnd"/>
            <w:r w:rsidRPr="00D90675">
              <w:rPr>
                <w:rFonts w:ascii="Times New Roman" w:eastAsia="Times New Roman" w:hAnsi="Times New Roman" w:cs="Times New Roman"/>
              </w:rPr>
              <w:t xml:space="preserve"> </w:t>
            </w:r>
            <w:proofErr w:type="spellStart"/>
            <w:r w:rsidRPr="00D90675">
              <w:rPr>
                <w:rFonts w:ascii="Times New Roman" w:eastAsia="Times New Roman" w:hAnsi="Times New Roman" w:cs="Times New Roman"/>
              </w:rPr>
              <w:t>Jev</w:t>
            </w:r>
            <w:proofErr w:type="spellEnd"/>
            <w:r w:rsidRPr="00D90675">
              <w:rPr>
                <w:rFonts w:ascii="Times New Roman" w:eastAsia="Times New Roman" w:hAnsi="Times New Roman" w:cs="Times New Roman"/>
              </w:rPr>
              <w:t xml:space="preserve"> API for initial screening and the OpenAI API for fallback screening, structured observation extraction, and automated reply drafting. All AI calls are executed strictly server-side to secure API keys. Finally, the project leverages </w:t>
            </w:r>
            <w:proofErr w:type="spellStart"/>
            <w:r w:rsidRPr="00D90675">
              <w:rPr>
                <w:rFonts w:ascii="Times New Roman" w:eastAsia="Times New Roman" w:hAnsi="Times New Roman" w:cs="Times New Roman"/>
              </w:rPr>
              <w:t>Replit's</w:t>
            </w:r>
            <w:proofErr w:type="spellEnd"/>
            <w:r w:rsidRPr="00D90675">
              <w:rPr>
                <w:rFonts w:ascii="Times New Roman" w:eastAsia="Times New Roman" w:hAnsi="Times New Roman" w:cs="Times New Roman"/>
              </w:rPr>
              <w:t xml:space="preserve"> cloud hosting platform, utilizing standard configuration variables and </w:t>
            </w:r>
            <w:proofErr w:type="spellStart"/>
            <w:r w:rsidRPr="00D90675">
              <w:rPr>
                <w:rFonts w:ascii="Times New Roman" w:eastAsia="Times New Roman" w:hAnsi="Times New Roman" w:cs="Times New Roman"/>
              </w:rPr>
              <w:t>Replit’s</w:t>
            </w:r>
            <w:proofErr w:type="spellEnd"/>
            <w:r w:rsidRPr="00D90675">
              <w:rPr>
                <w:rFonts w:ascii="Times New Roman" w:eastAsia="Times New Roman" w:hAnsi="Times New Roman" w:cs="Times New Roman"/>
              </w:rPr>
              <w:t xml:space="preserve"> managed database environments for smooth and reliable deployment.</w:t>
            </w: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11D91941" w14:textId="77777777" w:rsidR="004D3893" w:rsidRDefault="004D3893">
      <w:pPr>
        <w:rPr>
          <w:rFonts w:ascii="Times New Roman" w:eastAsia="Times New Roman" w:hAnsi="Times New Roman" w:cs="Times New Roman"/>
          <w:b/>
          <w:bCs/>
          <w:color w:val="000000"/>
          <w:sz w:val="23"/>
          <w:szCs w:val="23"/>
        </w:rPr>
      </w:pPr>
      <w:r>
        <w:rPr>
          <w:rFonts w:ascii="Times New Roman" w:eastAsia="Times New Roman" w:hAnsi="Times New Roman" w:cs="Times New Roman"/>
          <w:color w:val="000000"/>
        </w:rPr>
        <w:br w:type="page"/>
      </w:r>
    </w:p>
    <w:p w14:paraId="2EFA95DD" w14:textId="5557515C"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4722B7C3" w14:textId="1C6C16F2" w:rsidR="004D3893" w:rsidRPr="00EF5E0C" w:rsidRDefault="004D3893" w:rsidP="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Our team applied design-thinking by </w:t>
            </w:r>
            <w:proofErr w:type="spellStart"/>
            <w:r w:rsidRPr="00EF5E0C">
              <w:rPr>
                <w:rFonts w:ascii="Times New Roman" w:eastAsia="Times New Roman" w:hAnsi="Times New Roman" w:cs="Times New Roman"/>
                <w:lang w:val="en-MY"/>
              </w:rPr>
              <w:t>centering</w:t>
            </w:r>
            <w:proofErr w:type="spellEnd"/>
            <w:r w:rsidRPr="00EF5E0C">
              <w:rPr>
                <w:rFonts w:ascii="Times New Roman" w:eastAsia="Times New Roman" w:hAnsi="Times New Roman" w:cs="Times New Roman"/>
                <w:lang w:val="en-MY"/>
              </w:rPr>
              <w:t xml:space="preserve"> the architecture around the practical constraints of a busy SME manager. To ensure user-friendliness and technical viability, we strictly separated the visual presentation from the core business logic. By utilizing a modular, token-based CSS architecture, we created accessible, responsive interfaces that can be rapidly iterated without risking the underlying workflows. Furthermore, the system builds user trust by preserving the exact source wording of all customer feedback and requiring explicit human verification before resolving tasks or drafting replies. </w:t>
            </w:r>
          </w:p>
          <w:p w14:paraId="2EAE3CBD" w14:textId="50AA9C7E" w:rsidR="00CB46A4" w:rsidRPr="004D3893" w:rsidRDefault="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For deployment readiness, we engineered a scalable backend where the PostgreSQL database is strictly scoped by business ID. This multi-tenant design allows a single deployment to securely support multiple businesses, such as hotels or salons, simultaneously without data crossover. The codebase is fully prepared for Phase 2 cloud deployment, utilizing standard environment variables, repeatable database migrations like the hotel workflow extension, and a simulated </w:t>
            </w:r>
            <w:proofErr w:type="spellStart"/>
            <w:r w:rsidRPr="00EF5E0C">
              <w:rPr>
                <w:rFonts w:ascii="Times New Roman" w:eastAsia="Times New Roman" w:hAnsi="Times New Roman" w:cs="Times New Roman"/>
                <w:lang w:val="en-MY"/>
              </w:rPr>
              <w:t>Orbyte</w:t>
            </w:r>
            <w:proofErr w:type="spellEnd"/>
            <w:r w:rsidRPr="00EF5E0C">
              <w:rPr>
                <w:rFonts w:ascii="Times New Roman" w:eastAsia="Times New Roman" w:hAnsi="Times New Roman" w:cs="Times New Roman"/>
                <w:lang w:val="en-MY"/>
              </w:rPr>
              <w:t xml:space="preserve"> handoff that proves the application can cleanly integrate into a real-world business ecosystem.</w:t>
            </w: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139EBCBA" w14:textId="72D4CCCB" w:rsidR="00CB46A4" w:rsidRDefault="00C92D89">
            <w:pPr>
              <w:spacing w:after="140"/>
              <w:jc w:val="both"/>
              <w:rPr>
                <w:rFonts w:ascii="Times New Roman" w:eastAsia="Times New Roman" w:hAnsi="Times New Roman" w:cs="Times New Roman"/>
                <w:sz w:val="24"/>
                <w:szCs w:val="24"/>
              </w:rPr>
            </w:pPr>
            <w:r w:rsidRPr="00C92D89">
              <w:rPr>
                <w:rFonts w:ascii="Times New Roman" w:eastAsia="Times New Roman" w:hAnsi="Times New Roman" w:cs="Times New Roman"/>
                <w:sz w:val="24"/>
                <w:szCs w:val="24"/>
              </w:rPr>
              <w:t xml:space="preserve">Clarity primarily addresses UN SDG Target 8.3: “Promote development-oriented policies that support productive activities, decent job creation, entrepreneurship, creativity and innovation, and encourage the formalization and growth of micro-, small- and medium-sized enterprises” (United Nations Department of Economic and Social Affairs [UN DESA], n.d.). Alongside this, the application advances Target 8.2: “Achieve higher levels of economic productivity through diversification, technological upgrading and innovation” (International </w:t>
            </w:r>
            <w:proofErr w:type="spellStart"/>
            <w:r w:rsidRPr="00C92D89">
              <w:rPr>
                <w:rFonts w:ascii="Times New Roman" w:eastAsia="Times New Roman" w:hAnsi="Times New Roman" w:cs="Times New Roman"/>
                <w:sz w:val="24"/>
                <w:szCs w:val="24"/>
              </w:rPr>
              <w:t>Labour</w:t>
            </w:r>
            <w:proofErr w:type="spellEnd"/>
            <w:r w:rsidRPr="00C92D89">
              <w:rPr>
                <w:rFonts w:ascii="Times New Roman" w:eastAsia="Times New Roman" w:hAnsi="Times New Roman" w:cs="Times New Roman"/>
                <w:sz w:val="24"/>
                <w:szCs w:val="24"/>
              </w:rPr>
              <w:t xml:space="preserve"> Organization [ILO], n.d.). By equipping labor-intensive SMEs—such as hotels, restaurants, and salons—with a strictly business-scoped AI architecture, Clarity automates initial feedback screening and exact-substring evidence extraction. By tracking verified employee task resolutions and drafting accurate, partial-reply-aware customer responses, Clarity replaces manual administrative busywork with scalable operational productivity.</w:t>
            </w:r>
          </w:p>
        </w:tc>
      </w:tr>
    </w:tbl>
    <w:p w14:paraId="6EE72F53" w14:textId="77777777" w:rsidR="00D21B62" w:rsidRDefault="00D21B62">
      <w:r>
        <w:br w:type="page"/>
      </w: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18B57BC8" w14:textId="77777777">
        <w:tc>
          <w:tcPr>
            <w:tcW w:w="4635" w:type="dxa"/>
            <w:tcMar>
              <w:top w:w="120" w:type="dxa"/>
              <w:left w:w="140" w:type="dxa"/>
              <w:bottom w:w="120" w:type="dxa"/>
              <w:right w:w="100" w:type="dxa"/>
            </w:tcMar>
          </w:tcPr>
          <w:p w14:paraId="59F4CD93" w14:textId="5C096150"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Current Problem Baseline</w:t>
            </w:r>
          </w:p>
          <w:p w14:paraId="1F7F69E7" w14:textId="75199B84"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34B1812D" w14:textId="6F654699"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In the hospitality and SME sectors, managers face a significant administrative burden when managing online reputation, leading to low response rates and lost operational insights. Academic research indicates that a substantial portion of customer feedback remains unaddressed; for instance, an empirical study found that, on average, only 31.5% of TripAdvisor reviews received a management response (</w:t>
            </w:r>
            <w:proofErr w:type="spellStart"/>
            <w:r w:rsidRPr="00325DEF">
              <w:rPr>
                <w:rFonts w:ascii="Times New Roman" w:eastAsia="Times New Roman" w:hAnsi="Times New Roman" w:cs="Times New Roman"/>
                <w:sz w:val="24"/>
                <w:szCs w:val="24"/>
              </w:rPr>
              <w:t>Proserpio</w:t>
            </w:r>
            <w:proofErr w:type="spellEnd"/>
            <w:r w:rsidRPr="00325DEF">
              <w:rPr>
                <w:rFonts w:ascii="Times New Roman" w:eastAsia="Times New Roman" w:hAnsi="Times New Roman" w:cs="Times New Roman"/>
                <w:sz w:val="24"/>
                <w:szCs w:val="24"/>
              </w:rPr>
              <w:t xml:space="preserve"> &amp; Zervas, 2017). More recent analysis demonstrates that even 5-star hotels leave nearly 40% of reviews unaddressed, struggling with the time required to manage both positive and negative feedback (Sufi et al., 2025). This low response rate is exacerbated by the fact that overall star ratings obscure mixed feedback, burying recurring operational or safety hazards inside unstructured text. Because poor time management and inefficiency are identified as primary barriers that hinder the progression and expansion of Malaysian SMEs (Exploring the Challenges and the Implementation of Lean Practices, 2023), managers are currently losing valuable hours parsing generic noise rather than addressing specific operational hazards.</w:t>
            </w:r>
            <w:r>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392FB236" w14:textId="2DDA3F65" w:rsidR="00CB46A4" w:rsidRPr="00D21B62" w:rsidRDefault="00756276">
            <w:pPr>
              <w:spacing w:after="140"/>
              <w:jc w:val="both"/>
              <w:rPr>
                <w:rFonts w:ascii="Times New Roman" w:eastAsia="Times New Roman" w:hAnsi="Times New Roman" w:cs="Times New Roman"/>
                <w:sz w:val="24"/>
                <w:szCs w:val="24"/>
              </w:rPr>
            </w:pPr>
            <w:r w:rsidRPr="00756276">
              <w:rPr>
                <w:rFonts w:ascii="Times New Roman" w:eastAsia="Times New Roman" w:hAnsi="Times New Roman" w:cs="Times New Roman"/>
                <w:sz w:val="24"/>
                <w:szCs w:val="24"/>
              </w:rPr>
              <w:t xml:space="preserve">Advancing UN SDG Targets 8.2 and 8.3, our goal for future real-world validation is to track the percentage reduction in manager time spent triaging feedback and preparing replies, alongside the percentage of resolved operational issues with verified, ready-to-post customer responses. While the current hackathon prototype relies exclusively on synthetic data and does not natively calculate or display these metrics yet, our business-scoped architecture lays the necessary groundwork. The </w:t>
            </w:r>
            <w:proofErr w:type="gramStart"/>
            <w:r w:rsidRPr="00756276">
              <w:rPr>
                <w:rFonts w:ascii="Times New Roman" w:eastAsia="Times New Roman" w:hAnsi="Times New Roman" w:cs="Times New Roman"/>
                <w:sz w:val="24"/>
                <w:szCs w:val="24"/>
              </w:rPr>
              <w:t>system’s</w:t>
            </w:r>
            <w:proofErr w:type="gramEnd"/>
            <w:r w:rsidRPr="00756276">
              <w:rPr>
                <w:rFonts w:ascii="Times New Roman" w:eastAsia="Times New Roman" w:hAnsi="Times New Roman" w:cs="Times New Roman"/>
                <w:sz w:val="24"/>
                <w:szCs w:val="24"/>
              </w:rPr>
              <w:t xml:space="preserve"> append-only activity log successfully records the complete cycle from initial AI screening and exact-substring observation extraction to employee task reporting and final owner verification notes. Once deployed with live businesses, this key performance indicator will utilize these logs to measure the definitive shift from manual administrative reading to verifiable operational action, tracking exactly how many issues are successfully processed through to a localized reply draft.</w:t>
            </w:r>
          </w:p>
        </w:tc>
      </w:tr>
    </w:tbl>
    <w:p w14:paraId="07B0CEDE" w14:textId="1C084A1F" w:rsidR="00C92D89" w:rsidRDefault="00C92D89" w:rsidP="00756276">
      <w:pPr>
        <w:tabs>
          <w:tab w:val="left" w:pos="1504"/>
        </w:tabs>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0D2599E0" w14:textId="77777777">
        <w:tc>
          <w:tcPr>
            <w:tcW w:w="4635" w:type="dxa"/>
            <w:tcMar>
              <w:top w:w="120" w:type="dxa"/>
              <w:left w:w="140" w:type="dxa"/>
              <w:bottom w:w="120" w:type="dxa"/>
              <w:right w:w="100" w:type="dxa"/>
            </w:tcMar>
          </w:tcPr>
          <w:p w14:paraId="75600B93" w14:textId="784B9C1C"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27E4BCA4" w14:textId="4EF33445"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 xml:space="preserve">By the Phase 2 prototype presentation, we target a </w:t>
            </w:r>
            <w:r w:rsidR="00756276">
              <w:rPr>
                <w:rFonts w:ascii="Times New Roman" w:eastAsia="Times New Roman" w:hAnsi="Times New Roman" w:cs="Times New Roman"/>
                <w:sz w:val="24"/>
                <w:szCs w:val="24"/>
              </w:rPr>
              <w:t>40</w:t>
            </w:r>
            <w:r w:rsidRPr="00325DEF">
              <w:rPr>
                <w:rFonts w:ascii="Times New Roman" w:eastAsia="Times New Roman" w:hAnsi="Times New Roman" w:cs="Times New Roman"/>
                <w:sz w:val="24"/>
                <w:szCs w:val="24"/>
              </w:rPr>
              <w:t>% reduction in review triage and response preparation time. This efficiency gain is designed to help businesses comfortably meet the academic and industry best practice of responding to customer reviews within 24 hours (Madnick et al., 2017). Concurrently, we target 100% evidence traceability for grouped operational themes and an 80% or higher response-readiness rate for verified resolved tasks. This is achieved by filtering out generic noise during screening, automatically flagging unresolved multi-issue complaints with partial-reply warnings, and enabling the batch approval of clean reply drafts.</w:t>
            </w:r>
          </w:p>
        </w:tc>
      </w:tr>
    </w:tbl>
    <w:p w14:paraId="1274F43B" w14:textId="7A893A3F" w:rsidR="00E04682" w:rsidRDefault="00E04682">
      <w:pPr>
        <w:rPr>
          <w:rFonts w:ascii="Times New Roman" w:eastAsia="Times New Roman" w:hAnsi="Times New Roman" w:cs="Times New Roman"/>
          <w:b/>
          <w:bCs/>
          <w:color w:val="000000"/>
          <w:sz w:val="28"/>
          <w:szCs w:val="28"/>
        </w:rPr>
      </w:pPr>
    </w:p>
    <w:p w14:paraId="663E1F82" w14:textId="77777777" w:rsidR="00C92D89" w:rsidRDefault="00C92D89">
      <w:pPr>
        <w:rPr>
          <w:rFonts w:ascii="Times New Roman" w:hAnsi="Times New Roman" w:cs="Times New Roman"/>
          <w:b/>
          <w:bCs/>
          <w:sz w:val="24"/>
          <w:szCs w:val="24"/>
          <w:lang w:val="en-MY"/>
        </w:rPr>
      </w:pPr>
      <w:r>
        <w:rPr>
          <w:rFonts w:ascii="Times New Roman" w:hAnsi="Times New Roman" w:cs="Times New Roman"/>
          <w:b/>
          <w:bCs/>
          <w:sz w:val="24"/>
          <w:szCs w:val="24"/>
          <w:lang w:val="en-MY"/>
        </w:rPr>
        <w:br w:type="page"/>
      </w:r>
    </w:p>
    <w:p w14:paraId="159C675E" w14:textId="6C21C2E1" w:rsidR="00325DEF" w:rsidRPr="00325DEF" w:rsidRDefault="00325DEF" w:rsidP="00C92D89">
      <w:pPr>
        <w:spacing w:line="480" w:lineRule="auto"/>
        <w:jc w:val="center"/>
        <w:rPr>
          <w:rFonts w:ascii="Times New Roman" w:hAnsi="Times New Roman" w:cs="Times New Roman"/>
          <w:sz w:val="24"/>
          <w:szCs w:val="24"/>
          <w:lang w:val="en-MY"/>
        </w:rPr>
      </w:pPr>
      <w:r w:rsidRPr="00325DEF">
        <w:rPr>
          <w:rFonts w:ascii="Times New Roman" w:hAnsi="Times New Roman" w:cs="Times New Roman"/>
          <w:b/>
          <w:bCs/>
          <w:sz w:val="24"/>
          <w:szCs w:val="24"/>
          <w:lang w:val="en-MY"/>
        </w:rPr>
        <w:lastRenderedPageBreak/>
        <w:t>References</w:t>
      </w:r>
    </w:p>
    <w:p w14:paraId="2C36458F" w14:textId="3760618C"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i/>
          <w:iCs/>
          <w:sz w:val="24"/>
          <w:szCs w:val="24"/>
          <w:lang w:val="en-MY"/>
        </w:rPr>
        <w:t>Exploring the Challenges and the Implementation of Lean Practices</w:t>
      </w:r>
      <w:r w:rsidRPr="00325DEF">
        <w:rPr>
          <w:rFonts w:ascii="Times New Roman" w:hAnsi="Times New Roman" w:cs="Times New Roman"/>
          <w:sz w:val="24"/>
          <w:szCs w:val="24"/>
          <w:lang w:val="en-MY"/>
        </w:rPr>
        <w:t xml:space="preserve">. (2023). </w:t>
      </w:r>
      <w:proofErr w:type="spellStart"/>
      <w:r w:rsidRPr="00325DEF">
        <w:rPr>
          <w:rFonts w:ascii="Times New Roman" w:hAnsi="Times New Roman" w:cs="Times New Roman"/>
          <w:sz w:val="24"/>
          <w:szCs w:val="24"/>
          <w:lang w:val="en-MY"/>
        </w:rPr>
        <w:t>Jurnal</w:t>
      </w:r>
      <w:proofErr w:type="spellEnd"/>
      <w:r w:rsidRPr="00325DEF">
        <w:rPr>
          <w:rFonts w:ascii="Times New Roman" w:hAnsi="Times New Roman" w:cs="Times New Roman"/>
          <w:sz w:val="24"/>
          <w:szCs w:val="24"/>
          <w:lang w:val="en-MY"/>
        </w:rPr>
        <w:t xml:space="preserve"> </w:t>
      </w:r>
      <w:proofErr w:type="spellStart"/>
      <w:r w:rsidRPr="00325DEF">
        <w:rPr>
          <w:rFonts w:ascii="Times New Roman" w:hAnsi="Times New Roman" w:cs="Times New Roman"/>
          <w:sz w:val="24"/>
          <w:szCs w:val="24"/>
          <w:lang w:val="en-MY"/>
        </w:rPr>
        <w:t>Pengurusan</w:t>
      </w:r>
      <w:proofErr w:type="spellEnd"/>
      <w:r w:rsidRPr="00325DEF">
        <w:rPr>
          <w:rFonts w:ascii="Times New Roman" w:hAnsi="Times New Roman" w:cs="Times New Roman"/>
          <w:sz w:val="24"/>
          <w:szCs w:val="24"/>
          <w:lang w:val="en-MY"/>
        </w:rPr>
        <w:t xml:space="preserve">. </w:t>
      </w:r>
      <w:r w:rsidR="0067734C">
        <w:rPr>
          <w:rFonts w:ascii="Times New Roman" w:hAnsi="Times New Roman" w:cs="Times New Roman"/>
          <w:sz w:val="24"/>
          <w:szCs w:val="24"/>
          <w:lang w:val="en-MY"/>
        </w:rPr>
        <w:t xml:space="preserve">      </w:t>
      </w:r>
      <w:hyperlink r:id="rId9" w:history="1">
        <w:r w:rsidR="0067734C" w:rsidRPr="001E760E">
          <w:rPr>
            <w:rStyle w:val="Hyperlink"/>
            <w:rFonts w:ascii="Times New Roman" w:hAnsi="Times New Roman" w:cs="Times New Roman"/>
            <w:sz w:val="24"/>
            <w:szCs w:val="24"/>
            <w:lang w:val="en-MY"/>
          </w:rPr>
          <w:t>https://www.ukm.my/jurnalpengurusan/wp-content/uploads/2023/03/jp_67-8.pdf</w:t>
        </w:r>
      </w:hyperlink>
    </w:p>
    <w:p w14:paraId="0FBF8939" w14:textId="5F567563" w:rsidR="00C92D89" w:rsidRPr="00C92D89"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International Labour Organization. (n.d.). Sustainable Development Goal 8: Decent work and economic growth. </w:t>
      </w:r>
      <w:hyperlink r:id="rId10" w:history="1">
        <w:r w:rsidRPr="001E760E">
          <w:rPr>
            <w:rStyle w:val="Hyperlink"/>
            <w:rFonts w:ascii="Times New Roman" w:hAnsi="Times New Roman" w:cs="Times New Roman"/>
            <w:sz w:val="24"/>
            <w:szCs w:val="24"/>
            <w:lang w:val="en-MY"/>
          </w:rPr>
          <w:t>https://www.ilo.org/topics-and-sectors/decent-work-and-2030-agenda-sustainable-development/sustainable-development-goal-8-decent-work-and-economic-growth</w:t>
        </w:r>
      </w:hyperlink>
    </w:p>
    <w:p w14:paraId="39175292" w14:textId="77777777" w:rsidR="00325DEF" w:rsidRP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Madnick, S., et al. (2017). </w:t>
      </w:r>
      <w:r w:rsidRPr="00325DEF">
        <w:rPr>
          <w:rFonts w:ascii="Times New Roman" w:hAnsi="Times New Roman" w:cs="Times New Roman"/>
          <w:i/>
          <w:iCs/>
          <w:sz w:val="24"/>
          <w:szCs w:val="24"/>
          <w:lang w:val="en-MY"/>
        </w:rPr>
        <w:t>Management Responding Strategy to Customer Online Reviews</w:t>
      </w:r>
      <w:r w:rsidRPr="00325DEF">
        <w:rPr>
          <w:rFonts w:ascii="Times New Roman" w:hAnsi="Times New Roman" w:cs="Times New Roman"/>
          <w:sz w:val="24"/>
          <w:szCs w:val="24"/>
          <w:lang w:val="en-MY"/>
        </w:rPr>
        <w:t xml:space="preserve">. Massachusetts Institute of Technology. </w:t>
      </w:r>
      <w:hyperlink r:id="rId11" w:tgtFrame="_blank" w:history="1">
        <w:r w:rsidRPr="00325DEF">
          <w:rPr>
            <w:rStyle w:val="Hyperlink"/>
            <w:rFonts w:ascii="Times New Roman" w:hAnsi="Times New Roman" w:cs="Times New Roman"/>
            <w:sz w:val="24"/>
            <w:szCs w:val="24"/>
            <w:lang w:val="en-MY"/>
          </w:rPr>
          <w:t>https://web.mit.edu/smadnick/www/wp/2017-11.pdf</w:t>
        </w:r>
      </w:hyperlink>
    </w:p>
    <w:p w14:paraId="4EC779CA" w14:textId="77777777" w:rsidR="00325DEF" w:rsidRPr="00325DEF" w:rsidRDefault="00325DEF" w:rsidP="0067734C">
      <w:pPr>
        <w:spacing w:line="480" w:lineRule="auto"/>
        <w:ind w:left="720" w:hanging="720"/>
        <w:rPr>
          <w:rFonts w:ascii="Times New Roman" w:hAnsi="Times New Roman" w:cs="Times New Roman"/>
          <w:sz w:val="24"/>
          <w:szCs w:val="24"/>
          <w:lang w:val="en-MY"/>
        </w:rPr>
      </w:pPr>
      <w:proofErr w:type="spellStart"/>
      <w:r w:rsidRPr="00325DEF">
        <w:rPr>
          <w:rFonts w:ascii="Times New Roman" w:hAnsi="Times New Roman" w:cs="Times New Roman"/>
          <w:sz w:val="24"/>
          <w:szCs w:val="24"/>
          <w:lang w:val="en-MY"/>
        </w:rPr>
        <w:t>Proserpio</w:t>
      </w:r>
      <w:proofErr w:type="spellEnd"/>
      <w:r w:rsidRPr="00325DEF">
        <w:rPr>
          <w:rFonts w:ascii="Times New Roman" w:hAnsi="Times New Roman" w:cs="Times New Roman"/>
          <w:sz w:val="24"/>
          <w:szCs w:val="24"/>
          <w:lang w:val="en-MY"/>
        </w:rPr>
        <w:t xml:space="preserve">, D., &amp; Zervas, G. (2017). </w:t>
      </w:r>
      <w:r w:rsidRPr="00325DEF">
        <w:rPr>
          <w:rFonts w:ascii="Times New Roman" w:hAnsi="Times New Roman" w:cs="Times New Roman"/>
          <w:i/>
          <w:iCs/>
          <w:sz w:val="24"/>
          <w:szCs w:val="24"/>
          <w:lang w:val="en-MY"/>
        </w:rPr>
        <w:t>Online Reputation Management: Estimating the Impact of Management Responses on Consumer Reviews</w:t>
      </w:r>
      <w:r w:rsidRPr="00325DEF">
        <w:rPr>
          <w:rFonts w:ascii="Times New Roman" w:hAnsi="Times New Roman" w:cs="Times New Roman"/>
          <w:sz w:val="24"/>
          <w:szCs w:val="24"/>
          <w:lang w:val="en-MY"/>
        </w:rPr>
        <w:t xml:space="preserve">. Boston University. </w:t>
      </w:r>
      <w:hyperlink r:id="rId12" w:tgtFrame="_blank" w:history="1">
        <w:r w:rsidRPr="00325DEF">
          <w:rPr>
            <w:rStyle w:val="Hyperlink"/>
            <w:rFonts w:ascii="Times New Roman" w:hAnsi="Times New Roman" w:cs="Times New Roman"/>
            <w:sz w:val="24"/>
            <w:szCs w:val="24"/>
            <w:lang w:val="en-MY"/>
          </w:rPr>
          <w:t>https://people.bu.edu/zg/publications/review-responses.pdf</w:t>
        </w:r>
      </w:hyperlink>
    </w:p>
    <w:p w14:paraId="5598108D" w14:textId="77777777"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Sufi, T., Goyal, A. K., &amp; Chaudhary, H. K. (2025). How hotels respond to online ratings. In L. C. Carvalho, L. Reis, A. M. N. A. B. Figueiredo, &amp; N. Russo (Eds.), </w:t>
      </w:r>
      <w:r w:rsidRPr="00325DEF">
        <w:rPr>
          <w:rFonts w:ascii="Times New Roman" w:hAnsi="Times New Roman" w:cs="Times New Roman"/>
          <w:i/>
          <w:iCs/>
          <w:sz w:val="24"/>
          <w:szCs w:val="24"/>
          <w:lang w:val="en-MY"/>
        </w:rPr>
        <w:t>Leveraging technology for organizational adaptability</w:t>
      </w:r>
      <w:r w:rsidRPr="00325DEF">
        <w:rPr>
          <w:rFonts w:ascii="Times New Roman" w:hAnsi="Times New Roman" w:cs="Times New Roman"/>
          <w:sz w:val="24"/>
          <w:szCs w:val="24"/>
          <w:lang w:val="en-MY"/>
        </w:rPr>
        <w:t xml:space="preserve"> (pp. 285–303). IGI Global. </w:t>
      </w:r>
      <w:hyperlink r:id="rId13" w:tgtFrame="_blank" w:history="1">
        <w:r w:rsidRPr="00325DEF">
          <w:rPr>
            <w:rStyle w:val="Hyperlink"/>
            <w:rFonts w:ascii="Times New Roman" w:hAnsi="Times New Roman" w:cs="Times New Roman"/>
            <w:sz w:val="24"/>
            <w:szCs w:val="24"/>
            <w:lang w:val="en-MY"/>
          </w:rPr>
          <w:t>https://doi.org/10.4018/979-8-3693-6045-3.ch012</w:t>
        </w:r>
      </w:hyperlink>
    </w:p>
    <w:p w14:paraId="129066E2" w14:textId="12E24E2E" w:rsidR="00C92D89" w:rsidRPr="00325DEF"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United Nations Department of Economic and Social Affairs. (n.d.). Goal 8 | Department of Economic and Social Affairs. </w:t>
      </w:r>
      <w:hyperlink r:id="rId14" w:history="1">
        <w:r w:rsidRPr="001E760E">
          <w:rPr>
            <w:rStyle w:val="Hyperlink"/>
            <w:rFonts w:ascii="Times New Roman" w:hAnsi="Times New Roman" w:cs="Times New Roman"/>
            <w:sz w:val="24"/>
            <w:szCs w:val="24"/>
            <w:lang w:val="en-MY"/>
          </w:rPr>
          <w:t>https://sdgs.un.org/goals/goal8</w:t>
        </w:r>
      </w:hyperlink>
    </w:p>
    <w:p w14:paraId="171915EB" w14:textId="77777777" w:rsidR="00C92D89" w:rsidRPr="00325DEF" w:rsidRDefault="00C92D89" w:rsidP="0067734C">
      <w:pPr>
        <w:spacing w:line="480" w:lineRule="auto"/>
        <w:ind w:left="720" w:hanging="720"/>
        <w:rPr>
          <w:rFonts w:ascii="Times New Roman" w:hAnsi="Times New Roman" w:cs="Times New Roman"/>
          <w:sz w:val="24"/>
          <w:szCs w:val="24"/>
          <w:lang w:val="en-MY"/>
        </w:rPr>
      </w:pPr>
    </w:p>
    <w:p w14:paraId="0FCD9ADE" w14:textId="77777777" w:rsidR="00E04682" w:rsidRDefault="00E04682">
      <w:pPr>
        <w:rPr>
          <w:rFonts w:ascii="Times New Roman" w:eastAsia="Times New Roman" w:hAnsi="Times New Roman" w:cs="Times New Roman"/>
          <w:b/>
          <w:bCs/>
          <w:color w:val="000000"/>
          <w:sz w:val="28"/>
          <w:szCs w:val="28"/>
        </w:rPr>
      </w:pPr>
    </w:p>
    <w:p w14:paraId="1A293871" w14:textId="77777777" w:rsidR="00E04682" w:rsidRDefault="00E04682">
      <w:pP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rPr>
        <w:br w:type="page"/>
      </w:r>
    </w:p>
    <w:p w14:paraId="768CE5FC" w14:textId="0D94A276"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5F01299A"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2403C049"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7852ECD7"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373F3164"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3797CD2D"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0FC799F0"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047D2B1F"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37AF97BC" w14:textId="36260F03"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BA2821B" w:rsidR="00CB46A4" w:rsidRDefault="00FD580C">
      <w:pPr>
        <w:spacing w:before="240" w:after="200"/>
        <w:jc w:val="both"/>
        <w:rPr>
          <w:rFonts w:ascii="Times New Roman" w:eastAsia="Times New Roman" w:hAnsi="Times New Roman" w:cs="Times New Roman"/>
          <w:sz w:val="24"/>
          <w:szCs w:val="24"/>
        </w:rPr>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rsidR="00B4031D" w14:paraId="0309D636"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395A98D" w14:textId="56F2747C"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Next.js, React, React DOM</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F966920" w14:textId="309376A7"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Frameworks and libraries</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84BE7D6" w14:textId="61CDDD38"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MIT</w:t>
            </w:r>
          </w:p>
        </w:tc>
      </w:tr>
      <w:tr w:rsidR="00B4031D" w14:paraId="6531A5AE"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BD9825" w14:textId="6700A18E"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Drizzle ORM</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F829C74" w14:textId="2BB43F06"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Database library</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0B90640" w14:textId="58518C09"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w:t>
            </w:r>
          </w:p>
        </w:tc>
      </w:tr>
      <w:tr w:rsidR="00B4031D" w14:paraId="17A0F27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AF7C6D0" w14:textId="301F97B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SDK</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E93126B" w14:textId="1E1831D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API client library</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B36928D" w14:textId="4AC4BF2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w:t>
            </w:r>
          </w:p>
        </w:tc>
      </w:tr>
      <w:tr w:rsidR="00B4031D" w14:paraId="3C2A849C"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E9C36D0" w14:textId="6EFAA9CB"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 xml:space="preserve">PostgreSQL </w:t>
            </w:r>
            <w:proofErr w:type="spellStart"/>
            <w:r w:rsidRPr="00B4031D">
              <w:rPr>
                <w:rFonts w:ascii="Times New Roman" w:eastAsia="Times New Roman" w:hAnsi="Times New Roman" w:cs="Times New Roman"/>
                <w:sz w:val="24"/>
                <w:szCs w:val="24"/>
              </w:rPr>
              <w:t>pg</w:t>
            </w:r>
            <w:proofErr w:type="spellEnd"/>
            <w:r w:rsidRPr="00B4031D">
              <w:rPr>
                <w:rFonts w:ascii="Times New Roman" w:eastAsia="Times New Roman" w:hAnsi="Times New Roman" w:cs="Times New Roman"/>
                <w:sz w:val="24"/>
                <w:szCs w:val="24"/>
              </w:rPr>
              <w:t xml:space="preserve"> driver, Zod, server-only</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9EFD6CD" w14:textId="0234AE22"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Libraries</w:t>
            </w:r>
            <w:r w:rsidRPr="00B4031D">
              <w:rPr>
                <w:rFonts w:ascii="Times New Roman" w:eastAsia="Times New Roman" w:hAnsi="Times New Roman" w:cs="Times New Roman"/>
                <w:sz w:val="24"/>
                <w:szCs w:val="24"/>
              </w:rPr>
              <w:tab/>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105F73" w14:textId="3FDEBB11"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MIT</w:t>
            </w:r>
          </w:p>
        </w:tc>
      </w:tr>
      <w:tr w:rsidR="00B4031D" w14:paraId="54D012D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2F6108" w14:textId="3EA0AE13"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 xml:space="preserve">TypeScript, </w:t>
            </w:r>
            <w:proofErr w:type="spellStart"/>
            <w:r w:rsidRPr="00B4031D">
              <w:rPr>
                <w:rFonts w:ascii="Times New Roman" w:eastAsia="Times New Roman" w:hAnsi="Times New Roman" w:cs="Times New Roman"/>
                <w:sz w:val="24"/>
                <w:szCs w:val="24"/>
              </w:rPr>
              <w:t>Vitest</w:t>
            </w:r>
            <w:proofErr w:type="spellEnd"/>
            <w:r w:rsidRPr="00B4031D">
              <w:rPr>
                <w:rFonts w:ascii="Times New Roman" w:eastAsia="Times New Roman" w:hAnsi="Times New Roman" w:cs="Times New Roman"/>
                <w:sz w:val="24"/>
                <w:szCs w:val="24"/>
              </w:rPr>
              <w:t xml:space="preserve">, </w:t>
            </w:r>
            <w:proofErr w:type="spellStart"/>
            <w:r w:rsidRPr="00B4031D">
              <w:rPr>
                <w:rFonts w:ascii="Times New Roman" w:eastAsia="Times New Roman" w:hAnsi="Times New Roman" w:cs="Times New Roman"/>
                <w:sz w:val="24"/>
                <w:szCs w:val="24"/>
              </w:rPr>
              <w:t>ESLint</w:t>
            </w:r>
            <w:proofErr w:type="spellEnd"/>
            <w:r w:rsidRPr="00B4031D">
              <w:rPr>
                <w:rFonts w:ascii="Times New Roman" w:eastAsia="Times New Roman" w:hAnsi="Times New Roman" w:cs="Times New Roman"/>
                <w:sz w:val="24"/>
                <w:szCs w:val="24"/>
              </w:rPr>
              <w:t>, Prettier</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1AA2E52" w14:textId="4B6BDB4E"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Development and test tools</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8BFE564" w14:textId="0C8A117B"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 or MIT, depending on package</w:t>
            </w:r>
          </w:p>
        </w:tc>
      </w:tr>
      <w:tr w:rsidR="00B4031D" w14:paraId="78165A54"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D2A05BA" w14:textId="19A166F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GPT-5 mini</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2A6EFC" w14:textId="20E27396"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Hosted AI model, used in live mode</w:t>
            </w:r>
            <w:r>
              <w:rPr>
                <w:rFonts w:ascii="Times New Roman" w:eastAsia="Times New Roman" w:hAnsi="Times New Roman" w:cs="Times New Roman"/>
                <w:sz w:val="24"/>
                <w:szCs w:val="24"/>
              </w:rPr>
              <w:t xml:space="preserve"> </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6F09F27" w14:textId="6A7E4CA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service terms</w:t>
            </w:r>
          </w:p>
        </w:tc>
      </w:tr>
      <w:tr w:rsidR="00B4031D" w14:paraId="41D8354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846B1DD" w14:textId="44EFF2E5"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sidRPr="00B4031D">
              <w:rPr>
                <w:rFonts w:ascii="Times New Roman" w:eastAsia="Times New Roman" w:hAnsi="Times New Roman" w:cs="Times New Roman"/>
                <w:sz w:val="24"/>
                <w:szCs w:val="24"/>
              </w:rPr>
              <w:t>Jev</w:t>
            </w:r>
            <w:proofErr w:type="spellEnd"/>
            <w:r w:rsidRPr="00B4031D">
              <w:rPr>
                <w:rFonts w:ascii="Times New Roman" w:eastAsia="Times New Roman" w:hAnsi="Times New Roman" w:cs="Times New Roman"/>
                <w:sz w:val="24"/>
                <w:szCs w:val="24"/>
              </w:rPr>
              <w:t xml:space="preserve"> by </w:t>
            </w:r>
            <w:proofErr w:type="spellStart"/>
            <w:r w:rsidRPr="00B4031D">
              <w:rPr>
                <w:rFonts w:ascii="Times New Roman" w:eastAsia="Times New Roman" w:hAnsi="Times New Roman" w:cs="Times New Roman"/>
                <w:sz w:val="24"/>
                <w:szCs w:val="24"/>
              </w:rPr>
              <w:t>Typesafe</w:t>
            </w:r>
            <w:proofErr w:type="spellEnd"/>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B2265DD" w14:textId="4C8A56CD"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Hosted review-screening AI</w:t>
            </w:r>
            <w:r>
              <w:rPr>
                <w:rFonts w:ascii="Times New Roman" w:eastAsia="Times New Roman" w:hAnsi="Times New Roman" w:cs="Times New Roman"/>
                <w:sz w:val="24"/>
                <w:szCs w:val="24"/>
              </w:rPr>
              <w:t>( model)</w:t>
            </w:r>
            <w:r w:rsidRPr="00B4031D">
              <w:rPr>
                <w:rFonts w:ascii="Times New Roman" w:eastAsia="Times New Roman" w:hAnsi="Times New Roman" w:cs="Times New Roman"/>
                <w:sz w:val="24"/>
                <w:szCs w:val="24"/>
              </w:rPr>
              <w:t>, used in live mode</w:t>
            </w:r>
            <w:r>
              <w:rPr>
                <w:rFonts w:ascii="Times New Roman" w:eastAsia="Times New Roman" w:hAnsi="Times New Roman" w:cs="Times New Roman"/>
                <w:sz w:val="24"/>
                <w:szCs w:val="24"/>
              </w:rPr>
              <w:t xml:space="preserve"> </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1AAD5C7" w14:textId="5ABEA4A9"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spellStart"/>
            <w:r w:rsidRPr="00B4031D">
              <w:rPr>
                <w:rFonts w:ascii="Times New Roman" w:eastAsia="Times New Roman" w:hAnsi="Times New Roman" w:cs="Times New Roman"/>
                <w:sz w:val="24"/>
                <w:szCs w:val="24"/>
              </w:rPr>
              <w:t>Typesafe</w:t>
            </w:r>
            <w:proofErr w:type="spellEnd"/>
            <w:r w:rsidRPr="00B4031D">
              <w:rPr>
                <w:rFonts w:ascii="Times New Roman" w:eastAsia="Times New Roman" w:hAnsi="Times New Roman" w:cs="Times New Roman"/>
                <w:sz w:val="24"/>
                <w:szCs w:val="24"/>
              </w:rPr>
              <w:t xml:space="preserve"> service terms</w:t>
            </w:r>
          </w:p>
        </w:tc>
      </w:tr>
      <w:tr w:rsidR="00B4031D" w14:paraId="3E1B0532"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1DE2EE1" w14:textId="37DD271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Clarity review fixtures</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23B955E4" w14:textId="17085809"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Synthetic dataset created by our team</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820D1BD" w14:textId="22BEFB61"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Team-created; no third-party dataset</w:t>
            </w:r>
          </w:p>
        </w:tc>
      </w:tr>
    </w:tbl>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1C0E19D2"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sidR="00FD580C">
        <w:rPr>
          <w:rFonts w:ascii="Segoe UI Symbol" w:eastAsia="Times New Roman" w:hAnsi="Segoe UI Symbol" w:cs="Segoe UI Symbol"/>
          <w:sz w:val="30"/>
          <w:szCs w:val="30"/>
        </w:rPr>
        <w:t xml:space="preserve"> </w:t>
      </w:r>
      <w:r>
        <w:rPr>
          <w:rFonts w:ascii="Times New Roman" w:eastAsia="Times New Roman" w:hAnsi="Times New Roman" w:cs="Times New Roman"/>
          <w:sz w:val="24"/>
          <w:szCs w:val="24"/>
        </w:rPr>
        <w:t>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sectPr w:rsidR="00CB46A4">
      <w:headerReference w:type="default" r:id="rId15"/>
      <w:foot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AAAE" w14:textId="77777777" w:rsidR="00804CAF" w:rsidRDefault="00804CAF">
      <w:pPr>
        <w:spacing w:line="240" w:lineRule="auto"/>
      </w:pPr>
      <w:r>
        <w:separator/>
      </w:r>
    </w:p>
  </w:endnote>
  <w:endnote w:type="continuationSeparator" w:id="0">
    <w:p w14:paraId="40973A6D" w14:textId="77777777" w:rsidR="00804CAF" w:rsidRDefault="00804C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63F2119-665F-4F88-A57F-F4C2E4B93B57}"/>
    <w:embedBold r:id="rId2" w:fontKey="{225051BC-7D63-4029-A978-FBE28A9B6763}"/>
    <w:embedItalic r:id="rId3" w:fontKey="{5094EE5E-7A8F-4863-8B81-F16C9D7A965B}"/>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4" w:fontKey="{08612D61-066C-425D-B5C9-13E93063D00E}"/>
  </w:font>
  <w:font w:name="Segoe UI Symbol">
    <w:panose1 w:val="020B0502040204020203"/>
    <w:charset w:val="00"/>
    <w:family w:val="swiss"/>
    <w:pitch w:val="variable"/>
    <w:sig w:usb0="800001E3" w:usb1="1200FFEF" w:usb2="00040000" w:usb3="00000000" w:csb0="00000001" w:csb1="00000000"/>
    <w:embedRegular r:id="rId5" w:fontKey="{A0899C0A-6CA6-4295-9E34-F3BD21BD4DF9}"/>
  </w:font>
  <w:font w:name="Cambria">
    <w:panose1 w:val="02040503050406030204"/>
    <w:charset w:val="00"/>
    <w:family w:val="roman"/>
    <w:pitch w:val="variable"/>
    <w:sig w:usb0="E00006FF" w:usb1="420024FF" w:usb2="02000000" w:usb3="00000000" w:csb0="0000019F" w:csb1="00000000"/>
    <w:embedRegular r:id="rId6" w:fontKey="{7B1944FB-3CE3-489C-B015-81E490E8F1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2C67" w14:textId="77777777" w:rsidR="00804CAF" w:rsidRDefault="00804CAF">
      <w:pPr>
        <w:spacing w:line="240" w:lineRule="auto"/>
      </w:pPr>
      <w:r>
        <w:separator/>
      </w:r>
    </w:p>
  </w:footnote>
  <w:footnote w:type="continuationSeparator" w:id="0">
    <w:p w14:paraId="245D6C6A" w14:textId="77777777" w:rsidR="00804CAF" w:rsidRDefault="00804C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27D13"/>
    <w:multiLevelType w:val="multilevel"/>
    <w:tmpl w:val="3C2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35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2C6DDC"/>
    <w:rsid w:val="00324539"/>
    <w:rsid w:val="0032595D"/>
    <w:rsid w:val="00325DEF"/>
    <w:rsid w:val="003428EC"/>
    <w:rsid w:val="003B77A5"/>
    <w:rsid w:val="00423FAA"/>
    <w:rsid w:val="00426856"/>
    <w:rsid w:val="0043121E"/>
    <w:rsid w:val="00454055"/>
    <w:rsid w:val="00465651"/>
    <w:rsid w:val="004D3893"/>
    <w:rsid w:val="004D5025"/>
    <w:rsid w:val="004E72C7"/>
    <w:rsid w:val="005A11D3"/>
    <w:rsid w:val="00607568"/>
    <w:rsid w:val="006449B2"/>
    <w:rsid w:val="0067734C"/>
    <w:rsid w:val="006B6CF7"/>
    <w:rsid w:val="00756276"/>
    <w:rsid w:val="00804CAF"/>
    <w:rsid w:val="00842EE0"/>
    <w:rsid w:val="008A22B6"/>
    <w:rsid w:val="008E0AEE"/>
    <w:rsid w:val="008F1177"/>
    <w:rsid w:val="00A14B42"/>
    <w:rsid w:val="00B4031D"/>
    <w:rsid w:val="00C92D89"/>
    <w:rsid w:val="00CB46A4"/>
    <w:rsid w:val="00CF1208"/>
    <w:rsid w:val="00D21B62"/>
    <w:rsid w:val="00D30413"/>
    <w:rsid w:val="00D75B6D"/>
    <w:rsid w:val="00D90675"/>
    <w:rsid w:val="00E04682"/>
    <w:rsid w:val="00E74CC2"/>
    <w:rsid w:val="00EE65D5"/>
    <w:rsid w:val="00EF5E0C"/>
    <w:rsid w:val="00F20C6B"/>
    <w:rsid w:val="00F42897"/>
    <w:rsid w:val="00FD5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 w:type="paragraph" w:styleId="NormalWeb">
    <w:name w:val="Normal (Web)"/>
    <w:basedOn w:val="Normal"/>
    <w:uiPriority w:val="99"/>
    <w:semiHidden/>
    <w:unhideWhenUsed/>
    <w:rsid w:val="00CF1208"/>
    <w:rPr>
      <w:rFonts w:ascii="Times New Roman" w:hAnsi="Times New Roman" w:cs="Times New Roman"/>
      <w:sz w:val="24"/>
      <w:szCs w:val="24"/>
    </w:rPr>
  </w:style>
  <w:style w:type="character" w:styleId="Hyperlink">
    <w:name w:val="Hyperlink"/>
    <w:basedOn w:val="DefaultParagraphFont"/>
    <w:uiPriority w:val="99"/>
    <w:unhideWhenUsed/>
    <w:rsid w:val="00F20C6B"/>
    <w:rPr>
      <w:color w:val="0000FF" w:themeColor="hyperlink"/>
      <w:u w:val="single"/>
    </w:rPr>
  </w:style>
  <w:style w:type="character" w:styleId="UnresolvedMention">
    <w:name w:val="Unresolved Mention"/>
    <w:basedOn w:val="DefaultParagraphFont"/>
    <w:uiPriority w:val="99"/>
    <w:semiHidden/>
    <w:unhideWhenUsed/>
    <w:rsid w:val="00F20C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oogle.com/search?q=https://doi.org/10.4018/979-8-3693-6045-3.ch012" TargetMode="External"/><Relationship Id="rId18" Type="http://schemas.openxmlformats.org/officeDocument/2006/relationships/theme" Target="theme/theme1.xml"/><Relationship Id="rId3"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people.bu.edu/zg/publications/review-responses.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eb.mit.edu/smadnick/www/wp/2017-11.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lo.org/topics-and-sectors/decent-work-and-2030-agenda-sustainable-development/sustainable-development-goal-8-decent-work-and-economic-growth" TargetMode="External"/><Relationship Id="rId4" Type="http://schemas.openxmlformats.org/officeDocument/2006/relationships/settings" Target="settings.xml"/><Relationship Id="rId9" Type="http://schemas.openxmlformats.org/officeDocument/2006/relationships/hyperlink" Target="https://www.ukm.my/jurnalpengurusan/wp-content/uploads/2023/03/jp_67-8.pdf" TargetMode="External"/><Relationship Id="rId14" Type="http://schemas.openxmlformats.org/officeDocument/2006/relationships/hyperlink" Target="https://sdgs.un.org/goals/goal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415</TotalTime>
  <Pages>14</Pages>
  <Words>2648</Words>
  <Characters>15094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20</cp:revision>
  <dcterms:created xsi:type="dcterms:W3CDTF">2026-10-21T13:45:00Z</dcterms:created>
  <dcterms:modified xsi:type="dcterms:W3CDTF">2026-10-24T15:13:00Z</dcterms:modified>
</cp:coreProperties>
</file>