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80"/>
      </w:pPr>
      <w:r>
        <w:rPr>
          <w:rFonts w:ascii="Arial" w:cs="Arial" w:eastAsia="Arial" w:hAnsi="Arial"/>
          <w:b/>
          <w:bCs/>
          <w:color w:val="0D9488"/>
          <w:sz w:val="28"/>
          <w:szCs w:val="28"/>
        </w:rPr>
        <w:t xml:space="preserve">Mintenance Ltd</w:t>
      </w:r>
    </w:p>
    <w:p>
      <w:pPr>
        <w:pBdr>
          <w:bottom w:val="single" w:color="0D9488" w:sz="8" w:space="1"/>
        </w:pBdr>
        <w:spacing w:after="240" w:before="120"/>
      </w:pPr>
      <w:r>
        <w:t xml:space="preserve"/>
      </w:r>
    </w:p>
    <w:p>
      <w:pPr>
        <w:spacing w:after="200"/>
      </w:pPr>
      <w:r>
        <w:rPr>
          <w:rFonts w:ascii="Arial" w:cs="Arial" w:eastAsia="Arial" w:hAnsi="Arial"/>
          <w:b/>
          <w:bCs/>
          <w:color w:val="1B2A4A"/>
          <w:sz w:val="48"/>
          <w:szCs w:val="48"/>
        </w:rPr>
        <w:t xml:space="preserve">Escrow &amp; Payment Terms</w:t>
      </w:r>
    </w:p>
    <w:p>
      <w:pPr>
        <w:spacing w:after="600"/>
      </w:pPr>
      <w:r>
        <w:rPr>
          <w:rFonts w:ascii="Arial" w:cs="Arial" w:eastAsia="Arial" w:hAnsi="Arial"/>
          <w:i/>
          <w:iCs/>
          <w:color w:val="6B7280"/>
          <w:sz w:val="26"/>
          <w:szCs w:val="26"/>
        </w:rPr>
        <w:t xml:space="preserve">How Funds Are Held, Released, and Managed on the Mintenance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Version</w:t>
            </w:r>
          </w:p>
          <w:p>
            <w:r>
              <w:rPr>
                <w:rFonts w:ascii="Arial" w:cs="Arial" w:eastAsia="Arial" w:hAnsi="Arial"/>
                <w:b/>
                <w:bCs/>
                <w:color w:val="1B2A4A"/>
                <w:sz w:val="22"/>
                <w:szCs w:val="22"/>
              </w:rPr>
              <w:t xml:space="preserve">v1.0</w:t>
            </w:r>
          </w:p>
        </w:tc>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Effective Date</w:t>
            </w:r>
          </w:p>
          <w:p>
            <w:r>
              <w:rPr>
                <w:rFonts w:ascii="Arial" w:cs="Arial" w:eastAsia="Arial" w:hAnsi="Arial"/>
                <w:b/>
                <w:bCs/>
                <w:color w:val="1B2A4A"/>
                <w:sz w:val="22"/>
                <w:szCs w:val="22"/>
              </w:rPr>
              <w:t xml:space="preserve">26 February 2026</w:t>
            </w:r>
          </w:p>
        </w:tc>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Jurisdiction</w:t>
            </w:r>
          </w:p>
          <w:p>
            <w:r>
              <w:rPr>
                <w:rFonts w:ascii="Arial" w:cs="Arial" w:eastAsia="Arial" w:hAnsi="Arial"/>
                <w:b/>
                <w:bCs/>
                <w:color w:val="1B2A4A"/>
                <w:sz w:val="22"/>
                <w:szCs w:val="22"/>
              </w:rPr>
              <w:t xml:space="preserve">England &amp; Wales</w:t>
            </w:r>
          </w:p>
        </w:tc>
      </w:tr>
    </w:tbl>
    <w:p>
      <w:pPr>
        <w:spacing w:after="160"/>
      </w:pPr>
      <w:r>
        <w:t xml:space="preserve"/>
      </w:r>
    </w:p>
    <w:p>
      <w:pPr>
        <w:spacing w:after="160"/>
      </w:pPr>
      <w:r>
        <w:rPr>
          <w:rFonts w:ascii="Arial" w:cs="Arial" w:eastAsia="Arial" w:hAnsi="Arial"/>
          <w:i/>
          <w:iCs/>
          <w:color w:val="6B7280"/>
          <w:sz w:val="22"/>
          <w:szCs w:val="22"/>
        </w:rPr>
        <w:t xml:space="preserve">This document was prepared by Mintenance Ltd for informational and operational purposes. It does not constitute legal advice. We recommend that you seek independent legal counsel before relying on this document.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4"/>
              <w:bottom w:val="single" w:color="E2E8F0" w:sz="4"/>
              <w:right w:val="single" w:color="E2E8F0" w:sz="4"/>
            </w:tcBorders>
            <w:shd w:fill="F5F7FA" w:val="clear"/>
            <w:tcMar>
              <w:top w:type="dxa" w:w="120"/>
              <w:left w:type="dxa" w:w="200"/>
              <w:bottom w:type="dxa" w:w="120"/>
              <w:right w:type="dxa" w:w="200"/>
            </w:tcMar>
          </w:tcPr>
          <w:p>
            <w:pPr>
              <w:spacing w:after="60"/>
            </w:pPr>
            <w:r>
              <w:rPr>
                <w:rFonts w:ascii="Arial" w:cs="Arial" w:eastAsia="Arial" w:hAnsi="Arial"/>
                <w:b/>
                <w:bCs/>
                <w:color w:val="0D9488"/>
                <w:sz w:val="20"/>
                <w:szCs w:val="20"/>
              </w:rPr>
              <w:t xml:space="preserve">Summary</w:t>
            </w:r>
          </w:p>
          <w:p>
            <w:pPr>
              <w:spacing w:after="0"/>
            </w:pPr>
            <w:r>
              <w:rPr>
                <w:rFonts w:ascii="Arial" w:cs="Arial" w:eastAsia="Arial" w:hAnsi="Arial"/>
                <w:color w:val="374151"/>
                <w:sz w:val="20"/>
                <w:szCs w:val="20"/>
              </w:rPr>
              <w:t xml:space="preserve">Mintenance uses a secure escrow model to protect both Homeowners and Contractors. Homeowners fund escrow before work begins, and funds are only released to Contractors after the work is verified as complete. This document explains how the process works, your rights, and what happens in a dispute.</w:t>
            </w:r>
          </w:p>
        </w:tc>
      </w:tr>
    </w:tbl>
    <w:p>
      <w:pPr>
        <w:spacing w:after="160"/>
      </w:pPr>
      <w:r>
        <w:t xml:space="preserve"/>
      </w:r>
    </w:p>
    <w:p>
      <w:pPr>
        <w:pStyle w:val="Heading1"/>
      </w:pPr>
      <w:r>
        <w:rPr>
          <w:rFonts w:ascii="Arial" w:cs="Arial" w:eastAsia="Arial" w:hAnsi="Arial"/>
          <w:b/>
          <w:bCs/>
          <w:color w:val="1B2A4A"/>
          <w:sz w:val="32"/>
          <w:szCs w:val="32"/>
        </w:rPr>
        <w:t xml:space="preserve">1. Overview of the Escrow Model</w:t>
      </w:r>
    </w:p>
    <w:p>
      <w:pPr>
        <w:spacing w:after="160"/>
      </w:pPr>
      <w:r>
        <w:rPr>
          <w:rFonts w:ascii="Arial" w:cs="Arial" w:eastAsia="Arial" w:hAnsi="Arial"/>
          <w:sz w:val="22"/>
          <w:szCs w:val="22"/>
        </w:rPr>
        <w:t xml:space="preserve">1.1  The Mintenance Platform uses a third-party escrow mechanism, operated via Stripe, Inc. ('Stripe'), to manage payments for all Jobs processed through the Platform.</w:t>
      </w:r>
    </w:p>
    <w:p>
      <w:pPr>
        <w:spacing w:after="160"/>
      </w:pPr>
      <w:r>
        <w:rPr>
          <w:rFonts w:ascii="Arial" w:cs="Arial" w:eastAsia="Arial" w:hAnsi="Arial"/>
          <w:sz w:val="22"/>
          <w:szCs w:val="22"/>
        </w:rPr>
        <w:t xml:space="preserve">1.2  The escrow model ensures that:</w:t>
      </w:r>
    </w:p>
    <w:p>
      <w:pPr>
        <w:pStyle w:val="ListParagraph"/>
        <w:numPr>
          <w:ilvl w:val="0"/>
          <w:numId w:val="2"/>
        </w:numPr>
        <w:spacing w:after="80"/>
      </w:pPr>
      <w:r>
        <w:rPr>
          <w:rFonts w:ascii="Arial" w:cs="Arial" w:eastAsia="Arial" w:hAnsi="Arial"/>
          <w:sz w:val="22"/>
          <w:szCs w:val="22"/>
        </w:rPr>
        <w:t xml:space="preserve">Homeowners' funds are protected until they confirm the work is satisfactorily completed;</w:t>
      </w:r>
    </w:p>
    <w:p>
      <w:pPr>
        <w:pStyle w:val="ListParagraph"/>
        <w:numPr>
          <w:ilvl w:val="0"/>
          <w:numId w:val="2"/>
        </w:numPr>
        <w:spacing w:after="80"/>
      </w:pPr>
      <w:r>
        <w:rPr>
          <w:rFonts w:ascii="Arial" w:cs="Arial" w:eastAsia="Arial" w:hAnsi="Arial"/>
          <w:sz w:val="22"/>
          <w:szCs w:val="22"/>
        </w:rPr>
        <w:t xml:space="preserve">Contractors receive guaranteed payment once they have completed and evidenced their work;</w:t>
      </w:r>
    </w:p>
    <w:p>
      <w:pPr>
        <w:pStyle w:val="ListParagraph"/>
        <w:numPr>
          <w:ilvl w:val="0"/>
          <w:numId w:val="2"/>
        </w:numPr>
        <w:spacing w:after="80"/>
      </w:pPr>
      <w:r>
        <w:rPr>
          <w:rFonts w:ascii="Arial" w:cs="Arial" w:eastAsia="Arial" w:hAnsi="Arial"/>
          <w:sz w:val="22"/>
          <w:szCs w:val="22"/>
        </w:rPr>
        <w:t xml:space="preserve">Both parties are protected from payment disputes and fraud.</w:t>
      </w:r>
    </w:p>
    <w:p>
      <w:pPr>
        <w:spacing w:after="160"/>
      </w:pPr>
      <w:r>
        <w:rPr>
          <w:rFonts w:ascii="Arial" w:cs="Arial" w:eastAsia="Arial" w:hAnsi="Arial"/>
          <w:sz w:val="22"/>
          <w:szCs w:val="22"/>
        </w:rPr>
        <w:t xml:space="preserve">1.3  Mintenance Ltd acts as the escrow agent and Platform Fee collector. Mintenance Ltd is not a bank or authorised payment institution; payment processing is undertaken by Stripe, which is authorised by the Financial Conduct Authority.</w:t>
      </w:r>
    </w:p>
    <w:p>
      <w:pPr>
        <w:spacing w:after="160"/>
      </w:pPr>
      <w:r>
        <w:t xml:space="preserve"/>
      </w:r>
    </w:p>
    <w:p>
      <w:pPr>
        <w:pStyle w:val="Heading1"/>
      </w:pPr>
      <w:r>
        <w:rPr>
          <w:rFonts w:ascii="Arial" w:cs="Arial" w:eastAsia="Arial" w:hAnsi="Arial"/>
          <w:b/>
          <w:bCs/>
          <w:color w:val="1B2A4A"/>
          <w:sz w:val="32"/>
          <w:szCs w:val="32"/>
        </w:rPr>
        <w:t xml:space="preserve">2. The Job Payment Lifecycle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c>
          <w:tcPr>
            <w:tcW w:type="dxa" w:w="72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21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r>
              <w:rPr>
                <w:rFonts w:ascii="Arial" w:cs="Arial" w:eastAsia="Arial" w:hAnsi="Arial"/>
                <w:b/>
                <w:bCs/>
                <w:color w:val="FFFFFF"/>
                <w:sz w:val="22"/>
                <w:szCs w:val="22"/>
              </w:rPr>
              <w:t xml:space="preserve">Stage</w:t>
            </w:r>
          </w:p>
        </w:tc>
        <w:tc>
          <w:tcPr>
            <w:tcW w:type="dxa" w:w="648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7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color w:val="0D9488"/>
                <w:sz w:val="22"/>
                <w:szCs w:val="22"/>
              </w:rPr>
              <w:t xml:space="preserve">1</w:t>
            </w:r>
          </w:p>
        </w:tc>
        <w:tc>
          <w:tcPr>
            <w:tcW w:type="dxa" w:w="216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0"/>
                <w:szCs w:val="20"/>
              </w:rPr>
              <w:t xml:space="preserve">Contract signed</w:t>
            </w:r>
          </w:p>
        </w:tc>
        <w:tc>
          <w:tcPr>
            <w:tcW w:type="dxa" w:w="648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Both Homeowner and Contractor digitally sign the Job Contract through the Platform.</w:t>
            </w:r>
          </w:p>
        </w:tc>
      </w:tr>
      <w:tr>
        <w:tc>
          <w:tcPr>
            <w:tcW w:type="dxa" w:w="7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color w:val="0D9488"/>
                <w:sz w:val="22"/>
                <w:szCs w:val="22"/>
              </w:rPr>
              <w:t xml:space="preserve">2</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Homeowner funds Escrow</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The Homeowner pays the agreed Job amount to the Escrow account via Stripe. Escrow status: Pending → Held.</w:t>
            </w:r>
          </w:p>
        </w:tc>
      </w:tr>
      <w:tr>
        <w:tc>
          <w:tcPr>
            <w:tcW w:type="dxa" w:w="7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color w:val="0D9488"/>
                <w:sz w:val="22"/>
                <w:szCs w:val="22"/>
              </w:rPr>
              <w:t xml:space="preserve">3</w:t>
            </w:r>
          </w:p>
        </w:tc>
        <w:tc>
          <w:tcPr>
            <w:tcW w:type="dxa" w:w="216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0"/>
                <w:szCs w:val="20"/>
              </w:rPr>
              <w:t xml:space="preserve">Contractor uploads before photos</w:t>
            </w:r>
          </w:p>
        </w:tc>
        <w:tc>
          <w:tcPr>
            <w:tcW w:type="dxa" w:w="648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The Contractor takes and uploads before photographs at the Job site. Geolocation is verified.</w:t>
            </w:r>
          </w:p>
        </w:tc>
      </w:tr>
      <w:tr>
        <w:tc>
          <w:tcPr>
            <w:tcW w:type="dxa" w:w="7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color w:val="0D9488"/>
                <w:sz w:val="22"/>
                <w:szCs w:val="22"/>
              </w:rPr>
              <w:t xml:space="preserve">4</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Work commences</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The Contractor begins the Job. Escrow remains in a 'Held' state.</w:t>
            </w:r>
          </w:p>
        </w:tc>
      </w:tr>
      <w:tr>
        <w:tc>
          <w:tcPr>
            <w:tcW w:type="dxa" w:w="7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color w:val="0D9488"/>
                <w:sz w:val="22"/>
                <w:szCs w:val="22"/>
              </w:rPr>
              <w:t xml:space="preserve">5</w:t>
            </w:r>
          </w:p>
        </w:tc>
        <w:tc>
          <w:tcPr>
            <w:tcW w:type="dxa" w:w="216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0"/>
                <w:szCs w:val="20"/>
              </w:rPr>
              <w:t xml:space="preserve">Contractor uploads after photos</w:t>
            </w:r>
          </w:p>
        </w:tc>
        <w:tc>
          <w:tcPr>
            <w:tcW w:type="dxa" w:w="648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The Contractor uploads after photographs upon completion. The Platform automatically triggers Job completion.</w:t>
            </w:r>
          </w:p>
        </w:tc>
      </w:tr>
      <w:tr>
        <w:tc>
          <w:tcPr>
            <w:tcW w:type="dxa" w:w="7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color w:val="0D9488"/>
                <w:sz w:val="22"/>
                <w:szCs w:val="22"/>
              </w:rPr>
              <w:t xml:space="preserve">6</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7-day review window</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The Homeowner has 7 calendar days to approve or raise a dispute. If no action, auto-release triggers on day 7.</w:t>
            </w:r>
          </w:p>
        </w:tc>
      </w:tr>
      <w:tr>
        <w:tc>
          <w:tcPr>
            <w:tcW w:type="dxa" w:w="7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color w:val="0D9488"/>
                <w:sz w:val="22"/>
                <w:szCs w:val="22"/>
              </w:rPr>
              <w:t xml:space="preserve">7</w:t>
            </w:r>
          </w:p>
        </w:tc>
        <w:tc>
          <w:tcPr>
            <w:tcW w:type="dxa" w:w="216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0"/>
                <w:szCs w:val="20"/>
              </w:rPr>
              <w:t xml:space="preserve">Escrow release</w:t>
            </w:r>
          </w:p>
        </w:tc>
        <w:tc>
          <w:tcPr>
            <w:tcW w:type="dxa" w:w="648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Upon Homeowner approval or auto-release: Escrow status: Held → Release Pending → Released. Platform Fee deducted.</w:t>
            </w:r>
          </w:p>
        </w:tc>
      </w:tr>
      <w:tr>
        <w:tc>
          <w:tcPr>
            <w:tcW w:type="dxa" w:w="7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color w:val="0D9488"/>
                <w:sz w:val="22"/>
                <w:szCs w:val="22"/>
              </w:rPr>
              <w:t xml:space="preserve">8</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Contractor paid</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Net amount transferred to Contractor's Stripe account (typically 2–5 business days).</w:t>
            </w:r>
          </w:p>
        </w:tc>
      </w:tr>
    </w:tbl>
    <w:p>
      <w:pPr>
        <w:spacing w:after="160"/>
      </w:pPr>
      <w:r>
        <w:t xml:space="preserve"/>
      </w:r>
    </w:p>
    <w:p>
      <w:pPr>
        <w:pStyle w:val="Heading1"/>
      </w:pPr>
      <w:r>
        <w:rPr>
          <w:rFonts w:ascii="Arial" w:cs="Arial" w:eastAsia="Arial" w:hAnsi="Arial"/>
          <w:b/>
          <w:bCs/>
          <w:color w:val="1B2A4A"/>
          <w:sz w:val="32"/>
          <w:szCs w:val="32"/>
        </w:rPr>
        <w:t xml:space="preserve">3. Funding Escrow</w:t>
      </w:r>
    </w:p>
    <w:p>
      <w:pPr>
        <w:spacing w:after="160"/>
      </w:pPr>
      <w:r>
        <w:rPr>
          <w:rFonts w:ascii="Arial" w:cs="Arial" w:eastAsia="Arial" w:hAnsi="Arial"/>
          <w:sz w:val="22"/>
          <w:szCs w:val="22"/>
        </w:rPr>
        <w:t xml:space="preserve">3.1  Following Contract execution by both parties, the Homeowner will be presented with a 'Pay Now' button on the Job page.</w:t>
      </w:r>
    </w:p>
    <w:p>
      <w:pPr>
        <w:spacing w:after="160"/>
      </w:pPr>
      <w:r>
        <w:rPr>
          <w:rFonts w:ascii="Arial" w:cs="Arial" w:eastAsia="Arial" w:hAnsi="Arial"/>
          <w:sz w:val="22"/>
          <w:szCs w:val="22"/>
        </w:rPr>
        <w:t xml:space="preserve">3.2  The Homeowner must fund Escrow for the full agreed Job amount before work may commence. The Contractor will be notified once Escrow is funded.</w:t>
      </w:r>
    </w:p>
    <w:p>
      <w:pPr>
        <w:spacing w:after="160"/>
      </w:pPr>
      <w:r>
        <w:rPr>
          <w:rFonts w:ascii="Arial" w:cs="Arial" w:eastAsia="Arial" w:hAnsi="Arial"/>
          <w:sz w:val="22"/>
          <w:szCs w:val="22"/>
        </w:rPr>
        <w:t xml:space="preserve">3.3  Payments are accepted by credit card, debit card, and bank transfer via Stripe. All transactions are processed in GBP.</w:t>
      </w:r>
    </w:p>
    <w:p>
      <w:pPr>
        <w:spacing w:after="160"/>
      </w:pPr>
      <w:r>
        <w:rPr>
          <w:rFonts w:ascii="Arial" w:cs="Arial" w:eastAsia="Arial" w:hAnsi="Arial"/>
          <w:sz w:val="22"/>
          <w:szCs w:val="22"/>
        </w:rPr>
        <w:t xml:space="preserve">3.4  The Homeowner's payment card or bank account will be charged immediately upon submission. Funds are held in Stripe's escrow infrastructure pending release conditions.</w:t>
      </w:r>
    </w:p>
    <w:p>
      <w:pPr>
        <w:spacing w:after="160"/>
      </w:pPr>
      <w:r>
        <w:rPr>
          <w:rFonts w:ascii="Arial" w:cs="Arial" w:eastAsia="Arial" w:hAnsi="Arial"/>
          <w:sz w:val="22"/>
          <w:szCs w:val="22"/>
        </w:rPr>
        <w:t xml:space="preserve">3.5  If Escrow funding fails (e.g., insufficient funds, card decline), the Job cannot proceed. The Homeowner must resolve the payment issue and re-fund Escrow before work commences.</w:t>
      </w:r>
    </w:p>
    <w:p>
      <w:pPr>
        <w:spacing w:after="160"/>
      </w:pPr>
      <w:r>
        <w:t xml:space="preserve"/>
      </w:r>
    </w:p>
    <w:p>
      <w:pPr>
        <w:pStyle w:val="Heading1"/>
      </w:pPr>
      <w:r>
        <w:rPr>
          <w:rFonts w:ascii="Arial" w:cs="Arial" w:eastAsia="Arial" w:hAnsi="Arial"/>
          <w:b/>
          <w:bCs/>
          <w:color w:val="1B2A4A"/>
          <w:sz w:val="32"/>
          <w:szCs w:val="32"/>
        </w:rPr>
        <w:t xml:space="preserve">4. Platform Fee</w:t>
      </w:r>
    </w:p>
    <w:p>
      <w:pPr>
        <w:spacing w:after="160"/>
      </w:pPr>
      <w:r>
        <w:rPr>
          <w:rFonts w:ascii="Arial" w:cs="Arial" w:eastAsia="Arial" w:hAnsi="Arial"/>
          <w:sz w:val="22"/>
          <w:szCs w:val="22"/>
        </w:rPr>
        <w:t xml:space="preserve">4.1  Mintenance Ltd charges a Platform Fee of between 12% and 15% of the agreed Job value (inclusive of VAT where applicable). The applicable rate is displayed to the Contractor before submitting a Bid and to the Homeowner before funding Escrow.</w:t>
      </w:r>
    </w:p>
    <w:p>
      <w:pPr>
        <w:spacing w:after="160"/>
      </w:pPr>
      <w:r>
        <w:rPr>
          <w:rFonts w:ascii="Arial" w:cs="Arial" w:eastAsia="Arial" w:hAnsi="Arial"/>
          <w:sz w:val="22"/>
          <w:szCs w:val="22"/>
        </w:rPr>
        <w:t xml:space="preserve">4.2  The Platform Fee is deducted automatically from Escrow at the point of release. The Contractor receives the net amount (Job value minus Platform Fee).</w:t>
      </w:r>
    </w:p>
    <w:p>
      <w:pPr>
        <w:spacing w:after="160"/>
      </w:pPr>
      <w:r>
        <w:rPr>
          <w:rFonts w:ascii="Arial" w:cs="Arial" w:eastAsia="Arial" w:hAnsi="Arial"/>
          <w:sz w:val="22"/>
          <w:szCs w:val="22"/>
        </w:rPr>
        <w:t xml:space="preserve">4.3  The Homeowner pays the full Job value into Escrow. The Platform Fee is not an additional charge to the Homeowner — it is deducted from the amount passed to the Contractor.</w:t>
      </w:r>
    </w:p>
    <w:p>
      <w:pPr>
        <w:spacing w:after="160"/>
      </w:pPr>
      <w:r>
        <w:rPr>
          <w:rFonts w:ascii="Arial" w:cs="Arial" w:eastAsia="Arial" w:hAnsi="Arial"/>
          <w:sz w:val="22"/>
          <w:szCs w:val="22"/>
        </w:rPr>
        <w:t xml:space="preserve">4.4  Mintenance Ltd reserves the right to modify the Platform Fee on 30 days' written notice.</w:t>
      </w:r>
    </w:p>
    <w:p>
      <w:pPr>
        <w:spacing w:after="160"/>
      </w:pPr>
      <w:r>
        <w:t xml:space="preserve"/>
      </w:r>
    </w:p>
    <w:p>
      <w:pPr>
        <w:pStyle w:val="Heading1"/>
      </w:pPr>
      <w:r>
        <w:rPr>
          <w:rFonts w:ascii="Arial" w:cs="Arial" w:eastAsia="Arial" w:hAnsi="Arial"/>
          <w:b/>
          <w:bCs/>
          <w:color w:val="1B2A4A"/>
          <w:sz w:val="32"/>
          <w:szCs w:val="32"/>
        </w:rPr>
        <w:t xml:space="preserve">5. Escrow Release</w:t>
      </w:r>
    </w:p>
    <w:p>
      <w:pPr>
        <w:pStyle w:val="Heading2"/>
      </w:pPr>
      <w:r>
        <w:rPr>
          <w:rFonts w:ascii="Arial" w:cs="Arial" w:eastAsia="Arial" w:hAnsi="Arial"/>
          <w:b/>
          <w:bCs/>
          <w:color w:val="1B2A4A"/>
          <w:sz w:val="26"/>
          <w:szCs w:val="26"/>
        </w:rPr>
        <w:t xml:space="preserve">5.1  Release on Homeowner Approval</w:t>
      </w:r>
    </w:p>
    <w:p>
      <w:pPr>
        <w:spacing w:after="160"/>
      </w:pPr>
      <w:r>
        <w:rPr>
          <w:rFonts w:ascii="Arial" w:cs="Arial" w:eastAsia="Arial" w:hAnsi="Arial"/>
          <w:sz w:val="22"/>
          <w:szCs w:val="22"/>
        </w:rPr>
        <w:t xml:space="preserve">The Homeowner may approve the completed work at any time during the 7-day review window by clicking 'Approve Work' on the Job page. Upon approval:</w:t>
      </w:r>
    </w:p>
    <w:p>
      <w:pPr>
        <w:pStyle w:val="ListParagraph"/>
        <w:numPr>
          <w:ilvl w:val="0"/>
          <w:numId w:val="2"/>
        </w:numPr>
        <w:spacing w:after="80"/>
      </w:pPr>
      <w:r>
        <w:rPr>
          <w:rFonts w:ascii="Arial" w:cs="Arial" w:eastAsia="Arial" w:hAnsi="Arial"/>
          <w:sz w:val="22"/>
          <w:szCs w:val="22"/>
        </w:rPr>
        <w:t xml:space="preserve">Escrow status changes from 'Held' to 'Release Pending';</w:t>
      </w:r>
    </w:p>
    <w:p>
      <w:pPr>
        <w:pStyle w:val="ListParagraph"/>
        <w:numPr>
          <w:ilvl w:val="0"/>
          <w:numId w:val="2"/>
        </w:numPr>
        <w:spacing w:after="80"/>
      </w:pPr>
      <w:r>
        <w:rPr>
          <w:rFonts w:ascii="Arial" w:cs="Arial" w:eastAsia="Arial" w:hAnsi="Arial"/>
          <w:sz w:val="22"/>
          <w:szCs w:val="22"/>
        </w:rPr>
        <w:t xml:space="preserve">The Platform Fee is calculated and deducted;</w:t>
      </w:r>
    </w:p>
    <w:p>
      <w:pPr>
        <w:pStyle w:val="ListParagraph"/>
        <w:numPr>
          <w:ilvl w:val="0"/>
          <w:numId w:val="2"/>
        </w:numPr>
        <w:spacing w:after="80"/>
      </w:pPr>
      <w:r>
        <w:rPr>
          <w:rFonts w:ascii="Arial" w:cs="Arial" w:eastAsia="Arial" w:hAnsi="Arial"/>
          <w:sz w:val="22"/>
          <w:szCs w:val="22"/>
        </w:rPr>
        <w:t xml:space="preserve">A Stripe Transfer is initiated to the Contractor's connected account;</w:t>
      </w:r>
    </w:p>
    <w:p>
      <w:pPr>
        <w:pStyle w:val="ListParagraph"/>
        <w:numPr>
          <w:ilvl w:val="0"/>
          <w:numId w:val="2"/>
        </w:numPr>
        <w:spacing w:after="80"/>
      </w:pPr>
      <w:r>
        <w:rPr>
          <w:rFonts w:ascii="Arial" w:cs="Arial" w:eastAsia="Arial" w:hAnsi="Arial"/>
          <w:sz w:val="22"/>
          <w:szCs w:val="22"/>
        </w:rPr>
        <w:t xml:space="preserve">Escrow status changes to 'Released'.</w:t>
      </w:r>
    </w:p>
    <w:p>
      <w:pPr>
        <w:pStyle w:val="ListParagraph"/>
        <w:numPr>
          <w:ilvl w:val="0"/>
          <w:numId w:val="2"/>
        </w:numPr>
        <w:spacing w:after="80"/>
      </w:pPr>
      <w:r>
        <w:rPr>
          <w:rFonts w:ascii="Arial" w:cs="Arial" w:eastAsia="Arial" w:hAnsi="Arial"/>
          <w:sz w:val="22"/>
          <w:szCs w:val="22"/>
        </w:rPr>
        <w:t xml:space="preserve">Both parties receive a payment confirmation notification.</w:t>
      </w:r>
    </w:p>
    <w:p>
      <w:pPr>
        <w:pStyle w:val="Heading2"/>
      </w:pPr>
      <w:r>
        <w:rPr>
          <w:rFonts w:ascii="Arial" w:cs="Arial" w:eastAsia="Arial" w:hAnsi="Arial"/>
          <w:b/>
          <w:bCs/>
          <w:color w:val="1B2A4A"/>
          <w:sz w:val="26"/>
          <w:szCs w:val="26"/>
        </w:rPr>
        <w:t xml:space="preserve">5.2  Automatic Release (7-Day Rule)</w:t>
      </w:r>
    </w:p>
    <w:p>
      <w:pPr>
        <w:spacing w:after="160"/>
      </w:pPr>
      <w:r>
        <w:rPr>
          <w:rFonts w:ascii="Arial" w:cs="Arial" w:eastAsia="Arial" w:hAnsi="Arial"/>
          <w:sz w:val="22"/>
          <w:szCs w:val="22"/>
        </w:rPr>
        <w:t xml:space="preserve">If the Homeowner does not approve or dispute the work within 7 calendar days of the Job completion notification:</w:t>
      </w:r>
    </w:p>
    <w:p>
      <w:pPr>
        <w:pStyle w:val="ListParagraph"/>
        <w:numPr>
          <w:ilvl w:val="0"/>
          <w:numId w:val="2"/>
        </w:numPr>
        <w:spacing w:after="80"/>
      </w:pPr>
      <w:r>
        <w:rPr>
          <w:rFonts w:ascii="Arial" w:cs="Arial" w:eastAsia="Arial" w:hAnsi="Arial"/>
          <w:sz w:val="22"/>
          <w:szCs w:val="22"/>
        </w:rPr>
        <w:t xml:space="preserve">Escrow will be automatically released on day 7;</w:t>
      </w:r>
    </w:p>
    <w:p>
      <w:pPr>
        <w:pStyle w:val="ListParagraph"/>
        <w:numPr>
          <w:ilvl w:val="0"/>
          <w:numId w:val="2"/>
        </w:numPr>
        <w:spacing w:after="80"/>
      </w:pPr>
      <w:r>
        <w:rPr>
          <w:rFonts w:ascii="Arial" w:cs="Arial" w:eastAsia="Arial" w:hAnsi="Arial"/>
          <w:sz w:val="22"/>
          <w:szCs w:val="22"/>
        </w:rPr>
        <w:t xml:space="preserve">This automatic release constitutes deemed acceptance of the completed work;</w:t>
      </w:r>
    </w:p>
    <w:p>
      <w:pPr>
        <w:pStyle w:val="ListParagraph"/>
        <w:numPr>
          <w:ilvl w:val="0"/>
          <w:numId w:val="2"/>
        </w:numPr>
        <w:spacing w:after="80"/>
      </w:pPr>
      <w:r>
        <w:rPr>
          <w:rFonts w:ascii="Arial" w:cs="Arial" w:eastAsia="Arial" w:hAnsi="Arial"/>
          <w:sz w:val="22"/>
          <w:szCs w:val="22"/>
        </w:rPr>
        <w:t xml:space="preserve">The same deduction and transfer process applies as for manual approval.</w:t>
      </w:r>
    </w:p>
    <w:p>
      <w:pPr>
        <w:pStyle w:val="Heading2"/>
      </w:pPr>
      <w:r>
        <w:rPr>
          <w:rFonts w:ascii="Arial" w:cs="Arial" w:eastAsia="Arial" w:hAnsi="Arial"/>
          <w:b/>
          <w:bCs/>
          <w:color w:val="1B2A4A"/>
          <w:sz w:val="26"/>
          <w:szCs w:val="26"/>
        </w:rPr>
        <w:t xml:space="preserve">5.3  Release on Dispute Resolution</w:t>
      </w:r>
    </w:p>
    <w:p>
      <w:pPr>
        <w:spacing w:after="160"/>
      </w:pPr>
      <w:r>
        <w:rPr>
          <w:rFonts w:ascii="Arial" w:cs="Arial" w:eastAsia="Arial" w:hAnsi="Arial"/>
          <w:sz w:val="22"/>
          <w:szCs w:val="22"/>
        </w:rPr>
        <w:t xml:space="preserve">If a dispute is raised and subsequently resolved (see Clause 6), Escrow will be released in accordance with the resolution outcome, which may result in:</w:t>
      </w:r>
    </w:p>
    <w:p>
      <w:pPr>
        <w:pStyle w:val="ListParagraph"/>
        <w:numPr>
          <w:ilvl w:val="0"/>
          <w:numId w:val="2"/>
        </w:numPr>
        <w:spacing w:after="80"/>
      </w:pPr>
      <w:r>
        <w:rPr>
          <w:rFonts w:ascii="Arial" w:cs="Arial" w:eastAsia="Arial" w:hAnsi="Arial"/>
          <w:sz w:val="22"/>
          <w:szCs w:val="22"/>
        </w:rPr>
        <w:t xml:space="preserve">Full release to the Contractor;</w:t>
      </w:r>
    </w:p>
    <w:p>
      <w:pPr>
        <w:pStyle w:val="ListParagraph"/>
        <w:numPr>
          <w:ilvl w:val="0"/>
          <w:numId w:val="2"/>
        </w:numPr>
        <w:spacing w:after="80"/>
      </w:pPr>
      <w:r>
        <w:rPr>
          <w:rFonts w:ascii="Arial" w:cs="Arial" w:eastAsia="Arial" w:hAnsi="Arial"/>
          <w:sz w:val="22"/>
          <w:szCs w:val="22"/>
        </w:rPr>
        <w:t xml:space="preserve">Full refund to the Homeowner;</w:t>
      </w:r>
    </w:p>
    <w:p>
      <w:pPr>
        <w:pStyle w:val="ListParagraph"/>
        <w:numPr>
          <w:ilvl w:val="0"/>
          <w:numId w:val="2"/>
        </w:numPr>
        <w:spacing w:after="80"/>
      </w:pPr>
      <w:r>
        <w:rPr>
          <w:rFonts w:ascii="Arial" w:cs="Arial" w:eastAsia="Arial" w:hAnsi="Arial"/>
          <w:sz w:val="22"/>
          <w:szCs w:val="22"/>
        </w:rPr>
        <w:t xml:space="preserve">A partial split as agreed or determined by Mintenance Ltd.</w:t>
      </w:r>
    </w:p>
    <w:p>
      <w:pPr>
        <w:spacing w:after="160"/>
      </w:pPr>
      <w:r>
        <w:t xml:space="preserve"/>
      </w:r>
    </w:p>
    <w:p>
      <w:pPr>
        <w:pStyle w:val="Heading1"/>
      </w:pPr>
      <w:r>
        <w:rPr>
          <w:rFonts w:ascii="Arial" w:cs="Arial" w:eastAsia="Arial" w:hAnsi="Arial"/>
          <w:b/>
          <w:bCs/>
          <w:color w:val="1B2A4A"/>
          <w:sz w:val="32"/>
          <w:szCs w:val="32"/>
        </w:rPr>
        <w:t xml:space="preserve">6. Disputes and Escrow Freeze</w:t>
      </w:r>
    </w:p>
    <w:p>
      <w:pPr>
        <w:spacing w:after="160"/>
      </w:pPr>
      <w:r>
        <w:rPr>
          <w:rFonts w:ascii="Arial" w:cs="Arial" w:eastAsia="Arial" w:hAnsi="Arial"/>
          <w:sz w:val="22"/>
          <w:szCs w:val="22"/>
        </w:rPr>
        <w:t xml:space="preserve">6.1  A Homeowner may raise a dispute during the 7-day review window by selecting 'Request Changes' on the Job page and providing written reasons.</w:t>
      </w:r>
    </w:p>
    <w:p>
      <w:pPr>
        <w:spacing w:after="160"/>
      </w:pPr>
      <w:r>
        <w:rPr>
          <w:rFonts w:ascii="Arial" w:cs="Arial" w:eastAsia="Arial" w:hAnsi="Arial"/>
          <w:sz w:val="22"/>
          <w:szCs w:val="22"/>
        </w:rPr>
        <w:t xml:space="preserve">6.2  Upon receipt of a valid dispute notification:</w:t>
      </w:r>
    </w:p>
    <w:p>
      <w:pPr>
        <w:pStyle w:val="ListParagraph"/>
        <w:numPr>
          <w:ilvl w:val="0"/>
          <w:numId w:val="2"/>
        </w:numPr>
        <w:spacing w:after="80"/>
      </w:pPr>
      <w:r>
        <w:rPr>
          <w:rFonts w:ascii="Arial" w:cs="Arial" w:eastAsia="Arial" w:hAnsi="Arial"/>
          <w:sz w:val="22"/>
          <w:szCs w:val="22"/>
        </w:rPr>
        <w:t xml:space="preserve">Escrow is immediately frozen — no funds will be released until the dispute is resolved;</w:t>
      </w:r>
    </w:p>
    <w:p>
      <w:pPr>
        <w:pStyle w:val="ListParagraph"/>
        <w:numPr>
          <w:ilvl w:val="0"/>
          <w:numId w:val="2"/>
        </w:numPr>
        <w:spacing w:after="80"/>
      </w:pPr>
      <w:r>
        <w:rPr>
          <w:rFonts w:ascii="Arial" w:cs="Arial" w:eastAsia="Arial" w:hAnsi="Arial"/>
          <w:sz w:val="22"/>
          <w:szCs w:val="22"/>
        </w:rPr>
        <w:t xml:space="preserve">The Contractor is notified of the dispute and provided with the Homeowner's comments;</w:t>
      </w:r>
    </w:p>
    <w:p>
      <w:pPr>
        <w:pStyle w:val="ListParagraph"/>
        <w:numPr>
          <w:ilvl w:val="0"/>
          <w:numId w:val="2"/>
        </w:numPr>
        <w:spacing w:after="80"/>
      </w:pPr>
      <w:r>
        <w:rPr>
          <w:rFonts w:ascii="Arial" w:cs="Arial" w:eastAsia="Arial" w:hAnsi="Arial"/>
          <w:sz w:val="22"/>
          <w:szCs w:val="22"/>
        </w:rPr>
        <w:t xml:space="preserve">A dispute resolution period of 14 calendar days commences.</w:t>
      </w:r>
    </w:p>
    <w:p>
      <w:pPr>
        <w:spacing w:after="160"/>
      </w:pPr>
      <w:r>
        <w:rPr>
          <w:rFonts w:ascii="Arial" w:cs="Arial" w:eastAsia="Arial" w:hAnsi="Arial"/>
          <w:sz w:val="22"/>
          <w:szCs w:val="22"/>
        </w:rPr>
        <w:t xml:space="preserve">6.3  During the dispute resolution period, both parties are expected to communicate through the Platform to reach an agreed resolution.</w:t>
      </w:r>
    </w:p>
    <w:p>
      <w:pPr>
        <w:spacing w:after="160"/>
      </w:pPr>
      <w:r>
        <w:rPr>
          <w:rFonts w:ascii="Arial" w:cs="Arial" w:eastAsia="Arial" w:hAnsi="Arial"/>
          <w:sz w:val="22"/>
          <w:szCs w:val="22"/>
        </w:rPr>
        <w:t xml:space="preserve">6.4  If the parties reach agreement, they must notify Mintenance Ltd and Escrow will be released accordingly.</w:t>
      </w:r>
    </w:p>
    <w:p>
      <w:pPr>
        <w:spacing w:after="160"/>
      </w:pPr>
      <w:r>
        <w:rPr>
          <w:rFonts w:ascii="Arial" w:cs="Arial" w:eastAsia="Arial" w:hAnsi="Arial"/>
          <w:sz w:val="22"/>
          <w:szCs w:val="22"/>
        </w:rPr>
        <w:t xml:space="preserve">6.5  If no agreement is reached within 14 days, Mintenance Ltd will make a binding determination based on:</w:t>
      </w:r>
    </w:p>
    <w:p>
      <w:pPr>
        <w:pStyle w:val="ListParagraph"/>
        <w:numPr>
          <w:ilvl w:val="0"/>
          <w:numId w:val="2"/>
        </w:numPr>
        <w:spacing w:after="80"/>
      </w:pPr>
      <w:r>
        <w:rPr>
          <w:rFonts w:ascii="Arial" w:cs="Arial" w:eastAsia="Arial" w:hAnsi="Arial"/>
          <w:sz w:val="22"/>
          <w:szCs w:val="22"/>
        </w:rPr>
        <w:t xml:space="preserve">The signed Contract terms;</w:t>
      </w:r>
    </w:p>
    <w:p>
      <w:pPr>
        <w:pStyle w:val="ListParagraph"/>
        <w:numPr>
          <w:ilvl w:val="0"/>
          <w:numId w:val="2"/>
        </w:numPr>
        <w:spacing w:after="80"/>
      </w:pPr>
      <w:r>
        <w:rPr>
          <w:rFonts w:ascii="Arial" w:cs="Arial" w:eastAsia="Arial" w:hAnsi="Arial"/>
          <w:sz w:val="22"/>
          <w:szCs w:val="22"/>
        </w:rPr>
        <w:t xml:space="preserve">Before and after Photo Evidence;</w:t>
      </w:r>
    </w:p>
    <w:p>
      <w:pPr>
        <w:pStyle w:val="ListParagraph"/>
        <w:numPr>
          <w:ilvl w:val="0"/>
          <w:numId w:val="2"/>
        </w:numPr>
        <w:spacing w:after="80"/>
      </w:pPr>
      <w:r>
        <w:rPr>
          <w:rFonts w:ascii="Arial" w:cs="Arial" w:eastAsia="Arial" w:hAnsi="Arial"/>
          <w:sz w:val="22"/>
          <w:szCs w:val="22"/>
        </w:rPr>
        <w:t xml:space="preserve">Platform communications between the parties;</w:t>
      </w:r>
    </w:p>
    <w:p>
      <w:pPr>
        <w:pStyle w:val="ListParagraph"/>
        <w:numPr>
          <w:ilvl w:val="0"/>
          <w:numId w:val="2"/>
        </w:numPr>
        <w:spacing w:after="80"/>
      </w:pPr>
      <w:r>
        <w:rPr>
          <w:rFonts w:ascii="Arial" w:cs="Arial" w:eastAsia="Arial" w:hAnsi="Arial"/>
          <w:sz w:val="22"/>
          <w:szCs w:val="22"/>
        </w:rPr>
        <w:t xml:space="preserve">Any additional evidence submitted by either party.</w:t>
      </w:r>
    </w:p>
    <w:p>
      <w:pPr>
        <w:spacing w:after="160"/>
      </w:pPr>
      <w:r>
        <w:rPr>
          <w:rFonts w:ascii="Arial" w:cs="Arial" w:eastAsia="Arial" w:hAnsi="Arial"/>
          <w:sz w:val="22"/>
          <w:szCs w:val="22"/>
        </w:rPr>
        <w:t xml:space="preserve">6.6  Mintenance Ltd's determination in a dispute is final and binding on both parties, save where either party elects to pursue the matter through ADR or the courts (which will not suspend Escrow release based on our determination).</w:t>
      </w:r>
    </w:p>
    <w:p>
      <w:pPr>
        <w:spacing w:after="160"/>
      </w:pPr>
      <w:r>
        <w:rPr>
          <w:rFonts w:ascii="Arial" w:cs="Arial" w:eastAsia="Arial" w:hAnsi="Arial"/>
          <w:sz w:val="22"/>
          <w:szCs w:val="22"/>
        </w:rPr>
        <w:t xml:space="preserve">6.7  Mintenance Ltd reserves the right to charge a dispute administration fee of £50 to the party found to have raised an unmeritorious dispute.</w:t>
      </w:r>
    </w:p>
    <w:p>
      <w:pPr>
        <w:spacing w:after="160"/>
      </w:pPr>
      <w:r>
        <w:t xml:space="preserve"/>
      </w:r>
    </w:p>
    <w:p>
      <w:pPr>
        <w:pStyle w:val="Heading1"/>
      </w:pPr>
      <w:r>
        <w:rPr>
          <w:rFonts w:ascii="Arial" w:cs="Arial" w:eastAsia="Arial" w:hAnsi="Arial"/>
          <w:b/>
          <w:bCs/>
          <w:color w:val="1B2A4A"/>
          <w:sz w:val="32"/>
          <w:szCs w:val="32"/>
        </w:rPr>
        <w:t xml:space="preserve">7. Refunds</w:t>
      </w:r>
    </w:p>
    <w:p>
      <w:pPr>
        <w:spacing w:after="160"/>
      </w:pPr>
      <w:r>
        <w:rPr>
          <w:rFonts w:ascii="Arial" w:cs="Arial" w:eastAsia="Arial" w:hAnsi="Arial"/>
          <w:sz w:val="22"/>
          <w:szCs w:val="22"/>
        </w:rPr>
        <w:t xml:space="preserve">7.1  A Homeowner may request a full refund of Escrow funds in the following circumstances:</w:t>
      </w:r>
    </w:p>
    <w:p>
      <w:pPr>
        <w:pStyle w:val="ListParagraph"/>
        <w:numPr>
          <w:ilvl w:val="0"/>
          <w:numId w:val="2"/>
        </w:numPr>
        <w:spacing w:after="80"/>
      </w:pPr>
      <w:r>
        <w:rPr>
          <w:rFonts w:ascii="Arial" w:cs="Arial" w:eastAsia="Arial" w:hAnsi="Arial"/>
          <w:sz w:val="22"/>
          <w:szCs w:val="22"/>
        </w:rPr>
        <w:t xml:space="preserve">The Contractor cancels the Job after Escrow is funded but before work commences;</w:t>
      </w:r>
    </w:p>
    <w:p>
      <w:pPr>
        <w:pStyle w:val="ListParagraph"/>
        <w:numPr>
          <w:ilvl w:val="0"/>
          <w:numId w:val="2"/>
        </w:numPr>
        <w:spacing w:after="80"/>
      </w:pPr>
      <w:r>
        <w:rPr>
          <w:rFonts w:ascii="Arial" w:cs="Arial" w:eastAsia="Arial" w:hAnsi="Arial"/>
          <w:sz w:val="22"/>
          <w:szCs w:val="22"/>
        </w:rPr>
        <w:t xml:space="preserve">The Contractor fails to attend the Job site on the agreed date without notice;</w:t>
      </w:r>
    </w:p>
    <w:p>
      <w:pPr>
        <w:pStyle w:val="ListParagraph"/>
        <w:numPr>
          <w:ilvl w:val="0"/>
          <w:numId w:val="2"/>
        </w:numPr>
        <w:spacing w:after="80"/>
      </w:pPr>
      <w:r>
        <w:rPr>
          <w:rFonts w:ascii="Arial" w:cs="Arial" w:eastAsia="Arial" w:hAnsi="Arial"/>
          <w:sz w:val="22"/>
          <w:szCs w:val="22"/>
        </w:rPr>
        <w:t xml:space="preserve">The Job is cancelled by mutual agreement of both parties.</w:t>
      </w:r>
    </w:p>
    <w:p>
      <w:pPr>
        <w:spacing w:after="160"/>
      </w:pPr>
      <w:r>
        <w:rPr>
          <w:rFonts w:ascii="Arial" w:cs="Arial" w:eastAsia="Arial" w:hAnsi="Arial"/>
          <w:sz w:val="22"/>
          <w:szCs w:val="22"/>
        </w:rPr>
        <w:t xml:space="preserve">7.2  Refunds will be processed to the original payment method within 5–10 business days.</w:t>
      </w:r>
    </w:p>
    <w:p>
      <w:pPr>
        <w:spacing w:after="160"/>
      </w:pPr>
      <w:r>
        <w:rPr>
          <w:rFonts w:ascii="Arial" w:cs="Arial" w:eastAsia="Arial" w:hAnsi="Arial"/>
          <w:sz w:val="22"/>
          <w:szCs w:val="22"/>
        </w:rPr>
        <w:t xml:space="preserve">7.3  Mintenance Ltd does not provide refunds for completed work unless directed to do so through the dispute resolution process.</w:t>
      </w:r>
    </w:p>
    <w:p>
      <w:pPr>
        <w:spacing w:after="160"/>
      </w:pPr>
      <w:r>
        <w:rPr>
          <w:rFonts w:ascii="Arial" w:cs="Arial" w:eastAsia="Arial" w:hAnsi="Arial"/>
          <w:sz w:val="22"/>
          <w:szCs w:val="22"/>
        </w:rPr>
        <w:t xml:space="preserve">7.4  Transaction fees charged by Stripe are non-refundable in all circumstances.</w:t>
      </w:r>
    </w:p>
    <w:p>
      <w:pPr>
        <w:spacing w:after="160"/>
      </w:pPr>
      <w:r>
        <w:t xml:space="preserve"/>
      </w:r>
    </w:p>
    <w:p>
      <w:pPr>
        <w:pStyle w:val="Heading1"/>
      </w:pPr>
      <w:r>
        <w:rPr>
          <w:rFonts w:ascii="Arial" w:cs="Arial" w:eastAsia="Arial" w:hAnsi="Arial"/>
          <w:b/>
          <w:bCs/>
          <w:color w:val="1B2A4A"/>
          <w:sz w:val="32"/>
          <w:szCs w:val="32"/>
        </w:rPr>
        <w:t xml:space="preserve">8. Chargebacks and Payment Reversals</w:t>
      </w:r>
    </w:p>
    <w:p>
      <w:pPr>
        <w:spacing w:after="160"/>
      </w:pPr>
      <w:r>
        <w:rPr>
          <w:rFonts w:ascii="Arial" w:cs="Arial" w:eastAsia="Arial" w:hAnsi="Arial"/>
          <w:sz w:val="22"/>
          <w:szCs w:val="22"/>
        </w:rPr>
        <w:t xml:space="preserve">8.1  If a Homeowner initiates a chargeback or payment reversal with their bank or card issuer in respect of an Escrow payment, Mintenance Ltd reserves the right to:</w:t>
      </w:r>
    </w:p>
    <w:p>
      <w:pPr>
        <w:pStyle w:val="ListParagraph"/>
        <w:numPr>
          <w:ilvl w:val="0"/>
          <w:numId w:val="2"/>
        </w:numPr>
        <w:spacing w:after="80"/>
      </w:pPr>
      <w:r>
        <w:rPr>
          <w:rFonts w:ascii="Arial" w:cs="Arial" w:eastAsia="Arial" w:hAnsi="Arial"/>
          <w:sz w:val="22"/>
          <w:szCs w:val="22"/>
        </w:rPr>
        <w:t xml:space="preserve">withhold any pending Contractor payments until the chargeback is resolved;</w:t>
      </w:r>
    </w:p>
    <w:p>
      <w:pPr>
        <w:pStyle w:val="ListParagraph"/>
        <w:numPr>
          <w:ilvl w:val="0"/>
          <w:numId w:val="2"/>
        </w:numPr>
        <w:spacing w:after="80"/>
      </w:pPr>
      <w:r>
        <w:rPr>
          <w:rFonts w:ascii="Arial" w:cs="Arial" w:eastAsia="Arial" w:hAnsi="Arial"/>
          <w:sz w:val="22"/>
          <w:szCs w:val="22"/>
        </w:rPr>
        <w:t xml:space="preserve">debit the disputed amount from future payments to the Contractor if the chargeback arises from Contractor fraud or non-performance;</w:t>
      </w:r>
    </w:p>
    <w:p>
      <w:pPr>
        <w:pStyle w:val="ListParagraph"/>
        <w:numPr>
          <w:ilvl w:val="0"/>
          <w:numId w:val="2"/>
        </w:numPr>
        <w:spacing w:after="80"/>
      </w:pPr>
      <w:r>
        <w:rPr>
          <w:rFonts w:ascii="Arial" w:cs="Arial" w:eastAsia="Arial" w:hAnsi="Arial"/>
          <w:sz w:val="22"/>
          <w:szCs w:val="22"/>
        </w:rPr>
        <w:t xml:space="preserve">suspend either or both accounts pending investigation.</w:t>
      </w:r>
    </w:p>
    <w:p>
      <w:pPr>
        <w:spacing w:after="160"/>
      </w:pPr>
      <w:r>
        <w:rPr>
          <w:rFonts w:ascii="Arial" w:cs="Arial" w:eastAsia="Arial" w:hAnsi="Arial"/>
          <w:sz w:val="22"/>
          <w:szCs w:val="22"/>
        </w:rPr>
        <w:t xml:space="preserve">8.2  Homeowners are reminded that initiating a chargeback where work has been completed in accordance with the Contract may constitute a breach of these Terms.</w:t>
      </w:r>
    </w:p>
    <w:p>
      <w:pPr>
        <w:spacing w:after="160"/>
      </w:pPr>
      <w:r>
        <w:t xml:space="preserve"/>
      </w:r>
    </w:p>
    <w:p>
      <w:pPr>
        <w:pStyle w:val="Heading1"/>
      </w:pPr>
      <w:r>
        <w:rPr>
          <w:rFonts w:ascii="Arial" w:cs="Arial" w:eastAsia="Arial" w:hAnsi="Arial"/>
          <w:b/>
          <w:bCs/>
          <w:color w:val="1B2A4A"/>
          <w:sz w:val="32"/>
          <w:szCs w:val="32"/>
        </w:rPr>
        <w:t xml:space="preserve">9. Currency and Transaction Costs</w:t>
      </w:r>
    </w:p>
    <w:p>
      <w:pPr>
        <w:spacing w:after="160"/>
      </w:pPr>
      <w:r>
        <w:rPr>
          <w:rFonts w:ascii="Arial" w:cs="Arial" w:eastAsia="Arial" w:hAnsi="Arial"/>
          <w:sz w:val="22"/>
          <w:szCs w:val="22"/>
        </w:rPr>
        <w:t xml:space="preserve">9.1  All transactions are processed in GBP (British Pounds Sterling).</w:t>
      </w:r>
    </w:p>
    <w:p>
      <w:pPr>
        <w:spacing w:after="160"/>
      </w:pPr>
      <w:r>
        <w:rPr>
          <w:rFonts w:ascii="Arial" w:cs="Arial" w:eastAsia="Arial" w:hAnsi="Arial"/>
          <w:sz w:val="22"/>
          <w:szCs w:val="22"/>
        </w:rPr>
        <w:t xml:space="preserve">9.2  Mintenance Ltd is not responsible for any currency conversion fees, foreign transaction charges, or exchange rate costs imposed by your bank or card issuer.</w:t>
      </w:r>
    </w:p>
    <w:p>
      <w:pPr>
        <w:spacing w:after="160"/>
      </w:pPr>
      <w:r>
        <w:rPr>
          <w:rFonts w:ascii="Arial" w:cs="Arial" w:eastAsia="Arial" w:hAnsi="Arial"/>
          <w:sz w:val="22"/>
          <w:szCs w:val="22"/>
        </w:rPr>
        <w:t xml:space="preserve">9.3  Stripe may charge card processing fees, which are incorporated into the Platform Fee structure. No separate transaction fee is charged to Homeowners.</w:t>
      </w:r>
    </w:p>
    <w:p>
      <w:pPr>
        <w:spacing w:after="160"/>
      </w:pPr>
      <w:r>
        <w:t xml:space="preserve"/>
      </w:r>
    </w:p>
    <w:p>
      <w:pPr>
        <w:pStyle w:val="Heading1"/>
      </w:pPr>
      <w:r>
        <w:rPr>
          <w:rFonts w:ascii="Arial" w:cs="Arial" w:eastAsia="Arial" w:hAnsi="Arial"/>
          <w:b/>
          <w:bCs/>
          <w:color w:val="1B2A4A"/>
          <w:sz w:val="32"/>
          <w:szCs w:val="32"/>
        </w:rPr>
        <w:t xml:space="preserve">10. VAT and Tax</w:t>
      </w:r>
    </w:p>
    <w:p>
      <w:pPr>
        <w:spacing w:after="160"/>
      </w:pPr>
      <w:r>
        <w:rPr>
          <w:rFonts w:ascii="Arial" w:cs="Arial" w:eastAsia="Arial" w:hAnsi="Arial"/>
          <w:sz w:val="22"/>
          <w:szCs w:val="22"/>
        </w:rPr>
        <w:t xml:space="preserve">10.1  Mintenance Ltd charges the Platform Fee plus VAT where applicable, in accordance with HMRC requirements.</w:t>
      </w:r>
    </w:p>
    <w:p>
      <w:pPr>
        <w:spacing w:after="160"/>
      </w:pPr>
      <w:r>
        <w:rPr>
          <w:rFonts w:ascii="Arial" w:cs="Arial" w:eastAsia="Arial" w:hAnsi="Arial"/>
          <w:sz w:val="22"/>
          <w:szCs w:val="22"/>
        </w:rPr>
        <w:t xml:space="preserve">10.2  Contractors are solely responsible for accounting for their own VAT obligations (if registered or required to be registered) and income tax on earnings received through the Platform.</w:t>
      </w:r>
    </w:p>
    <w:p>
      <w:pPr>
        <w:spacing w:after="160"/>
      </w:pPr>
      <w:r>
        <w:rPr>
          <w:rFonts w:ascii="Arial" w:cs="Arial" w:eastAsia="Arial" w:hAnsi="Arial"/>
          <w:sz w:val="22"/>
          <w:szCs w:val="22"/>
        </w:rPr>
        <w:t xml:space="preserve">10.3  Mintenance Ltd will issue annual earnings statements to Contractors to assist with tax reporting, but this does not constitute tax advice.</w:t>
      </w:r>
    </w:p>
    <w:p>
      <w:pPr>
        <w:spacing w:after="160"/>
      </w:pPr>
      <w:r>
        <w:t xml:space="preserve"/>
      </w:r>
    </w:p>
    <w:p>
      <w:pPr>
        <w:pStyle w:val="Heading1"/>
      </w:pPr>
      <w:r>
        <w:rPr>
          <w:rFonts w:ascii="Arial" w:cs="Arial" w:eastAsia="Arial" w:hAnsi="Arial"/>
          <w:b/>
          <w:bCs/>
          <w:color w:val="1B2A4A"/>
          <w:sz w:val="32"/>
          <w:szCs w:val="32"/>
        </w:rPr>
        <w:t xml:space="preserve">11. Stripe and Third-Party Payment Processing</w:t>
      </w:r>
    </w:p>
    <w:p>
      <w:pPr>
        <w:spacing w:after="160"/>
      </w:pPr>
      <w:r>
        <w:rPr>
          <w:rFonts w:ascii="Arial" w:cs="Arial" w:eastAsia="Arial" w:hAnsi="Arial"/>
          <w:sz w:val="22"/>
          <w:szCs w:val="22"/>
        </w:rPr>
        <w:t xml:space="preserve">11.1  Payment services on the Platform are provided by Stripe, Inc. By using the payment features of the Platform, you agree to Stripe's Services Agreement available at stripe.com/legal.</w:t>
      </w:r>
    </w:p>
    <w:p>
      <w:pPr>
        <w:spacing w:after="160"/>
      </w:pPr>
      <w:r>
        <w:rPr>
          <w:rFonts w:ascii="Arial" w:cs="Arial" w:eastAsia="Arial" w:hAnsi="Arial"/>
          <w:sz w:val="22"/>
          <w:szCs w:val="22"/>
        </w:rPr>
        <w:t xml:space="preserve">11.2  Mintenance Ltd does not store full payment card numbers. All card data is handled securely by Stripe in accordance with PCI DSS standards.</w:t>
      </w:r>
    </w:p>
    <w:p>
      <w:pPr>
        <w:spacing w:after="160"/>
      </w:pPr>
      <w:r>
        <w:rPr>
          <w:rFonts w:ascii="Arial" w:cs="Arial" w:eastAsia="Arial" w:hAnsi="Arial"/>
          <w:sz w:val="22"/>
          <w:szCs w:val="22"/>
        </w:rPr>
        <w:t xml:space="preserve">11.3  In the event of any payment system failure or outage by Stripe, Mintenance Ltd will endeavour to notify affected users promptly. Mintenance Ltd is not liable for losses arising from Stripe service interruptions.</w:t>
      </w:r>
    </w:p>
    <w:p>
      <w:pPr>
        <w:spacing w:after="160"/>
      </w:pPr>
      <w:r>
        <w:t xml:space="preserve"/>
      </w:r>
    </w:p>
    <w:p>
      <w:pPr>
        <w:pStyle w:val="Heading1"/>
      </w:pPr>
      <w:r>
        <w:rPr>
          <w:rFonts w:ascii="Arial" w:cs="Arial" w:eastAsia="Arial" w:hAnsi="Arial"/>
          <w:b/>
          <w:bCs/>
          <w:color w:val="1B2A4A"/>
          <w:sz w:val="32"/>
          <w:szCs w:val="32"/>
        </w:rPr>
        <w:t xml:space="preserve">12. Changes to These Terms</w:t>
      </w:r>
    </w:p>
    <w:p>
      <w:pPr>
        <w:spacing w:after="160"/>
      </w:pPr>
      <w:r>
        <w:rPr>
          <w:rFonts w:ascii="Arial" w:cs="Arial" w:eastAsia="Arial" w:hAnsi="Arial"/>
          <w:sz w:val="22"/>
          <w:szCs w:val="22"/>
        </w:rPr>
        <w:t xml:space="preserve">Mintenance Ltd may update these Escrow and Payment Terms at any time, giving not less than 30 days' written notice. Updated terms apply to Jobs posted after the effective date.</w:t>
      </w:r>
    </w:p>
    <w:p>
      <w:pPr>
        <w:spacing w:after="160"/>
      </w:pPr>
      <w:r>
        <w:t xml:space="preserve"/>
      </w:r>
    </w:p>
    <w:p>
      <w:pPr>
        <w:pStyle w:val="Heading1"/>
      </w:pPr>
      <w:r>
        <w:rPr>
          <w:rFonts w:ascii="Arial" w:cs="Arial" w:eastAsia="Arial" w:hAnsi="Arial"/>
          <w:b/>
          <w:bCs/>
          <w:color w:val="1B2A4A"/>
          <w:sz w:val="32"/>
          <w:szCs w:val="32"/>
        </w:rPr>
        <w:t xml:space="preserve">13. Governing Law</w:t>
      </w:r>
    </w:p>
    <w:p>
      <w:pPr>
        <w:spacing w:after="160"/>
      </w:pPr>
      <w:r>
        <w:rPr>
          <w:rFonts w:ascii="Arial" w:cs="Arial" w:eastAsia="Arial" w:hAnsi="Arial"/>
          <w:sz w:val="22"/>
          <w:szCs w:val="22"/>
        </w:rPr>
        <w:t xml:space="preserve">These Escrow and Payment Terms are governed by the laws of England and Wales. Any disputes shall be subject to the exclusive jurisdiction of the courts of England and Wales.</w:t>
      </w:r>
    </w:p>
    <w:p>
      <w:pPr>
        <w:spacing w:after="160"/>
      </w:pPr>
      <w:r>
        <w:t xml:space="preserve"/>
      </w:r>
    </w:p>
    <w:p>
      <w:pPr>
        <w:pStyle w:val="Heading1"/>
      </w:pPr>
      <w:r>
        <w:rPr>
          <w:rFonts w:ascii="Arial" w:cs="Arial" w:eastAsia="Arial" w:hAnsi="Arial"/>
          <w:b/>
          <w:bCs/>
          <w:color w:val="1B2A4A"/>
          <w:sz w:val="32"/>
          <w:szCs w:val="32"/>
        </w:rPr>
        <w:t xml:space="preserve">14.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4"/>
              <w:bottom w:val="single" w:color="E2E8F0" w:sz="4"/>
              <w:right w:val="single" w:color="E2E8F0" w:sz="4"/>
            </w:tcBorders>
            <w:shd w:fill="F5F7FA" w:val="clear"/>
            <w:tcMar>
              <w:top w:type="dxa" w:w="120"/>
              <w:left w:type="dxa" w:w="200"/>
              <w:bottom w:type="dxa" w:w="120"/>
              <w:right w:type="dxa" w:w="200"/>
            </w:tcMar>
          </w:tcPr>
          <w:p>
            <w:pPr>
              <w:spacing w:after="60"/>
            </w:pPr>
            <w:r>
              <w:rPr>
                <w:rFonts w:ascii="Arial" w:cs="Arial" w:eastAsia="Arial" w:hAnsi="Arial"/>
                <w:b/>
                <w:bCs/>
                <w:color w:val="0D9488"/>
                <w:sz w:val="20"/>
                <w:szCs w:val="20"/>
              </w:rPr>
              <w:t xml:space="preserve">Mintenance Ltd — Payments</w:t>
            </w:r>
          </w:p>
          <w:p>
            <w:pPr>
              <w:spacing w:after="0"/>
            </w:pPr>
            <w:r>
              <w:rPr>
                <w:rFonts w:ascii="Arial" w:cs="Arial" w:eastAsia="Arial" w:hAnsi="Arial"/>
                <w:color w:val="374151"/>
                <w:sz w:val="20"/>
                <w:szCs w:val="20"/>
              </w:rPr>
              <w:t xml:space="preserve">For payment queries: legal@mintenance.co.uk  |  Website: www.mintenance.co.uk</w:t>
            </w:r>
          </w:p>
        </w:tc>
      </w:tr>
    </w:tbl>
    <w:p>
      <w:pPr>
        <w:spacing w:after="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026"/>
      </w:tabs>
      <w:spacing w:before="80"/>
    </w:pPr>
    <w:r>
      <w:rPr>
        <w:rFonts w:ascii="Arial" w:cs="Arial" w:eastAsia="Arial" w:hAnsi="Arial"/>
        <w:color w:val="9CA3AF"/>
        <w:sz w:val="16"/>
        <w:szCs w:val="16"/>
      </w:rPr>
      <w:t xml:space="preserve">Escrow &amp; Payment Terms  —  www.mintenance.co.uk  —  legal@mintenance.co.uk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6"/>
      </w:pBdr>
      <w:tabs>
        <w:tab w:val="right" w:pos="9026"/>
      </w:tabs>
      <w:spacing w:after="120"/>
    </w:pPr>
    <w:r>
      <w:rPr>
        <w:rFonts w:ascii="Arial" w:cs="Arial" w:eastAsia="Arial" w:hAnsi="Arial"/>
        <w:color w:val="6B7280"/>
        <w:sz w:val="18"/>
        <w:szCs w:val="18"/>
      </w:rPr>
      <w:t xml:space="preserve">Mintenance Ltd  |  Escrow &amp; Payment Terms</w:t>
    </w:r>
    <w:r>
      <w:t xml:space="preserve">	</w:t>
    </w:r>
    <w:r>
      <w:rPr>
        <w:rFonts w:ascii="Arial" w:cs="Arial" w:eastAsia="Arial" w:hAnsi="Arial"/>
        <w:color w:val="6B7280"/>
        <w:sz w:val="18"/>
        <w:szCs w:val="18"/>
      </w:rPr>
      <w:t xml:space="preserve">v1.0  |  26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2026-02-26T15:38:56.801Z</dcterms:created>
  <dcterms:modified xsi:type="dcterms:W3CDTF">2026-02-26T15:38:56.801Z</dcterms:modified>
</cp:coreProperties>
</file>

<file path=docProps/custom.xml><?xml version="1.0" encoding="utf-8"?>
<Properties xmlns="http://schemas.openxmlformats.org/officeDocument/2006/custom-properties" xmlns:vt="http://schemas.openxmlformats.org/officeDocument/2006/docPropsVTypes"/>
</file>