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120" w:before="0"/>
        <w:jc w:val="center"/>
      </w:pPr>
      <w:r>
        <w:rPr>
          <w:rFonts w:ascii="Arial" w:cs="Arial" w:eastAsia="Arial" w:hAnsi="Arial"/>
          <w:b/>
          <w:bCs/>
          <w:color w:val="0D7377"/>
          <w:sz w:val="64"/>
          <w:szCs w:val="64"/>
        </w:rPr>
        <w:t xml:space="preserve">MINTENANCE</w:t>
      </w:r>
    </w:p>
    <w:p>
      <w:pPr>
        <w:spacing w:after="400" w:before="0"/>
        <w:jc w:val="center"/>
      </w:pPr>
      <w:r>
        <w:rPr>
          <w:rFonts w:ascii="Arial" w:cs="Arial" w:eastAsia="Arial" w:hAnsi="Arial"/>
          <w:b w:val="false"/>
          <w:bCs w:val="false"/>
          <w:color w:val="323F5A"/>
          <w:sz w:val="40"/>
          <w:szCs w:val="40"/>
        </w:rPr>
        <w:t xml:space="preserve">Platform Expansion</w:t>
      </w:r>
    </w:p>
    <w:p>
      <w:pPr>
        <w:pBdr>
          <w:bottom w:val="single" w:color="0D7377" w:sz="12" w:space="1"/>
        </w:pBdr>
        <w:spacing w:after="400" w:before="0"/>
        <w:jc w:val="center"/>
      </w:pPr>
      <w:r>
        <w:t xml:space="preserve"/>
      </w:r>
    </w:p>
    <w:p>
      <w:pPr>
        <w:spacing w:after="160" w:before="400"/>
        <w:jc w:val="center"/>
      </w:pPr>
      <w:r>
        <w:rPr>
          <w:rFonts w:ascii="Arial" w:cs="Arial" w:eastAsia="Arial" w:hAnsi="Arial"/>
          <w:b/>
          <w:bCs/>
          <w:color w:val="1A1A2E"/>
          <w:sz w:val="52"/>
          <w:szCs w:val="52"/>
        </w:rPr>
        <w:t xml:space="preserve">Market Gap Analysis</w:t>
      </w:r>
    </w:p>
    <w:p>
      <w:pPr>
        <w:spacing w:after="200" w:before="0"/>
        <w:jc w:val="center"/>
      </w:pPr>
      <w:r>
        <w:rPr>
          <w:rFonts w:ascii="Arial" w:cs="Arial" w:eastAsia="Arial" w:hAnsi="Arial"/>
          <w:i/>
          <w:iCs/>
          <w:color w:val="323F5A"/>
          <w:sz w:val="26"/>
          <w:szCs w:val="26"/>
        </w:rPr>
        <w:t xml:space="preserve">Addressable Verticals, Client Psychology, Revenue Sizing &amp; Strategic Roadmap</w:t>
      </w:r>
    </w:p>
    <w:p>
      <w:pPr>
        <w:spacing w:after="720" w:before="0"/>
      </w:pPr>
      <w:r>
        <w:t xml:space="preserve"/>
      </w:r>
    </w:p>
    <w:p>
      <w:pPr>
        <w:spacing w:after="80" w:before="0"/>
        <w:jc w:val="center"/>
      </w:pPr>
      <w:r>
        <w:rPr>
          <w:rFonts w:ascii="Arial" w:cs="Arial" w:eastAsia="Arial" w:hAnsi="Arial"/>
          <w:b/>
          <w:bCs/>
          <w:color w:val="C0392B"/>
          <w:sz w:val="20"/>
          <w:szCs w:val="20"/>
        </w:rPr>
        <w:t xml:space="preserve">CONFIDENTIAL — INTERNAL STRATEGY DOCUMENT</w:t>
      </w:r>
    </w:p>
    <w:p>
      <w:pPr>
        <w:spacing w:after="80" w:before="0"/>
        <w:jc w:val="center"/>
      </w:pPr>
      <w:r>
        <w:rPr>
          <w:rFonts w:ascii="Arial" w:cs="Arial" w:eastAsia="Arial" w:hAnsi="Arial"/>
          <w:color w:val="323F5A"/>
          <w:sz w:val="22"/>
          <w:szCs w:val="22"/>
        </w:rPr>
        <w:t xml:space="preserve">Mintenance Technologies Ltd  |  March 2026</w:t>
      </w:r>
    </w:p>
    <w:p>
      <w:r>
        <w:br w:type="page"/>
      </w:r>
    </w:p>
    <w:p>
      <w:pPr>
        <w:pStyle w:val="Heading1"/>
        <w:pageBreakBefore/>
        <w:spacing w:after="240" w:before="0"/>
      </w:pPr>
      <w:r>
        <w:rPr>
          <w:rFonts w:ascii="Arial" w:cs="Arial" w:eastAsia="Arial" w:hAnsi="Arial"/>
          <w:b/>
          <w:bCs/>
          <w:color w:val="0D7377"/>
          <w:sz w:val="36"/>
          <w:szCs w:val="36"/>
        </w:rPr>
        <w:t xml:space="preserve">Executive Summary</w:t>
      </w:r>
    </w:p>
    <w:p>
      <w:pPr>
        <w:spacing w:after="160" w:before="0"/>
        <w:jc w:val="left"/>
      </w:pPr>
      <w:r>
        <w:rPr>
          <w:rFonts w:ascii="Arial" w:cs="Arial" w:eastAsia="Arial" w:hAnsi="Arial"/>
          <w:b w:val="false"/>
          <w:bCs w:val="false"/>
          <w:i w:val="false"/>
          <w:iCs w:val="false"/>
          <w:color w:val="1A1A2E"/>
          <w:sz w:val="22"/>
          <w:szCs w:val="22"/>
        </w:rPr>
        <w:t xml:space="preserve">Mintenance has built an industry-leading AI-powered property maintenance marketplace. The core platform — comprising AI visual damage assessment (MintAI), a competitive bidding engine, multi-party digital contracts, Stripe escrow payments, and photo-verified job completion — represents a significant technological asset that extends far beyond its current residential homeowner market.</w:t>
      </w:r>
    </w:p>
    <w:p>
      <w:pPr>
        <w:spacing w:after="160" w:before="0"/>
        <w:jc w:val="left"/>
      </w:pPr>
      <w:r>
        <w:rPr>
          <w:rFonts w:ascii="Arial" w:cs="Arial" w:eastAsia="Arial" w:hAnsi="Arial"/>
          <w:b w:val="false"/>
          <w:bCs w:val="false"/>
          <w:i w:val="false"/>
          <w:iCs w:val="false"/>
          <w:color w:val="1A1A2E"/>
          <w:sz w:val="22"/>
          <w:szCs w:val="22"/>
        </w:rPr>
        <w:t xml:space="preserve">This report identifies eight high-value market verticals where the existing platform infrastructure can be deployed with targeted product adaptation. Collectively, these opportunities represent a serviceable addressable market (SAM) in excess of £4.2 billion in the UK alone, with a realistically capturable share of £120–£180 million within five years.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£4.2B+</w:t>
            </w:r>
          </w:p>
          <w:p>
            <w:pPr>
              <w:jc w:val="center"/>
            </w:pPr>
            <w:r>
              <w:rPr>
                <w:rFonts w:ascii="Arial" w:cs="Arial" w:eastAsia="Arial" w:hAnsi="Arial"/>
                <w:color w:val="323F5A"/>
                <w:sz w:val="18"/>
                <w:szCs w:val="18"/>
              </w:rPr>
              <w:t xml:space="preserve">UK SAM across 8 verticals</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8</w:t>
            </w:r>
          </w:p>
          <w:p>
            <w:pPr>
              <w:jc w:val="center"/>
            </w:pPr>
            <w:r>
              <w:rPr>
                <w:rFonts w:ascii="Arial" w:cs="Arial" w:eastAsia="Arial" w:hAnsi="Arial"/>
                <w:color w:val="323F5A"/>
                <w:sz w:val="18"/>
                <w:szCs w:val="18"/>
              </w:rPr>
              <w:t xml:space="preserve">Market gaps identified</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£120–180M</w:t>
            </w:r>
          </w:p>
          <w:p>
            <w:pPr>
              <w:jc w:val="center"/>
            </w:pPr>
            <w:r>
              <w:rPr>
                <w:rFonts w:ascii="Arial" w:cs="Arial" w:eastAsia="Arial" w:hAnsi="Arial"/>
                <w:color w:val="323F5A"/>
                <w:sz w:val="18"/>
                <w:szCs w:val="18"/>
              </w:rPr>
              <w:t xml:space="preserve">5-year revenue potential</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3</w:t>
            </w:r>
          </w:p>
          <w:p>
            <w:pPr>
              <w:jc w:val="center"/>
            </w:pPr>
            <w:r>
              <w:rPr>
                <w:rFonts w:ascii="Arial" w:cs="Arial" w:eastAsia="Arial" w:hAnsi="Arial"/>
                <w:color w:val="323F5A"/>
                <w:sz w:val="18"/>
                <w:szCs w:val="18"/>
              </w:rPr>
              <w:t xml:space="preserve">Near-term priority plays</w:t>
            </w:r>
          </w:p>
        </w:tc>
      </w:tr>
    </w:tbl>
    <w:p>
      <w:pPr>
        <w:spacing w:after="120" w:before="0"/>
      </w:pPr>
      <w:r>
        <w:t xml:space="preserve"/>
      </w:r>
    </w:p>
    <w:p>
      <w:pPr>
        <w:spacing w:after="80" w:before="200"/>
        <w:jc w:val="left"/>
      </w:pPr>
      <w:r>
        <w:rPr>
          <w:rFonts w:ascii="Arial" w:cs="Arial" w:eastAsia="Arial" w:hAnsi="Arial"/>
          <w:b/>
          <w:bCs/>
          <w:i w:val="false"/>
          <w:iCs w:val="false"/>
          <w:color w:val="1A1A2E"/>
          <w:sz w:val="22"/>
          <w:szCs w:val="22"/>
        </w:rPr>
        <w:t xml:space="preserve">Three opportunities are immediately actionable using existing codebase components:</w:t>
      </w:r>
    </w:p>
    <w:p>
      <w:pPr>
        <w:pStyle w:val="ListParagraph"/>
        <w:numPr>
          <w:ilvl w:val="0"/>
          <w:numId w:val="2"/>
        </w:numPr>
        <w:spacing w:after="60" w:before="40"/>
      </w:pPr>
      <w:r>
        <w:rPr>
          <w:rFonts w:ascii="Arial" w:cs="Arial" w:eastAsia="Arial" w:hAnsi="Arial"/>
          <w:b w:val="false"/>
          <w:bCs w:val="false"/>
          <w:color w:val="1A1A2E"/>
          <w:sz w:val="22"/>
          <w:szCs w:val="22"/>
        </w:rPr>
        <w:t xml:space="preserve">Letting Agents &amp; Landlord Portfolios — scaffolding already in the codebase; fastest path to B2B revenue</w:t>
      </w:r>
    </w:p>
    <w:p>
      <w:pPr>
        <w:pStyle w:val="ListParagraph"/>
        <w:numPr>
          <w:ilvl w:val="0"/>
          <w:numId w:val="2"/>
        </w:numPr>
        <w:spacing w:after="60" w:before="40"/>
      </w:pPr>
      <w:r>
        <w:rPr>
          <w:rFonts w:ascii="Arial" w:cs="Arial" w:eastAsia="Arial" w:hAnsi="Arial"/>
          <w:b w:val="false"/>
          <w:bCs w:val="false"/>
          <w:color w:val="1A1A2E"/>
          <w:sz w:val="22"/>
          <w:szCs w:val="22"/>
        </w:rPr>
        <w:t xml:space="preserve">Insurance Loss Adjustment — InsuranceRiskService already operational; high fee-per-transaction model</w:t>
      </w:r>
    </w:p>
    <w:p>
      <w:pPr>
        <w:pStyle w:val="ListParagraph"/>
        <w:numPr>
          <w:ilvl w:val="0"/>
          <w:numId w:val="2"/>
        </w:numPr>
        <w:spacing w:after="60" w:before="40"/>
      </w:pPr>
      <w:r>
        <w:rPr>
          <w:rFonts w:ascii="Arial" w:cs="Arial" w:eastAsia="Arial" w:hAnsi="Arial"/>
          <w:b w:val="false"/>
          <w:bCs w:val="false"/>
          <w:color w:val="1A1A2E"/>
          <w:sz w:val="22"/>
          <w:szCs w:val="22"/>
        </w:rPr>
        <w:t xml:space="preserve">New-Build Snagging — AI damage classification directly applicable; £200M+ market with no dominant digital player</w:t>
      </w:r>
    </w:p>
    <w:p>
      <w:pPr>
        <w:spacing w:after="120" w:before="0"/>
      </w:pPr>
      <w:r>
        <w:t xml:space="preserve"/>
      </w:r>
    </w:p>
    <w:p>
      <w:pPr>
        <w:spacing w:after="80" w:before="0"/>
        <w:jc w:val="left"/>
      </w:pPr>
      <w:r>
        <w:rPr>
          <w:rFonts w:ascii="Arial" w:cs="Arial" w:eastAsia="Arial" w:hAnsi="Arial"/>
          <w:b/>
          <w:bCs/>
          <w:i w:val="false"/>
          <w:iCs w:val="false"/>
          <w:color w:val="1A1A2E"/>
          <w:sz w:val="22"/>
          <w:szCs w:val="22"/>
        </w:rPr>
        <w:t xml:space="preserve">Five further opportunities offer medium-to-long-term expansion with progressively higher market size and barrier to entry:</w:t>
      </w:r>
    </w:p>
    <w:p>
      <w:pPr>
        <w:pStyle w:val="ListParagraph"/>
        <w:numPr>
          <w:ilvl w:val="0"/>
          <w:numId w:val="2"/>
        </w:numPr>
        <w:spacing w:after="60" w:before="40"/>
      </w:pPr>
      <w:r>
        <w:rPr>
          <w:rFonts w:ascii="Arial" w:cs="Arial" w:eastAsia="Arial" w:hAnsi="Arial"/>
          <w:b w:val="false"/>
          <w:bCs w:val="false"/>
          <w:color w:val="1A1A2E"/>
          <w:sz w:val="22"/>
          <w:szCs w:val="22"/>
        </w:rPr>
        <w:t xml:space="preserve">Short-Term Rental / Holiday Lets — Airbnb economy, high urgency, premium pricing</w:t>
      </w:r>
    </w:p>
    <w:p>
      <w:pPr>
        <w:pStyle w:val="ListParagraph"/>
        <w:numPr>
          <w:ilvl w:val="0"/>
          <w:numId w:val="2"/>
        </w:numPr>
        <w:spacing w:after="60" w:before="40"/>
      </w:pPr>
      <w:r>
        <w:rPr>
          <w:rFonts w:ascii="Arial" w:cs="Arial" w:eastAsia="Arial" w:hAnsi="Arial"/>
          <w:b w:val="false"/>
          <w:bCs w:val="false"/>
          <w:color w:val="1A1A2E"/>
          <w:sz w:val="22"/>
          <w:szCs w:val="22"/>
        </w:rPr>
        <w:t xml:space="preserve">UK Green Retrofit Marketplace — government grant tailwinds, £3.5B annual spend</w:t>
      </w:r>
    </w:p>
    <w:p>
      <w:pPr>
        <w:pStyle w:val="ListParagraph"/>
        <w:numPr>
          <w:ilvl w:val="0"/>
          <w:numId w:val="2"/>
        </w:numPr>
        <w:spacing w:after="60" w:before="40"/>
      </w:pPr>
      <w:r>
        <w:rPr>
          <w:rFonts w:ascii="Arial" w:cs="Arial" w:eastAsia="Arial" w:hAnsi="Arial"/>
          <w:b w:val="false"/>
          <w:bCs w:val="false"/>
          <w:color w:val="1A1A2E"/>
          <w:sz w:val="22"/>
          <w:szCs w:val="22"/>
        </w:rPr>
        <w:t xml:space="preserve">Commercial Facilities Management — largest SAM of all eight at £12B+</w:t>
      </w:r>
    </w:p>
    <w:p>
      <w:pPr>
        <w:pStyle w:val="ListParagraph"/>
        <w:numPr>
          <w:ilvl w:val="0"/>
          <w:numId w:val="2"/>
        </w:numPr>
        <w:spacing w:after="60" w:before="40"/>
      </w:pPr>
      <w:r>
        <w:rPr>
          <w:rFonts w:ascii="Arial" w:cs="Arial" w:eastAsia="Arial" w:hAnsi="Arial"/>
          <w:b w:val="false"/>
          <w:bCs w:val="false"/>
          <w:color w:val="1A1A2E"/>
          <w:sz w:val="22"/>
          <w:szCs w:val="22"/>
        </w:rPr>
        <w:t xml:space="preserve">Housing Associations / Social Housing — defensible B2B contracts, compliance-driven</w:t>
      </w:r>
    </w:p>
    <w:p>
      <w:pPr>
        <w:pStyle w:val="ListParagraph"/>
        <w:numPr>
          <w:ilvl w:val="0"/>
          <w:numId w:val="2"/>
        </w:numPr>
        <w:spacing w:after="60" w:before="40"/>
      </w:pPr>
      <w:r>
        <w:rPr>
          <w:rFonts w:ascii="Arial" w:cs="Arial" w:eastAsia="Arial" w:hAnsi="Arial"/>
          <w:b w:val="false"/>
          <w:bCs w:val="false"/>
          <w:color w:val="1A1A2E"/>
          <w:sz w:val="22"/>
          <w:szCs w:val="22"/>
        </w:rPr>
        <w:t xml:space="preserve">Pre-Sale AI Condition Reports — consumer product, low CAC, high margin</w:t>
      </w:r>
    </w:p>
    <w:p>
      <w:pPr>
        <w:spacing w:after="120" w:before="0"/>
      </w:pPr>
      <w:r>
        <w:t xml:space="preserve"/>
      </w:r>
    </w:p>
    <w:p>
      <w:pPr>
        <w:spacing w:after="200" w:before="0"/>
        <w:jc w:val="left"/>
      </w:pPr>
      <w:r>
        <w:rPr>
          <w:rFonts w:ascii="Arial" w:cs="Arial" w:eastAsia="Arial" w:hAnsi="Arial"/>
          <w:b w:val="false"/>
          <w:bCs w:val="false"/>
          <w:i w:val="false"/>
          <w:iCs w:val="false"/>
          <w:color w:val="1A1A2E"/>
          <w:sz w:val="22"/>
          <w:szCs w:val="22"/>
        </w:rPr>
        <w:t xml:space="preserve">Each section of this document provides: market size and growth data, a detailed profile of the target buyer and their decision-making psychology, revenue modelling, strategic entry approach, infrastructure delta from the current platform, and key risks.</w:t>
      </w:r>
    </w:p>
    <w:p>
      <w:r>
        <w:br w:type="page"/>
      </w:r>
    </w:p>
    <w:p>
      <w:pPr>
        <w:pStyle w:val="Heading1"/>
        <w:pageBreakBefore/>
        <w:spacing w:after="240" w:before="0"/>
      </w:pPr>
      <w:r>
        <w:rPr>
          <w:rFonts w:ascii="Arial" w:cs="Arial" w:eastAsia="Arial" w:hAnsi="Arial"/>
          <w:b/>
          <w:bCs/>
          <w:color w:val="0D7377"/>
          <w:sz w:val="36"/>
          <w:szCs w:val="36"/>
        </w:rPr>
        <w:t xml:space="preserve">Platform Capabilities Overview</w:t>
      </w:r>
    </w:p>
    <w:p>
      <w:pPr>
        <w:spacing w:after="160" w:before="0"/>
        <w:jc w:val="left"/>
      </w:pPr>
      <w:r>
        <w:rPr>
          <w:rFonts w:ascii="Arial" w:cs="Arial" w:eastAsia="Arial" w:hAnsi="Arial"/>
          <w:b w:val="false"/>
          <w:bCs w:val="false"/>
          <w:i w:val="false"/>
          <w:iCs w:val="false"/>
          <w:color w:val="1A1A2E"/>
          <w:sz w:val="22"/>
          <w:szCs w:val="22"/>
        </w:rPr>
        <w:t xml:space="preserve">Before exploring market applications, it is important to catalogue Mintenance's current technical capabilities. This defines what can be redeployed versus what requires build investment.</w:t>
      </w:r>
    </w:p>
    <w:p>
      <w:pPr>
        <w:pStyle w:val="Heading2"/>
        <w:spacing w:after="160" w:before="300"/>
      </w:pPr>
      <w:r>
        <w:rPr>
          <w:rFonts w:ascii="Arial" w:cs="Arial" w:eastAsia="Arial" w:hAnsi="Arial"/>
          <w:b/>
          <w:bCs/>
          <w:color w:val="323F5A"/>
          <w:sz w:val="28"/>
          <w:szCs w:val="28"/>
        </w:rPr>
        <w:t xml:space="preserve">Core Infrastructure (Fully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Market Relevance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Visual Assessment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YOLO v11 (71 classes), SAM3 segmentation, GPT-4 Vision, VLM retraining 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 market requiring damage quantification or condition reporting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Bidding Marketplace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Job posting, geo-matched contractor discovery, bid submission, scoring, acceptance flow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Any market with fragmented supply of skilled tradespeople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Escrow 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Stripe Connect, PaymentIntent, escrow table, conditional release logic, 7-day auto-release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 market with a trust or payment fraud problem between parties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Photo-Verified Completion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Before/after upload, geolocation check (100m), quality validation (brightness, sharpness), BeforeAfterSlider review UI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Any market needing evidence of work quality or regulatory compliance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Multi-Party Contracts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Digital signing, status machine (draft → pending_X → accepted), version history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 B2B or regulated market requiring audit-trail documentation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Insurance Risk Scoring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InsuranceRiskService — damage classification, cost estimation, premium impact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Insurance, mortgage, pre-sale, social housing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Materials Cost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UK supplier pricing (Screwfix, B&amp;Q, Wickes, Travis Perkins), BOM 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Retrofit, snagging, commercial maintenance, cost estimation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Contractor Credentialing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Profile, ratings, reviews, verification status, trade category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All verticals — differentiator vs. general freelance platforms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Multi-Tenancy &amp; RLS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334 Supabase tables with Row Level Security, 806 policies, role-based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 B2B product requiring data isolation between client organisations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Real-Time Messaging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Supabase subscriptions, thread per job, notification system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All verticals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Compliance Module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/api/compliance/ routes, audit log, structured reporting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Social housing, commercial, insurance — regulated markets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Agency / Landlord Portals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/app/landlord/, /app/agency/ — recurring jobs, contacts, activity log, reports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Letting agents, housing associations — already scaffolded</w:t>
            </w:r>
          </w:p>
        </w:tc>
      </w:tr>
    </w:tbl>
    <w:p>
      <w:pPr>
        <w:spacing w:after="120" w:before="0"/>
      </w:pPr>
      <w:r>
        <w:t xml:space="preserve"/>
      </w:r>
    </w:p>
    <w:p>
      <w:pPr>
        <w:spacing w:after="200" w:before="160"/>
        <w:jc w:val="left"/>
      </w:pPr>
      <w:r>
        <w:rPr>
          <w:rFonts w:ascii="Arial" w:cs="Arial" w:eastAsia="Arial" w:hAnsi="Arial"/>
          <w:b w:val="false"/>
          <w:bCs w:val="false"/>
          <w:i w:val="false"/>
          <w:iCs w:val="false"/>
          <w:color w:val="1A1A2E"/>
          <w:sz w:val="22"/>
          <w:szCs w:val="22"/>
        </w:rPr>
        <w:t xml:space="preserve">The implication is clear: Mintenance is not a single-purpose app. It is a configurable property transactions platform. The eight market gaps below are not new products — they are new configurations of existing infrastructure, targeted at buyers with equivalent problems and higher willingness to pay.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01</w:t>
            </w:r>
          </w:p>
        </w:tc>
        <w:tc>
          <w:tcPr>
            <w:tcW w:type="dxa" w:w="8160"/>
            <w:tcBorders>
              <w:top w:val="none" w:color="FFFFFF" w:sz="0"/>
              <w:left w:val="none" w:color="FFFFFF" w:sz="0"/>
              <w:bottom w:val="none" w:color="FFFFFF" w:sz="0"/>
              <w:right w:val="none" w:color="FFFFFF" w:sz="0"/>
            </w:tcBorders>
            <w:shd w:fill="EAF7F7" w:val="clear"/>
            <w:tcMar>
              <w:top w:type="dxa" w:w="120"/>
              <w:left w:type="dxa" w:w="200"/>
              <w:bottom w:type="dxa" w:w="120"/>
              <w:right w:type="dxa" w:w="160"/>
            </w:tcMar>
          </w:tcPr>
          <w:p>
            <w:r>
              <w:rPr>
                <w:rFonts w:ascii="Arial" w:cs="Arial" w:eastAsia="Arial" w:hAnsi="Arial"/>
                <w:b/>
                <w:bCs/>
                <w:color w:val="0D7377"/>
                <w:sz w:val="32"/>
                <w:szCs w:val="32"/>
              </w:rPr>
              <w:t xml:space="preserve">Letting Agents &amp; Professional Landlord Portfolios</w:t>
            </w:r>
          </w:p>
          <w:p>
            <w:r>
              <w:rPr>
                <w:rFonts w:ascii="Arial" w:cs="Arial" w:eastAsia="Arial" w:hAnsi="Arial"/>
                <w:i/>
                <w:iCs/>
                <w:color w:val="323F5A"/>
                <w:sz w:val="22"/>
                <w:szCs w:val="22"/>
              </w:rPr>
              <w:t xml:space="preserve">Nearest adjacency — partially built, high-speed revenue path</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Market Overview</w:t>
      </w:r>
    </w:p>
    <w:p>
      <w:pPr>
        <w:spacing w:after="120" w:before="0"/>
        <w:jc w:val="left"/>
      </w:pPr>
      <w:r>
        <w:rPr>
          <w:rFonts w:ascii="Arial" w:cs="Arial" w:eastAsia="Arial" w:hAnsi="Arial"/>
          <w:b w:val="false"/>
          <w:bCs w:val="false"/>
          <w:i w:val="false"/>
          <w:iCs w:val="false"/>
          <w:color w:val="1A1A2E"/>
          <w:sz w:val="22"/>
          <w:szCs w:val="22"/>
        </w:rPr>
        <w:t xml:space="preserve">The UK private rented sector (PRS) comprises 4.6 million landlord-owned properties managed by approximately 18,000 letting agencies. The majority of mid-to-large agencies (those managing 100+ properties) coordinate maintenance entirely via phone, WhatsApp, and shared spreadsheets. There is no dominant digital maintenance management tool in the UK letting agent space.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£2.1B</w:t>
            </w:r>
          </w:p>
          <w:p>
            <w:pPr>
              <w:jc w:val="center"/>
            </w:pPr>
            <w:r>
              <w:rPr>
                <w:rFonts w:ascii="Arial" w:cs="Arial" w:eastAsia="Arial" w:hAnsi="Arial"/>
                <w:color w:val="323F5A"/>
                <w:sz w:val="18"/>
                <w:szCs w:val="18"/>
              </w:rPr>
              <w:t xml:space="preserve">Annual maintenance spend in UK PRS</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18,000</w:t>
            </w:r>
          </w:p>
          <w:p>
            <w:pPr>
              <w:jc w:val="center"/>
            </w:pPr>
            <w:r>
              <w:rPr>
                <w:rFonts w:ascii="Arial" w:cs="Arial" w:eastAsia="Arial" w:hAnsi="Arial"/>
                <w:color w:val="323F5A"/>
                <w:sz w:val="18"/>
                <w:szCs w:val="18"/>
              </w:rPr>
              <w:t xml:space="preserve">UK letting agencies</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4.6M</w:t>
            </w:r>
          </w:p>
          <w:p>
            <w:pPr>
              <w:jc w:val="center"/>
            </w:pPr>
            <w:r>
              <w:rPr>
                <w:rFonts w:ascii="Arial" w:cs="Arial" w:eastAsia="Arial" w:hAnsi="Arial"/>
                <w:color w:val="323F5A"/>
                <w:sz w:val="18"/>
                <w:szCs w:val="18"/>
              </w:rPr>
              <w:t xml:space="preserve">Privately rented properties</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23%</w:t>
            </w:r>
          </w:p>
          <w:p>
            <w:pPr>
              <w:jc w:val="center"/>
            </w:pPr>
            <w:r>
              <w:rPr>
                <w:rFonts w:ascii="Arial" w:cs="Arial" w:eastAsia="Arial" w:hAnsi="Arial"/>
                <w:color w:val="323F5A"/>
                <w:sz w:val="18"/>
                <w:szCs w:val="18"/>
              </w:rPr>
              <w:t xml:space="preserve">YoY growth in BTL portfolio landlords</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The Problem</w:t>
      </w:r>
    </w:p>
    <w:p>
      <w:pPr>
        <w:spacing w:after="120" w:before="0"/>
        <w:jc w:val="left"/>
      </w:pPr>
      <w:r>
        <w:rPr>
          <w:rFonts w:ascii="Arial" w:cs="Arial" w:eastAsia="Arial" w:hAnsi="Arial"/>
          <w:b w:val="false"/>
          <w:bCs w:val="false"/>
          <w:i w:val="false"/>
          <w:iCs w:val="false"/>
          <w:color w:val="1A1A2E"/>
          <w:sz w:val="22"/>
          <w:szCs w:val="22"/>
        </w:rPr>
        <w:t xml:space="preserve">Letting agents sit in a tripartite relationship: tenant reports a problem, agent must approve action and cost, contractor completes work, landlord receives invoice. Current workflow involves: tenant calls agent, agent WhatsApps a preferred contractor, contractor invoices on paper, agent chases landlord for sign-off. Average time from report to completion: 11 days. Average disputed invoice rate: 18%.</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GAP</w:t>
            </w:r>
          </w:p>
        </w:tc>
        <w:tc>
          <w:tcPr>
            <w:tcW w:type="dxa" w:w="7920"/>
            <w:tcBorders>
              <w:top w:val="none" w:color="FFFFFF" w:sz="0"/>
              <w:left w:val="none" w:color="FFFFFF" w:sz="0"/>
              <w:bottom w:val="none" w:color="FFFFFF" w:sz="0"/>
              <w:right w:val="none" w:color="FFFFFF" w:sz="0"/>
            </w:tcBorders>
            <w:shd w:fill="EAF7F7" w:val="clear"/>
            <w:tcMar>
              <w:top w:type="dxa" w:w="120"/>
              <w:left w:type="dxa" w:w="160"/>
              <w:bottom w:type="dxa" w:w="120"/>
              <w:right w:type="dxa" w:w="160"/>
            </w:tcMar>
          </w:tcPr>
          <w:p>
            <w:r>
              <w:rPr>
                <w:rFonts w:ascii="Arial" w:cs="Arial" w:eastAsia="Arial" w:hAnsi="Arial"/>
                <w:color w:val="1A1A2E"/>
                <w:sz w:val="22"/>
                <w:szCs w:val="22"/>
              </w:rPr>
              <w:t xml:space="preserve">No single platform manages the full letting agent maintenance lifecycle — tenant report → agent approval → contractor dispatch → photo proof → landlord invoice — with an escrow payment layer and AI cost validation.</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Client Psychology &amp; Decision Drivers</w:t>
      </w:r>
    </w:p>
    <w:p>
      <w:pPr>
        <w:spacing w:after="80" w:before="0"/>
        <w:jc w:val="left"/>
      </w:pPr>
      <w:r>
        <w:rPr>
          <w:rFonts w:ascii="Arial" w:cs="Arial" w:eastAsia="Arial" w:hAnsi="Arial"/>
          <w:b w:val="false"/>
          <w:bCs w:val="false"/>
          <w:i w:val="false"/>
          <w:iCs w:val="false"/>
          <w:color w:val="1A1A2E"/>
          <w:sz w:val="22"/>
          <w:szCs w:val="22"/>
        </w:rPr>
        <w:t xml:space="preserve">Letting agents are operationally stretched. The average letting agent manages 120–180 properties with a team of 2–3 people. Their core psychological drivers are:</w:t>
      </w:r>
    </w:p>
    <w:p>
      <w:pPr>
        <w:pStyle w:val="ListParagraph"/>
        <w:numPr>
          <w:ilvl w:val="0"/>
          <w:numId w:val="2"/>
        </w:numPr>
        <w:spacing w:after="60" w:before="40"/>
      </w:pPr>
      <w:r>
        <w:rPr>
          <w:rFonts w:ascii="Arial" w:cs="Arial" w:eastAsia="Arial" w:hAnsi="Arial"/>
          <w:b w:val="false"/>
          <w:bCs w:val="false"/>
          <w:color w:val="1A1A2E"/>
          <w:sz w:val="22"/>
          <w:szCs w:val="22"/>
        </w:rPr>
        <w:t xml:space="preserve">Risk avoidance — HHSWA 2018 (Homes (Fitness for Human Habitation) Act) creates personal liability for unresolved hazards. A documented audit trail eliminates this.</w:t>
      </w:r>
    </w:p>
    <w:p>
      <w:pPr>
        <w:pStyle w:val="ListParagraph"/>
        <w:numPr>
          <w:ilvl w:val="0"/>
          <w:numId w:val="2"/>
        </w:numPr>
        <w:spacing w:after="60" w:before="40"/>
      </w:pPr>
      <w:r>
        <w:rPr>
          <w:rFonts w:ascii="Arial" w:cs="Arial" w:eastAsia="Arial" w:hAnsi="Arial"/>
          <w:b w:val="false"/>
          <w:bCs w:val="false"/>
          <w:color w:val="1A1A2E"/>
          <w:sz w:val="22"/>
          <w:szCs w:val="22"/>
        </w:rPr>
        <w:t xml:space="preserve">Time compression — agents bill by managed fee (8–12% of rent). Every hour spent chasing contractors is pure overhead.</w:t>
      </w:r>
    </w:p>
    <w:p>
      <w:pPr>
        <w:pStyle w:val="ListParagraph"/>
        <w:numPr>
          <w:ilvl w:val="0"/>
          <w:numId w:val="2"/>
        </w:numPr>
        <w:spacing w:after="60" w:before="40"/>
      </w:pPr>
      <w:r>
        <w:rPr>
          <w:rFonts w:ascii="Arial" w:cs="Arial" w:eastAsia="Arial" w:hAnsi="Arial"/>
          <w:b w:val="false"/>
          <w:bCs w:val="false"/>
          <w:color w:val="1A1A2E"/>
          <w:sz w:val="22"/>
          <w:szCs w:val="22"/>
        </w:rPr>
        <w:t xml:space="preserve">Client retention — landlords switch agents primarily due to maintenance friction. A platform that demonstrates accountability retains clients.</w:t>
      </w:r>
    </w:p>
    <w:p>
      <w:pPr>
        <w:pStyle w:val="ListParagraph"/>
        <w:numPr>
          <w:ilvl w:val="0"/>
          <w:numId w:val="2"/>
        </w:numPr>
        <w:spacing w:after="60" w:before="40"/>
      </w:pPr>
      <w:r>
        <w:rPr>
          <w:rFonts w:ascii="Arial" w:cs="Arial" w:eastAsia="Arial" w:hAnsi="Arial"/>
          <w:b w:val="false"/>
          <w:bCs w:val="false"/>
          <w:color w:val="1A1A2E"/>
          <w:sz w:val="22"/>
          <w:szCs w:val="22"/>
        </w:rPr>
        <w:t xml:space="preserve">Regulatory pressure — upcoming Renters' Rights Bill will increase documentation obligations significantly.</w:t>
      </w:r>
    </w:p>
    <w:p>
      <w:pPr>
        <w:spacing w:after="120" w:before="0"/>
      </w:pPr>
      <w:r>
        <w:t xml:space="preserve"/>
      </w:r>
    </w:p>
    <w:p>
      <w:pPr>
        <w:spacing w:after="80" w:before="0"/>
        <w:jc w:val="left"/>
      </w:pPr>
      <w:r>
        <w:rPr>
          <w:rFonts w:ascii="Arial" w:cs="Arial" w:eastAsia="Arial" w:hAnsi="Arial"/>
          <w:b/>
          <w:bCs/>
          <w:i w:val="false"/>
          <w:iCs w:val="false"/>
          <w:color w:val="1A1A2E"/>
          <w:sz w:val="22"/>
          <w:szCs w:val="22"/>
        </w:rPr>
        <w:t xml:space="preserve">Portfolio landlords (owning 5–50 properties) have a different but complementary psychology:</w:t>
      </w:r>
    </w:p>
    <w:p>
      <w:pPr>
        <w:pStyle w:val="ListParagraph"/>
        <w:numPr>
          <w:ilvl w:val="0"/>
          <w:numId w:val="2"/>
        </w:numPr>
        <w:spacing w:after="60" w:before="40"/>
      </w:pPr>
      <w:r>
        <w:rPr>
          <w:rFonts w:ascii="Arial" w:cs="Arial" w:eastAsia="Arial" w:hAnsi="Arial"/>
          <w:b w:val="false"/>
          <w:bCs w:val="false"/>
          <w:color w:val="1A1A2E"/>
          <w:sz w:val="22"/>
          <w:szCs w:val="22"/>
        </w:rPr>
        <w:t xml:space="preserve">Cost control — they want to know every repair was competitively priced and delivered; escrow gives them leverage.</w:t>
      </w:r>
    </w:p>
    <w:p>
      <w:pPr>
        <w:pStyle w:val="ListParagraph"/>
        <w:numPr>
          <w:ilvl w:val="0"/>
          <w:numId w:val="2"/>
        </w:numPr>
        <w:spacing w:after="60" w:before="40"/>
      </w:pPr>
      <w:r>
        <w:rPr>
          <w:rFonts w:ascii="Arial" w:cs="Arial" w:eastAsia="Arial" w:hAnsi="Arial"/>
          <w:b w:val="false"/>
          <w:bCs w:val="false"/>
          <w:color w:val="1A1A2E"/>
          <w:sz w:val="22"/>
          <w:szCs w:val="22"/>
        </w:rPr>
        <w:t xml:space="preserve">Visibility — they want a dashboard view of property health without calling their agent.</w:t>
      </w:r>
    </w:p>
    <w:p>
      <w:pPr>
        <w:pStyle w:val="ListParagraph"/>
        <w:numPr>
          <w:ilvl w:val="0"/>
          <w:numId w:val="2"/>
        </w:numPr>
        <w:spacing w:after="60" w:before="40"/>
      </w:pPr>
      <w:r>
        <w:rPr>
          <w:rFonts w:ascii="Arial" w:cs="Arial" w:eastAsia="Arial" w:hAnsi="Arial"/>
          <w:b w:val="false"/>
          <w:bCs w:val="false"/>
          <w:color w:val="1A1A2E"/>
          <w:sz w:val="22"/>
          <w:szCs w:val="22"/>
        </w:rPr>
        <w:t xml:space="preserve">Tax efficiency — they need clean invoices and job records for allowable expenses.</w:t>
      </w:r>
    </w:p>
    <w:p>
      <w:pPr>
        <w:spacing w:after="120" w:before="0"/>
      </w:pPr>
      <w:r>
        <w:t xml:space="preserve"/>
      </w:r>
    </w:p>
    <w:p>
      <w:pPr>
        <w:pStyle w:val="Heading2"/>
        <w:spacing w:after="160" w:before="300"/>
      </w:pPr>
      <w:r>
        <w:rPr>
          <w:rFonts w:ascii="Arial" w:cs="Arial" w:eastAsia="Arial" w:hAnsi="Arial"/>
          <w:b/>
          <w:bCs/>
          <w:color w:val="323F5A"/>
          <w:sz w:val="28"/>
          <w:szCs w:val="28"/>
        </w:rPr>
        <w:t xml:space="preserve">Revenue Model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Unit Economics</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SaaS Per Agency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subscription per agency based on property count managed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£149–£499/mo per agency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£2.4M ARR (400 agencies)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Transaction Fee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1.5% on contractor payments processed through escrow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£22 per avg job (£1,500 job)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£1.8M (80,000 jobs/yr)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Landlord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Premium add-on for multi-property landlords, direct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£19/mo per portfolio landlord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£0.9M ARR (4,000 landlords)</w:t>
            </w:r>
          </w:p>
        </w:tc>
      </w:tr>
    </w:tbl>
    <w:p>
      <w:pPr>
        <w:spacing w:after="120" w:before="0"/>
      </w:pPr>
      <w:r>
        <w:t xml:space="preserve"/>
      </w:r>
    </w:p>
    <w:p>
      <w:pPr>
        <w:spacing w:after="120" w:before="0"/>
        <w:jc w:val="left"/>
      </w:pPr>
      <w:r>
        <w:rPr>
          <w:rFonts w:ascii="Arial" w:cs="Arial" w:eastAsia="Arial" w:hAnsi="Arial"/>
          <w:b w:val="false"/>
          <w:bCs w:val="false"/>
          <w:i w:val="false"/>
          <w:iCs w:val="false"/>
          <w:color w:val="1A1A2E"/>
          <w:sz w:val="22"/>
          <w:szCs w:val="22"/>
        </w:rPr>
        <w:t xml:space="preserve">Total addressable opportunity at 5% market penetration (900 agencies): £5.1M ARR. At 15% penetration (2,700 agencies): £15.3M ARR.</w:t>
      </w:r>
    </w:p>
    <w:p>
      <w:pPr>
        <w:pStyle w:val="Heading2"/>
        <w:spacing w:after="160" w:before="300"/>
      </w:pPr>
      <w:r>
        <w:rPr>
          <w:rFonts w:ascii="Arial" w:cs="Arial" w:eastAsia="Arial" w:hAnsi="Arial"/>
          <w:b/>
          <w:bCs/>
          <w:color w:val="323F5A"/>
          <w:sz w:val="28"/>
          <w:szCs w:val="28"/>
        </w:rPr>
        <w:t xml:space="preserve">Strategic Entry</w:t>
      </w:r>
    </w:p>
    <w:p>
      <w:pPr>
        <w:pStyle w:val="ListParagraph"/>
        <w:numPr>
          <w:ilvl w:val="0"/>
          <w:numId w:val="3"/>
        </w:numPr>
        <w:spacing w:after="60" w:before="40"/>
      </w:pPr>
      <w:r>
        <w:rPr>
          <w:rFonts w:ascii="Arial" w:cs="Arial" w:eastAsia="Arial" w:hAnsi="Arial"/>
          <w:b w:val="false"/>
          <w:bCs w:val="false"/>
          <w:color w:val="1A1A2E"/>
          <w:sz w:val="22"/>
          <w:szCs w:val="22"/>
        </w:rPr>
        <w:t xml:space="preserve">Productise the existing /app/landlord/ and /app/agency/ sections into a distinct B2B portal with tripartite user roles (tenant / agent / landlord).</w:t>
      </w:r>
    </w:p>
    <w:p>
      <w:pPr>
        <w:pStyle w:val="ListParagraph"/>
        <w:numPr>
          <w:ilvl w:val="0"/>
          <w:numId w:val="3"/>
        </w:numPr>
        <w:spacing w:after="60" w:before="40"/>
      </w:pPr>
      <w:r>
        <w:rPr>
          <w:rFonts w:ascii="Arial" w:cs="Arial" w:eastAsia="Arial" w:hAnsi="Arial"/>
          <w:b w:val="false"/>
          <w:bCs w:val="false"/>
          <w:color w:val="1A1A2E"/>
          <w:sz w:val="22"/>
          <w:szCs w:val="22"/>
        </w:rPr>
        <w:t xml:space="preserve">Build tenant self-service fault reporting (photo + description) as the top-of-funnel entry, replacing the phone call.</w:t>
      </w:r>
    </w:p>
    <w:p>
      <w:pPr>
        <w:pStyle w:val="ListParagraph"/>
        <w:numPr>
          <w:ilvl w:val="0"/>
          <w:numId w:val="3"/>
        </w:numPr>
        <w:spacing w:after="60" w:before="40"/>
      </w:pPr>
      <w:r>
        <w:rPr>
          <w:rFonts w:ascii="Arial" w:cs="Arial" w:eastAsia="Arial" w:hAnsi="Arial"/>
          <w:b w:val="false"/>
          <w:bCs w:val="false"/>
          <w:color w:val="1A1A2E"/>
          <w:sz w:val="22"/>
          <w:szCs w:val="22"/>
        </w:rPr>
        <w:t xml:space="preserve">Offer free migration to 50 agencies in Greater Manchester (existing geographic foothold). Use case studies for national sales.</w:t>
      </w:r>
    </w:p>
    <w:p>
      <w:pPr>
        <w:pStyle w:val="ListParagraph"/>
        <w:numPr>
          <w:ilvl w:val="0"/>
          <w:numId w:val="3"/>
        </w:numPr>
        <w:spacing w:after="60" w:before="40"/>
      </w:pPr>
      <w:r>
        <w:rPr>
          <w:rFonts w:ascii="Arial" w:cs="Arial" w:eastAsia="Arial" w:hAnsi="Arial"/>
          <w:b w:val="false"/>
          <w:bCs w:val="false"/>
          <w:color w:val="1A1A2E"/>
          <w:sz w:val="22"/>
          <w:szCs w:val="22"/>
        </w:rPr>
        <w:t xml:space="preserve">Partner with ARLA Propertymark (the lettings industry body) as a technology partner for credibility and distribution.</w:t>
      </w:r>
    </w:p>
    <w:p>
      <w:pPr>
        <w:pStyle w:val="ListParagraph"/>
        <w:numPr>
          <w:ilvl w:val="0"/>
          <w:numId w:val="3"/>
        </w:numPr>
        <w:spacing w:after="60" w:before="40"/>
      </w:pPr>
      <w:r>
        <w:rPr>
          <w:rFonts w:ascii="Arial" w:cs="Arial" w:eastAsia="Arial" w:hAnsi="Arial"/>
          <w:b w:val="false"/>
          <w:bCs w:val="false"/>
          <w:color w:val="1A1A2E"/>
          <w:sz w:val="22"/>
          <w:szCs w:val="22"/>
        </w:rPr>
        <w:t xml:space="preserve">Add PPM (Planned Preventative Maintenance) scheduling — gas safety, EICR, EPC — to expand ARPU.</w:t>
      </w:r>
    </w:p>
    <w:p>
      <w:pPr>
        <w:spacing w:after="120" w:before="0"/>
      </w:pPr>
      <w:r>
        <w:t xml:space="preserve"/>
      </w:r>
    </w:p>
    <w:p>
      <w:pPr>
        <w:pStyle w:val="Heading2"/>
        <w:spacing w:after="160" w:before="300"/>
      </w:pPr>
      <w:r>
        <w:rPr>
          <w:rFonts w:ascii="Arial" w:cs="Arial" w:eastAsia="Arial" w:hAnsi="Arial"/>
          <w:b/>
          <w:bCs/>
          <w:color w:val="323F5A"/>
          <w:sz w:val="28"/>
          <w:szCs w:val="28"/>
        </w:rPr>
        <w:t xml:space="preserve">Infrastructure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Required Addition</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Tenant fault reporting portal (self-service)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 built — new user role needed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Agent approval workflow (approve/reject before dispatch)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Partial — can extend existing bid acceptance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Landlord dashboard (read-only, cross-property 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Landlord section scaffolded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PPM calendar &amp; compliance schedule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Not built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Whitelabelling (agency branding)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 change</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Key Risks</w:t>
      </w:r>
    </w:p>
    <w:p>
      <w:pPr>
        <w:pStyle w:val="ListParagraph"/>
        <w:numPr>
          <w:ilvl w:val="0"/>
          <w:numId w:val="2"/>
        </w:numPr>
        <w:spacing w:after="60" w:before="40"/>
      </w:pPr>
      <w:r>
        <w:rPr>
          <w:rFonts w:ascii="Arial" w:cs="Arial" w:eastAsia="Arial" w:hAnsi="Arial"/>
          <w:b w:val="false"/>
          <w:bCs w:val="false"/>
          <w:color w:val="1A1A2E"/>
          <w:sz w:val="22"/>
          <w:szCs w:val="22"/>
        </w:rPr>
        <w:t xml:space="preserve">Incumbent resistance — agents have existing contractor relationships. Value proposition must emphasise accountability, not disruption.</w:t>
      </w:r>
    </w:p>
    <w:p>
      <w:pPr>
        <w:pStyle w:val="ListParagraph"/>
        <w:numPr>
          <w:ilvl w:val="0"/>
          <w:numId w:val="2"/>
        </w:numPr>
        <w:spacing w:after="60" w:before="40"/>
      </w:pPr>
      <w:r>
        <w:rPr>
          <w:rFonts w:ascii="Arial" w:cs="Arial" w:eastAsia="Arial" w:hAnsi="Arial"/>
          <w:b w:val="false"/>
          <w:bCs w:val="false"/>
          <w:color w:val="1A1A2E"/>
          <w:sz w:val="22"/>
          <w:szCs w:val="22"/>
        </w:rPr>
        <w:t xml:space="preserve">Long sales cycles — agency decision makers are principals, not procurement. POC-driven sales approach recommended.</w:t>
      </w:r>
    </w:p>
    <w:p>
      <w:pPr>
        <w:pStyle w:val="ListParagraph"/>
        <w:numPr>
          <w:ilvl w:val="0"/>
          <w:numId w:val="2"/>
        </w:numPr>
        <w:spacing w:after="60" w:before="40"/>
      </w:pPr>
      <w:r>
        <w:rPr>
          <w:rFonts w:ascii="Arial" w:cs="Arial" w:eastAsia="Arial" w:hAnsi="Arial"/>
          <w:b w:val="false"/>
          <w:bCs w:val="false"/>
          <w:color w:val="1A1A2E"/>
          <w:sz w:val="22"/>
          <w:szCs w:val="22"/>
        </w:rPr>
        <w:t xml:space="preserve">Renters' Rights Bill uncertainty — legislative changes could alter mandatory obligations and either accelerate or delay adoption.</w:t>
      </w:r>
    </w:p>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02</w:t>
            </w:r>
          </w:p>
        </w:tc>
        <w:tc>
          <w:tcPr>
            <w:tcW w:type="dxa" w:w="8160"/>
            <w:tcBorders>
              <w:top w:val="none" w:color="FFFFFF" w:sz="0"/>
              <w:left w:val="none" w:color="FFFFFF" w:sz="0"/>
              <w:bottom w:val="none" w:color="FFFFFF" w:sz="0"/>
              <w:right w:val="none" w:color="FFFFFF" w:sz="0"/>
            </w:tcBorders>
            <w:shd w:fill="EAF7F7" w:val="clear"/>
            <w:tcMar>
              <w:top w:type="dxa" w:w="120"/>
              <w:left w:type="dxa" w:w="200"/>
              <w:bottom w:type="dxa" w:w="120"/>
              <w:right w:type="dxa" w:w="160"/>
            </w:tcMar>
          </w:tcPr>
          <w:p>
            <w:r>
              <w:rPr>
                <w:rFonts w:ascii="Arial" w:cs="Arial" w:eastAsia="Arial" w:hAnsi="Arial"/>
                <w:b/>
                <w:bCs/>
                <w:color w:val="0D7377"/>
                <w:sz w:val="32"/>
                <w:szCs w:val="32"/>
              </w:rPr>
              <w:t xml:space="preserve">Housing Associations &amp; Social Housing</w:t>
            </w:r>
          </w:p>
          <w:p>
            <w:r>
              <w:rPr>
                <w:rFonts w:ascii="Arial" w:cs="Arial" w:eastAsia="Arial" w:hAnsi="Arial"/>
                <w:i/>
                <w:iCs/>
                <w:color w:val="323F5A"/>
                <w:sz w:val="22"/>
                <w:szCs w:val="22"/>
              </w:rPr>
              <w:t xml:space="preserve">High-value B2B contracts, compliance-driven, defensible once won</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Market Overview</w:t>
      </w:r>
    </w:p>
    <w:p>
      <w:pPr>
        <w:spacing w:after="120" w:before="0"/>
        <w:jc w:val="left"/>
      </w:pPr>
      <w:r>
        <w:rPr>
          <w:rFonts w:ascii="Arial" w:cs="Arial" w:eastAsia="Arial" w:hAnsi="Arial"/>
          <w:b w:val="false"/>
          <w:bCs w:val="false"/>
          <w:i w:val="false"/>
          <w:iCs w:val="false"/>
          <w:color w:val="1A1A2E"/>
          <w:sz w:val="22"/>
          <w:szCs w:val="22"/>
        </w:rPr>
        <w:t xml:space="preserve">The UK social housing sector comprises 1,641 registered providers (housing associations and local authorities) managing approximately 4.1 million social rented homes. Annual maintenance expenditure exceeds £7.2 billion. The Regulator of Social Housing (RSH) and the Building Safety Act 2022 have created unprecedented documentation and compliance requirements that existing tooling cannot meet.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£7.2B</w:t>
            </w:r>
          </w:p>
          <w:p>
            <w:pPr>
              <w:jc w:val="center"/>
            </w:pPr>
            <w:r>
              <w:rPr>
                <w:rFonts w:ascii="Arial" w:cs="Arial" w:eastAsia="Arial" w:hAnsi="Arial"/>
                <w:color w:val="323F5A"/>
                <w:sz w:val="18"/>
                <w:szCs w:val="18"/>
              </w:rPr>
              <w:t xml:space="preserve">Annual social housing maintenance spend</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1,641</w:t>
            </w:r>
          </w:p>
          <w:p>
            <w:pPr>
              <w:jc w:val="center"/>
            </w:pPr>
            <w:r>
              <w:rPr>
                <w:rFonts w:ascii="Arial" w:cs="Arial" w:eastAsia="Arial" w:hAnsi="Arial"/>
                <w:color w:val="323F5A"/>
                <w:sz w:val="18"/>
                <w:szCs w:val="18"/>
              </w:rPr>
              <w:t xml:space="preserve">Registered providers</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4.1M</w:t>
            </w:r>
          </w:p>
          <w:p>
            <w:pPr>
              <w:jc w:val="center"/>
            </w:pPr>
            <w:r>
              <w:rPr>
                <w:rFonts w:ascii="Arial" w:cs="Arial" w:eastAsia="Arial" w:hAnsi="Arial"/>
                <w:color w:val="323F5A"/>
                <w:sz w:val="18"/>
                <w:szCs w:val="18"/>
              </w:rPr>
              <w:t xml:space="preserve">Social homes in the UK</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BSA 2022</w:t>
            </w:r>
          </w:p>
          <w:p>
            <w:pPr>
              <w:jc w:val="center"/>
            </w:pPr>
            <w:r>
              <w:rPr>
                <w:rFonts w:ascii="Arial" w:cs="Arial" w:eastAsia="Arial" w:hAnsi="Arial"/>
                <w:color w:val="323F5A"/>
                <w:sz w:val="18"/>
                <w:szCs w:val="18"/>
              </w:rPr>
              <w:t xml:space="preserve">Building Safety Act — new compliance obligations</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The Problem</w:t>
      </w:r>
    </w:p>
    <w:p>
      <w:pPr>
        <w:spacing w:after="120" w:before="0"/>
        <w:jc w:val="left"/>
      </w:pPr>
      <w:r>
        <w:rPr>
          <w:rFonts w:ascii="Arial" w:cs="Arial" w:eastAsia="Arial" w:hAnsi="Arial"/>
          <w:b w:val="false"/>
          <w:bCs w:val="false"/>
          <w:i w:val="false"/>
          <w:iCs w:val="false"/>
          <w:color w:val="1A1A2E"/>
          <w:sz w:val="22"/>
          <w:szCs w:val="22"/>
        </w:rPr>
        <w:t xml:space="preserve">Social housing providers operate under a legal duty to respond to repairs within defined timeframes (emergency: 24 hours; urgent: 5 days; routine: 28 days). The Homes (Fitness for Human Habitation) Act and the Building Safety Act 2022 require documented evidence of responsive repairs, contractor competency, and material safety. Current tooling ranges from outdated CAFM systems (Capita, MRI Software) that cost £50,000+ to implement, to Excel spreadsheets in smaller associations.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GAP</w:t>
            </w:r>
          </w:p>
        </w:tc>
        <w:tc>
          <w:tcPr>
            <w:tcW w:type="dxa" w:w="7920"/>
            <w:tcBorders>
              <w:top w:val="none" w:color="FFFFFF" w:sz="0"/>
              <w:left w:val="none" w:color="FFFFFF" w:sz="0"/>
              <w:bottom w:val="none" w:color="FFFFFF" w:sz="0"/>
              <w:right w:val="none" w:color="FFFFFF" w:sz="0"/>
            </w:tcBorders>
            <w:shd w:fill="EAF7F7" w:val="clear"/>
            <w:tcMar>
              <w:top w:type="dxa" w:w="120"/>
              <w:left w:type="dxa" w:w="160"/>
              <w:bottom w:type="dxa" w:w="120"/>
              <w:right w:type="dxa" w:w="160"/>
            </w:tcMar>
          </w:tcPr>
          <w:p>
            <w:r>
              <w:rPr>
                <w:rFonts w:ascii="Arial" w:cs="Arial" w:eastAsia="Arial" w:hAnsi="Arial"/>
                <w:color w:val="1A1A2E"/>
                <w:sz w:val="22"/>
                <w:szCs w:val="22"/>
              </w:rPr>
              <w:t xml:space="preserve">No modern, mobile-first platform combines AI damage triage, contractor dispatch with verified competency, photo proof of completion, and automated compliance reporting for the social housing sector at an accessible price point.</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Client Psychology &amp; Decision Drivers</w:t>
      </w:r>
    </w:p>
    <w:p>
      <w:pPr>
        <w:spacing w:after="80" w:before="0"/>
        <w:jc w:val="left"/>
      </w:pPr>
      <w:r>
        <w:rPr>
          <w:rFonts w:ascii="Arial" w:cs="Arial" w:eastAsia="Arial" w:hAnsi="Arial"/>
          <w:b w:val="false"/>
          <w:bCs w:val="false"/>
          <w:i w:val="false"/>
          <w:iCs w:val="false"/>
          <w:color w:val="1A1A2E"/>
          <w:sz w:val="22"/>
          <w:szCs w:val="22"/>
        </w:rPr>
        <w:t xml:space="preserve">Social housing procurement is fundamentally different from the private sector. Key psychological and organisational drivers:</w:t>
      </w:r>
    </w:p>
    <w:p>
      <w:pPr>
        <w:pStyle w:val="ListParagraph"/>
        <w:numPr>
          <w:ilvl w:val="0"/>
          <w:numId w:val="2"/>
        </w:numPr>
        <w:spacing w:after="60" w:before="40"/>
      </w:pPr>
      <w:r>
        <w:rPr>
          <w:rFonts w:ascii="Arial" w:cs="Arial" w:eastAsia="Arial" w:hAnsi="Arial"/>
          <w:b w:val="false"/>
          <w:bCs w:val="false"/>
          <w:color w:val="1A1A2E"/>
          <w:sz w:val="22"/>
          <w:szCs w:val="22"/>
        </w:rPr>
        <w:t xml:space="preserve">Regulatory fear — Grenfell and subsequent scandals have made housing association executives deeply risk-averse. Any tool that creates an auditable record is welcomed.</w:t>
      </w:r>
    </w:p>
    <w:p>
      <w:pPr>
        <w:pStyle w:val="ListParagraph"/>
        <w:numPr>
          <w:ilvl w:val="0"/>
          <w:numId w:val="2"/>
        </w:numPr>
        <w:spacing w:after="60" w:before="40"/>
      </w:pPr>
      <w:r>
        <w:rPr>
          <w:rFonts w:ascii="Arial" w:cs="Arial" w:eastAsia="Arial" w:hAnsi="Arial"/>
          <w:b w:val="false"/>
          <w:bCs w:val="false"/>
          <w:color w:val="1A1A2E"/>
          <w:sz w:val="22"/>
          <w:szCs w:val="22"/>
        </w:rPr>
        <w:t xml:space="preserve">Tenant satisfaction scores — the Tenant Satisfaction Measures (TSMs) introduced in 2023 are publicly reported. Maintenance performance is a headline metric.</w:t>
      </w:r>
    </w:p>
    <w:p>
      <w:pPr>
        <w:pStyle w:val="ListParagraph"/>
        <w:numPr>
          <w:ilvl w:val="0"/>
          <w:numId w:val="2"/>
        </w:numPr>
        <w:spacing w:after="60" w:before="40"/>
      </w:pPr>
      <w:r>
        <w:rPr>
          <w:rFonts w:ascii="Arial" w:cs="Arial" w:eastAsia="Arial" w:hAnsi="Arial"/>
          <w:b w:val="false"/>
          <w:bCs w:val="false"/>
          <w:color w:val="1A1A2E"/>
          <w:sz w:val="22"/>
          <w:szCs w:val="22"/>
        </w:rPr>
        <w:t xml:space="preserve">Budget constraints but high pain — housing associations are cash-constrained but are spending heavily on remediation. A tool that saves staff time and reduces disputes has an obvious ROI.</w:t>
      </w:r>
    </w:p>
    <w:p>
      <w:pPr>
        <w:pStyle w:val="ListParagraph"/>
        <w:numPr>
          <w:ilvl w:val="0"/>
          <w:numId w:val="2"/>
        </w:numPr>
        <w:spacing w:after="60" w:before="40"/>
      </w:pPr>
      <w:r>
        <w:rPr>
          <w:rFonts w:ascii="Arial" w:cs="Arial" w:eastAsia="Arial" w:hAnsi="Arial"/>
          <w:b w:val="false"/>
          <w:bCs w:val="false"/>
          <w:color w:val="1A1A2E"/>
          <w:sz w:val="22"/>
          <w:szCs w:val="22"/>
        </w:rPr>
        <w:t xml:space="preserve">Procurement red tape — contracts must often go to competitive tender above £25,000. Framework agreements (LHC, Crown Commercial Service) dramatically reduce this friction.</w:t>
      </w:r>
    </w:p>
    <w:p>
      <w:pPr>
        <w:pStyle w:val="ListParagraph"/>
        <w:numPr>
          <w:ilvl w:val="0"/>
          <w:numId w:val="2"/>
        </w:numPr>
        <w:spacing w:after="60" w:before="40"/>
      </w:pPr>
      <w:r>
        <w:rPr>
          <w:rFonts w:ascii="Arial" w:cs="Arial" w:eastAsia="Arial" w:hAnsi="Arial"/>
          <w:b w:val="false"/>
          <w:bCs w:val="false"/>
          <w:color w:val="1A1A2E"/>
          <w:sz w:val="22"/>
          <w:szCs w:val="22"/>
        </w:rPr>
        <w:t xml:space="preserve">Proof of contractor qualifications — Gas Safe, NICEIC, DBS checks must be on file. Mintenance contractor credentialing maps directly to this.</w:t>
      </w:r>
    </w:p>
    <w:p>
      <w:pPr>
        <w:spacing w:after="120" w:before="0"/>
      </w:pPr>
      <w:r>
        <w:t xml:space="preserve"/>
      </w:r>
    </w:p>
    <w:p>
      <w:pPr>
        <w:pStyle w:val="Heading2"/>
        <w:spacing w:after="160" w:before="300"/>
      </w:pPr>
      <w:r>
        <w:rPr>
          <w:rFonts w:ascii="Arial" w:cs="Arial" w:eastAsia="Arial" w:hAnsi="Arial"/>
          <w:b/>
          <w:bCs/>
          <w:color w:val="323F5A"/>
          <w:sz w:val="28"/>
          <w:szCs w:val="28"/>
        </w:rPr>
        <w:t xml:space="preserve">Revenue Model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Unit Economics</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 SaaS Licence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Annual licence per organisation based on property 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£12,000–£60,000/yr per association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£3.6M ARR (60–100 clients)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Transaction Processing Fee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0.8% on contractor payments with compliance pack generated per job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£18 per avg job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£1.2M (66,000 jobs/yr)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Compliance Reporting Add-On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TSM reporting, Building Safety case file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£800/mo per organisation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£0.96M ARR</w:t>
            </w:r>
          </w:p>
        </w:tc>
      </w:tr>
    </w:tbl>
    <w:p>
      <w:pPr>
        <w:spacing w:after="120" w:before="0"/>
      </w:pPr>
      <w:r>
        <w:t xml:space="preserve"/>
      </w:r>
    </w:p>
    <w:p>
      <w:pPr>
        <w:spacing w:after="120" w:before="0"/>
        <w:jc w:val="left"/>
      </w:pPr>
      <w:r>
        <w:rPr>
          <w:rFonts w:ascii="Arial" w:cs="Arial" w:eastAsia="Arial" w:hAnsi="Arial"/>
          <w:b w:val="false"/>
          <w:bCs w:val="false"/>
          <w:i w:val="false"/>
          <w:iCs w:val="false"/>
          <w:color w:val="1A1A2E"/>
          <w:sz w:val="22"/>
          <w:szCs w:val="22"/>
        </w:rPr>
        <w:t xml:space="preserve">At 5% market penetration of mid-size associations (100–3,000 homes): £5.76M ARR. Route to market is via procurement frameworks — joining LHC or CCS frameworks is a 12-month investment that opens £100M+ of opportunity.</w:t>
      </w:r>
    </w:p>
    <w:p>
      <w:pPr>
        <w:pStyle w:val="Heading2"/>
        <w:spacing w:after="160" w:before="300"/>
      </w:pPr>
      <w:r>
        <w:rPr>
          <w:rFonts w:ascii="Arial" w:cs="Arial" w:eastAsia="Arial" w:hAnsi="Arial"/>
          <w:b/>
          <w:bCs/>
          <w:color w:val="323F5A"/>
          <w:sz w:val="28"/>
          <w:szCs w:val="28"/>
        </w:rPr>
        <w:t xml:space="preserve">Strategic Entry</w:t>
      </w:r>
    </w:p>
    <w:p>
      <w:pPr>
        <w:pStyle w:val="ListParagraph"/>
        <w:numPr>
          <w:ilvl w:val="0"/>
          <w:numId w:val="3"/>
        </w:numPr>
        <w:spacing w:after="60" w:before="40"/>
      </w:pPr>
      <w:r>
        <w:rPr>
          <w:rFonts w:ascii="Arial" w:cs="Arial" w:eastAsia="Arial" w:hAnsi="Arial"/>
          <w:b w:val="false"/>
          <w:bCs w:val="false"/>
          <w:color w:val="1A1A2E"/>
          <w:sz w:val="22"/>
          <w:szCs w:val="22"/>
        </w:rPr>
        <w:t xml:space="preserve">Prioritise 3–5 smaller housing associations (under 500 homes) for pilot partnerships. These have shorter procurement cycles and generate case study evidence.</w:t>
      </w:r>
    </w:p>
    <w:p>
      <w:pPr>
        <w:pStyle w:val="ListParagraph"/>
        <w:numPr>
          <w:ilvl w:val="0"/>
          <w:numId w:val="3"/>
        </w:numPr>
        <w:spacing w:after="60" w:before="40"/>
      </w:pPr>
      <w:r>
        <w:rPr>
          <w:rFonts w:ascii="Arial" w:cs="Arial" w:eastAsia="Arial" w:hAnsi="Arial"/>
          <w:b w:val="false"/>
          <w:bCs w:val="false"/>
          <w:color w:val="1A1A2E"/>
          <w:sz w:val="22"/>
          <w:szCs w:val="22"/>
        </w:rPr>
        <w:t xml:space="preserve">Register on the LHC (London Housing Consortium) and Crown Commercial Service digital frameworks. This removes competitive tender requirements for member organisations.</w:t>
      </w:r>
    </w:p>
    <w:p>
      <w:pPr>
        <w:pStyle w:val="ListParagraph"/>
        <w:numPr>
          <w:ilvl w:val="0"/>
          <w:numId w:val="3"/>
        </w:numPr>
        <w:spacing w:after="60" w:before="40"/>
      </w:pPr>
      <w:r>
        <w:rPr>
          <w:rFonts w:ascii="Arial" w:cs="Arial" w:eastAsia="Arial" w:hAnsi="Arial"/>
          <w:b w:val="false"/>
          <w:bCs w:val="false"/>
          <w:color w:val="1A1A2E"/>
          <w:sz w:val="22"/>
          <w:szCs w:val="22"/>
        </w:rPr>
        <w:t xml:space="preserve">Build TSM (Tenant Satisfaction Measures) reporting dashboard as a compliance differentiator — auto-calculate repair response times, closure rates, tenant satisfaction proxies.</w:t>
      </w:r>
    </w:p>
    <w:p>
      <w:pPr>
        <w:pStyle w:val="ListParagraph"/>
        <w:numPr>
          <w:ilvl w:val="0"/>
          <w:numId w:val="3"/>
        </w:numPr>
        <w:spacing w:after="60" w:before="40"/>
      </w:pPr>
      <w:r>
        <w:rPr>
          <w:rFonts w:ascii="Arial" w:cs="Arial" w:eastAsia="Arial" w:hAnsi="Arial"/>
          <w:b w:val="false"/>
          <w:bCs w:val="false"/>
          <w:color w:val="1A1A2E"/>
          <w:sz w:val="22"/>
          <w:szCs w:val="22"/>
        </w:rPr>
        <w:t xml:space="preserve">Integrate with Open Housing / Capita / Aareon APIs to reduce migration friction for organisations with existing data.</w:t>
      </w:r>
    </w:p>
    <w:p>
      <w:pPr>
        <w:pStyle w:val="ListParagraph"/>
        <w:numPr>
          <w:ilvl w:val="0"/>
          <w:numId w:val="3"/>
        </w:numPr>
        <w:spacing w:after="60" w:before="40"/>
      </w:pPr>
      <w:r>
        <w:rPr>
          <w:rFonts w:ascii="Arial" w:cs="Arial" w:eastAsia="Arial" w:hAnsi="Arial"/>
          <w:b w:val="false"/>
          <w:bCs w:val="false"/>
          <w:color w:val="1A1A2E"/>
          <w:sz w:val="22"/>
          <w:szCs w:val="22"/>
        </w:rPr>
        <w:t xml:space="preserve">Appoint a sector specialist sales lead with housing association background — procurement relationships are personal.</w:t>
      </w:r>
    </w:p>
    <w:p>
      <w:pPr>
        <w:spacing w:after="120" w:before="0"/>
      </w:pPr>
      <w:r>
        <w:t xml:space="preserve"/>
      </w:r>
    </w:p>
    <w:p>
      <w:pPr>
        <w:pStyle w:val="Heading2"/>
        <w:spacing w:after="160" w:before="300"/>
      </w:pPr>
      <w:r>
        <w:rPr>
          <w:rFonts w:ascii="Arial" w:cs="Arial" w:eastAsia="Arial" w:hAnsi="Arial"/>
          <w:b/>
          <w:bCs/>
          <w:color w:val="323F5A"/>
          <w:sz w:val="28"/>
          <w:szCs w:val="28"/>
        </w:rPr>
        <w:t xml:space="preserve">Infrastructure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Required Addition</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Tenant Satisfaction Measures (TSM) reporting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Compliance module exists; extend with TSM calculations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Contractor qualification vault (Gas Safe, NICEIC, DBS)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Extend existing credentialing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Emergency response SLA tracking (24h/5d/28d)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Urgency field exists; add SLA clock and alerting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Building Safety Act case file export (PDF)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Compliance routes exist; add structured export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CAFM API integrations (Capita, Aareon)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 built — bespoke per client</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03</w:t>
            </w:r>
          </w:p>
        </w:tc>
        <w:tc>
          <w:tcPr>
            <w:tcW w:type="dxa" w:w="8160"/>
            <w:tcBorders>
              <w:top w:val="none" w:color="FFFFFF" w:sz="0"/>
              <w:left w:val="none" w:color="FFFFFF" w:sz="0"/>
              <w:bottom w:val="none" w:color="FFFFFF" w:sz="0"/>
              <w:right w:val="none" w:color="FFFFFF" w:sz="0"/>
            </w:tcBorders>
            <w:shd w:fill="EAF7F7" w:val="clear"/>
            <w:tcMar>
              <w:top w:type="dxa" w:w="120"/>
              <w:left w:type="dxa" w:w="200"/>
              <w:bottom w:type="dxa" w:w="120"/>
              <w:right w:type="dxa" w:w="160"/>
            </w:tcMar>
          </w:tcPr>
          <w:p>
            <w:r>
              <w:rPr>
                <w:rFonts w:ascii="Arial" w:cs="Arial" w:eastAsia="Arial" w:hAnsi="Arial"/>
                <w:b/>
                <w:bCs/>
                <w:color w:val="0D7377"/>
                <w:sz w:val="32"/>
                <w:szCs w:val="32"/>
              </w:rPr>
              <w:t xml:space="preserve">New-Build Snagging &amp; Developer Defect Management</w:t>
            </w:r>
          </w:p>
          <w:p>
            <w:r>
              <w:rPr>
                <w:rFonts w:ascii="Arial" w:cs="Arial" w:eastAsia="Arial" w:hAnsi="Arial"/>
                <w:i/>
                <w:iCs/>
                <w:color w:val="323F5A"/>
                <w:sz w:val="22"/>
                <w:szCs w:val="22"/>
              </w:rPr>
              <w:t xml:space="preserve">AI is a perfect fit; no dominant digital competitor; high volume</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Market Overview</w:t>
      </w:r>
    </w:p>
    <w:p>
      <w:pPr>
        <w:spacing w:after="120" w:before="0"/>
        <w:jc w:val="left"/>
      </w:pPr>
      <w:r>
        <w:rPr>
          <w:rFonts w:ascii="Arial" w:cs="Arial" w:eastAsia="Arial" w:hAnsi="Arial"/>
          <w:b w:val="false"/>
          <w:bCs w:val="false"/>
          <w:i w:val="false"/>
          <w:iCs w:val="false"/>
          <w:color w:val="1A1A2E"/>
          <w:sz w:val="22"/>
          <w:szCs w:val="22"/>
        </w:rPr>
        <w:t xml:space="preserve">The UK completes approximately 230,000 new homes annually (government target: 300,000). Every new-build property has a 2-year builder warranty (NHBC Buildmark, Premier Guarantee) during which the developer is obligated to remedy reported defects. Industry data suggests the average new-build has 107 snags at handover; 38% of buyers report their developer took more than 3 months to resolve all defects.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230,000</w:t>
            </w:r>
          </w:p>
          <w:p>
            <w:pPr>
              <w:jc w:val="center"/>
            </w:pPr>
            <w:r>
              <w:rPr>
                <w:rFonts w:ascii="Arial" w:cs="Arial" w:eastAsia="Arial" w:hAnsi="Arial"/>
                <w:color w:val="323F5A"/>
                <w:sz w:val="18"/>
                <w:szCs w:val="18"/>
              </w:rPr>
              <w:t xml:space="preserve">New homes completed annually (UK)</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107</w:t>
            </w:r>
          </w:p>
          <w:p>
            <w:pPr>
              <w:jc w:val="center"/>
            </w:pPr>
            <w:r>
              <w:rPr>
                <w:rFonts w:ascii="Arial" w:cs="Arial" w:eastAsia="Arial" w:hAnsi="Arial"/>
                <w:color w:val="323F5A"/>
                <w:sz w:val="18"/>
                <w:szCs w:val="18"/>
              </w:rPr>
              <w:t xml:space="preserve">Average snags per new-build at handover</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£210M</w:t>
            </w:r>
          </w:p>
          <w:p>
            <w:pPr>
              <w:jc w:val="center"/>
            </w:pPr>
            <w:r>
              <w:rPr>
                <w:rFonts w:ascii="Arial" w:cs="Arial" w:eastAsia="Arial" w:hAnsi="Arial"/>
                <w:color w:val="323F5A"/>
                <w:sz w:val="18"/>
                <w:szCs w:val="18"/>
              </w:rPr>
              <w:t xml:space="preserve">Annual developer warranty repair cost</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38%</w:t>
            </w:r>
          </w:p>
          <w:p>
            <w:pPr>
              <w:jc w:val="center"/>
            </w:pPr>
            <w:r>
              <w:rPr>
                <w:rFonts w:ascii="Arial" w:cs="Arial" w:eastAsia="Arial" w:hAnsi="Arial"/>
                <w:color w:val="323F5A"/>
                <w:sz w:val="18"/>
                <w:szCs w:val="18"/>
              </w:rPr>
              <w:t xml:space="preserve">Buyers waiting 3+ months for defect resolution</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The Problem</w:t>
      </w:r>
    </w:p>
    <w:p>
      <w:pPr>
        <w:spacing w:after="120" w:before="0"/>
        <w:jc w:val="left"/>
      </w:pPr>
      <w:r>
        <w:rPr>
          <w:rFonts w:ascii="Arial" w:cs="Arial" w:eastAsia="Arial" w:hAnsi="Arial"/>
          <w:b w:val="false"/>
          <w:bCs w:val="false"/>
          <w:i w:val="false"/>
          <w:iCs w:val="false"/>
          <w:color w:val="1A1A2E"/>
          <w:sz w:val="22"/>
          <w:szCs w:val="22"/>
        </w:rPr>
        <w:t xml:space="preserve">Three parties have overlapping and often antagonistic interests in the snagging process: the buyer (wants all defects fixed quickly), the developer's customer care team (wants to close tickets and manage warranty budget), and the subcontractor (wants clear instructions and signed sign-off). Current tooling ranges from paper snagging forms to basic apps like SnagR or Buildbug — none of which combine AI classification, competitive pricing, escrow payment, and photo verification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GAP</w:t>
            </w:r>
          </w:p>
        </w:tc>
        <w:tc>
          <w:tcPr>
            <w:tcW w:type="dxa" w:w="7920"/>
            <w:tcBorders>
              <w:top w:val="none" w:color="FFFFFF" w:sz="0"/>
              <w:left w:val="none" w:color="FFFFFF" w:sz="0"/>
              <w:bottom w:val="none" w:color="FFFFFF" w:sz="0"/>
              <w:right w:val="none" w:color="FFFFFF" w:sz="0"/>
            </w:tcBorders>
            <w:shd w:fill="EAF7F7" w:val="clear"/>
            <w:tcMar>
              <w:top w:type="dxa" w:w="120"/>
              <w:left w:type="dxa" w:w="160"/>
              <w:bottom w:type="dxa" w:w="120"/>
              <w:right w:type="dxa" w:w="160"/>
            </w:tcMar>
          </w:tcPr>
          <w:p>
            <w:r>
              <w:rPr>
                <w:rFonts w:ascii="Arial" w:cs="Arial" w:eastAsia="Arial" w:hAnsi="Arial"/>
                <w:color w:val="1A1A2E"/>
                <w:sz w:val="22"/>
                <w:szCs w:val="22"/>
              </w:rPr>
              <w:t xml:space="preserve">The new-build snagging market has no AI-native platform that classifies defect severity automatically, provides developers with cost benchmarking against UK materials databases, and generates a legally defensible completion record per defect.</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Client Psychology &amp; Decision Drivers</w:t>
      </w:r>
    </w:p>
    <w:p>
      <w:pPr>
        <w:spacing w:after="80" w:before="0"/>
        <w:jc w:val="left"/>
      </w:pPr>
      <w:r>
        <w:rPr>
          <w:rFonts w:ascii="Arial" w:cs="Arial" w:eastAsia="Arial" w:hAnsi="Arial"/>
          <w:b/>
          <w:bCs/>
          <w:i w:val="false"/>
          <w:iCs w:val="false"/>
          <w:color w:val="1A1A2E"/>
          <w:sz w:val="22"/>
          <w:szCs w:val="22"/>
        </w:rPr>
        <w:t xml:space="preserve">Two distinct buyer psychologies must be understood:</w:t>
      </w:r>
    </w:p>
    <w:p>
      <w:pPr>
        <w:spacing w:after="60" w:before="0"/>
        <w:jc w:val="left"/>
      </w:pPr>
      <w:r>
        <w:rPr>
          <w:rFonts w:ascii="Arial" w:cs="Arial" w:eastAsia="Arial" w:hAnsi="Arial"/>
          <w:b/>
          <w:bCs/>
          <w:i w:val="false"/>
          <w:iCs w:val="false"/>
          <w:color w:val="1A1A2E"/>
          <w:sz w:val="22"/>
          <w:szCs w:val="22"/>
        </w:rPr>
        <w:t xml:space="preserve">New-Build Homebuyer (B2C):</w:t>
      </w:r>
    </w:p>
    <w:p>
      <w:pPr>
        <w:pStyle w:val="ListParagraph"/>
        <w:numPr>
          <w:ilvl w:val="0"/>
          <w:numId w:val="2"/>
        </w:numPr>
        <w:spacing w:after="60" w:before="40"/>
      </w:pPr>
      <w:r>
        <w:rPr>
          <w:rFonts w:ascii="Arial" w:cs="Arial" w:eastAsia="Arial" w:hAnsi="Arial"/>
          <w:b w:val="false"/>
          <w:bCs w:val="false"/>
          <w:color w:val="1A1A2E"/>
          <w:sz w:val="22"/>
          <w:szCs w:val="22"/>
        </w:rPr>
        <w:t xml:space="preserve">Emotionally charged — this is often the largest purchase of their life, and defects feel like a personal betrayal.</w:t>
      </w:r>
    </w:p>
    <w:p>
      <w:pPr>
        <w:pStyle w:val="ListParagraph"/>
        <w:numPr>
          <w:ilvl w:val="0"/>
          <w:numId w:val="2"/>
        </w:numPr>
        <w:spacing w:after="60" w:before="40"/>
      </w:pPr>
      <w:r>
        <w:rPr>
          <w:rFonts w:ascii="Arial" w:cs="Arial" w:eastAsia="Arial" w:hAnsi="Arial"/>
          <w:b w:val="false"/>
          <w:bCs w:val="false"/>
          <w:color w:val="1A1A2E"/>
          <w:sz w:val="22"/>
          <w:szCs w:val="22"/>
        </w:rPr>
        <w:t xml:space="preserve">Poorly informed — most buyers don't know their statutory rights under NHBC or the Consumer Code for Home Builders.</w:t>
      </w:r>
    </w:p>
    <w:p>
      <w:pPr>
        <w:pStyle w:val="ListParagraph"/>
        <w:numPr>
          <w:ilvl w:val="0"/>
          <w:numId w:val="2"/>
        </w:numPr>
        <w:spacing w:after="60" w:before="40"/>
      </w:pPr>
      <w:r>
        <w:rPr>
          <w:rFonts w:ascii="Arial" w:cs="Arial" w:eastAsia="Arial" w:hAnsi="Arial"/>
          <w:b w:val="false"/>
          <w:bCs w:val="false"/>
          <w:color w:val="1A1A2E"/>
          <w:sz w:val="22"/>
          <w:szCs w:val="22"/>
        </w:rPr>
        <w:t xml:space="preserve">Time-pressured — they want defects resolved before they move in or within weeks of moving in.</w:t>
      </w:r>
    </w:p>
    <w:p>
      <w:pPr>
        <w:pStyle w:val="ListParagraph"/>
        <w:numPr>
          <w:ilvl w:val="0"/>
          <w:numId w:val="2"/>
        </w:numPr>
        <w:spacing w:after="60" w:before="40"/>
      </w:pPr>
      <w:r>
        <w:rPr>
          <w:rFonts w:ascii="Arial" w:cs="Arial" w:eastAsia="Arial" w:hAnsi="Arial"/>
          <w:b w:val="false"/>
          <w:bCs w:val="false"/>
          <w:color w:val="1A1A2E"/>
          <w:sz w:val="22"/>
          <w:szCs w:val="22"/>
        </w:rPr>
        <w:t xml:space="preserve">Evidence-seeking — they want documentation of what was found, agreed, and fixed, both for personal peace of mind and potential legal use.</w:t>
      </w:r>
    </w:p>
    <w:p>
      <w:pPr>
        <w:spacing w:after="120" w:before="0"/>
      </w:pPr>
      <w:r>
        <w:t xml:space="preserve"/>
      </w:r>
    </w:p>
    <w:p>
      <w:pPr>
        <w:spacing w:after="60" w:before="0"/>
        <w:jc w:val="left"/>
      </w:pPr>
      <w:r>
        <w:rPr>
          <w:rFonts w:ascii="Arial" w:cs="Arial" w:eastAsia="Arial" w:hAnsi="Arial"/>
          <w:b/>
          <w:bCs/>
          <w:i w:val="false"/>
          <w:iCs w:val="false"/>
          <w:color w:val="1A1A2E"/>
          <w:sz w:val="22"/>
          <w:szCs w:val="22"/>
        </w:rPr>
        <w:t xml:space="preserve">Developer Customer Care Teams (B2B):</w:t>
      </w:r>
    </w:p>
    <w:p>
      <w:pPr>
        <w:pStyle w:val="ListParagraph"/>
        <w:numPr>
          <w:ilvl w:val="0"/>
          <w:numId w:val="2"/>
        </w:numPr>
        <w:spacing w:after="60" w:before="40"/>
      </w:pPr>
      <w:r>
        <w:rPr>
          <w:rFonts w:ascii="Arial" w:cs="Arial" w:eastAsia="Arial" w:hAnsi="Arial"/>
          <w:b w:val="false"/>
          <w:bCs w:val="false"/>
          <w:color w:val="1A1A2E"/>
          <w:sz w:val="22"/>
          <w:szCs w:val="22"/>
        </w:rPr>
        <w:t xml:space="preserve">Volume management — a large developer may handle 10,000+ warranty claims annually across dozens of sites. Manual tracking is unsustainable.</w:t>
      </w:r>
    </w:p>
    <w:p>
      <w:pPr>
        <w:pStyle w:val="ListParagraph"/>
        <w:numPr>
          <w:ilvl w:val="0"/>
          <w:numId w:val="2"/>
        </w:numPr>
        <w:spacing w:after="60" w:before="40"/>
      </w:pPr>
      <w:r>
        <w:rPr>
          <w:rFonts w:ascii="Arial" w:cs="Arial" w:eastAsia="Arial" w:hAnsi="Arial"/>
          <w:b w:val="false"/>
          <w:bCs w:val="false"/>
          <w:color w:val="1A1A2E"/>
          <w:sz w:val="22"/>
          <w:szCs w:val="22"/>
        </w:rPr>
        <w:t xml:space="preserve">Cost control — warranty costs are provisioned in the development appraisal but regularly overrun. AI-validated estimates reduce disputes.</w:t>
      </w:r>
    </w:p>
    <w:p>
      <w:pPr>
        <w:pStyle w:val="ListParagraph"/>
        <w:numPr>
          <w:ilvl w:val="0"/>
          <w:numId w:val="2"/>
        </w:numPr>
        <w:spacing w:after="60" w:before="40"/>
      </w:pPr>
      <w:r>
        <w:rPr>
          <w:rFonts w:ascii="Arial" w:cs="Arial" w:eastAsia="Arial" w:hAnsi="Arial"/>
          <w:b w:val="false"/>
          <w:bCs w:val="false"/>
          <w:color w:val="1A1A2E"/>
          <w:sz w:val="22"/>
          <w:szCs w:val="22"/>
        </w:rPr>
        <w:t xml:space="preserve">Legal liability management — under the Building Safety Act 2022, developers face a 15-year liability period for major defects. Documented resolution records are a legal necessity.</w:t>
      </w:r>
    </w:p>
    <w:p>
      <w:pPr>
        <w:pStyle w:val="ListParagraph"/>
        <w:numPr>
          <w:ilvl w:val="0"/>
          <w:numId w:val="2"/>
        </w:numPr>
        <w:spacing w:after="60" w:before="40"/>
      </w:pPr>
      <w:r>
        <w:rPr>
          <w:rFonts w:ascii="Arial" w:cs="Arial" w:eastAsia="Arial" w:hAnsi="Arial"/>
          <w:b w:val="false"/>
          <w:bCs w:val="false"/>
          <w:color w:val="1A1A2E"/>
          <w:sz w:val="22"/>
          <w:szCs w:val="22"/>
        </w:rPr>
        <w:t xml:space="preserve">Reputation protection — poor warranty performance generates negative reviews on HomeViews, Trustpilot, and social media that damage future sales.</w:t>
      </w:r>
    </w:p>
    <w:p>
      <w:pPr>
        <w:spacing w:after="120" w:before="0"/>
      </w:pPr>
      <w:r>
        <w:t xml:space="preserve"/>
      </w:r>
    </w:p>
    <w:p>
      <w:pPr>
        <w:pStyle w:val="Heading2"/>
        <w:spacing w:after="160" w:before="300"/>
      </w:pPr>
      <w:r>
        <w:rPr>
          <w:rFonts w:ascii="Arial" w:cs="Arial" w:eastAsia="Arial" w:hAnsi="Arial"/>
          <w:b/>
          <w:bCs/>
          <w:color w:val="323F5A"/>
          <w:sz w:val="28"/>
          <w:szCs w:val="28"/>
        </w:rPr>
        <w:t xml:space="preserve">Revenue Model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Unit Economics</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Developer SaaS Licence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Annual platform fee per active development site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£3,000–£8,000/site/yr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£2.4M ARR (400 sites)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Buyer Self-Service Report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Consumer snagging report: AI classification of uploaded photos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£35–£65 per property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£1.15M (20,000 reports)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Transaction Fee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 on warranty repair jobs processed through platform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 per avg job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£0.96M</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Strategic Entry</w:t>
      </w:r>
    </w:p>
    <w:p>
      <w:pPr>
        <w:pStyle w:val="ListParagraph"/>
        <w:numPr>
          <w:ilvl w:val="0"/>
          <w:numId w:val="3"/>
        </w:numPr>
        <w:spacing w:after="60" w:before="40"/>
      </w:pPr>
      <w:r>
        <w:rPr>
          <w:rFonts w:ascii="Arial" w:cs="Arial" w:eastAsia="Arial" w:hAnsi="Arial"/>
          <w:b w:val="false"/>
          <w:bCs w:val="false"/>
          <w:color w:val="1A1A2E"/>
          <w:sz w:val="22"/>
          <w:szCs w:val="22"/>
        </w:rPr>
        <w:t xml:space="preserve">Launch a consumer-facing 'Snagging Report' product (mintenance.co.uk/snag) at £49. Upload photos, AI classifies issues by severity and likely cause, generates a PDF report. No contractor needed. Captures top-of-funnel demand organically.</w:t>
      </w:r>
    </w:p>
    <w:p>
      <w:pPr>
        <w:pStyle w:val="ListParagraph"/>
        <w:numPr>
          <w:ilvl w:val="0"/>
          <w:numId w:val="3"/>
        </w:numPr>
        <w:spacing w:after="60" w:before="40"/>
      </w:pPr>
      <w:r>
        <w:rPr>
          <w:rFonts w:ascii="Arial" w:cs="Arial" w:eastAsia="Arial" w:hAnsi="Arial"/>
          <w:b w:val="false"/>
          <w:bCs w:val="false"/>
          <w:color w:val="1A1A2E"/>
          <w:sz w:val="22"/>
          <w:szCs w:val="22"/>
        </w:rPr>
        <w:t xml:space="preserve">Convert high-volume consumer users into introductions to their developers. Offer developers a free 3-site pilot to demonstrate workflow efficiency.</w:t>
      </w:r>
    </w:p>
    <w:p>
      <w:pPr>
        <w:pStyle w:val="ListParagraph"/>
        <w:numPr>
          <w:ilvl w:val="0"/>
          <w:numId w:val="3"/>
        </w:numPr>
        <w:spacing w:after="60" w:before="40"/>
      </w:pPr>
      <w:r>
        <w:rPr>
          <w:rFonts w:ascii="Arial" w:cs="Arial" w:eastAsia="Arial" w:hAnsi="Arial"/>
          <w:b w:val="false"/>
          <w:bCs w:val="false"/>
          <w:color w:val="1A1A2E"/>
          <w:sz w:val="22"/>
          <w:szCs w:val="22"/>
        </w:rPr>
        <w:t xml:space="preserve">Partner with NHBC and Premier Guarantee as technology partners. Their builder members need a modern defect management solution.</w:t>
      </w:r>
    </w:p>
    <w:p>
      <w:pPr>
        <w:pStyle w:val="ListParagraph"/>
        <w:numPr>
          <w:ilvl w:val="0"/>
          <w:numId w:val="3"/>
        </w:numPr>
        <w:spacing w:after="60" w:before="40"/>
      </w:pPr>
      <w:r>
        <w:rPr>
          <w:rFonts w:ascii="Arial" w:cs="Arial" w:eastAsia="Arial" w:hAnsi="Arial"/>
          <w:b w:val="false"/>
          <w:bCs w:val="false"/>
          <w:color w:val="1A1A2E"/>
          <w:sz w:val="22"/>
          <w:szCs w:val="22"/>
        </w:rPr>
        <w:t xml:space="preserve">Focus model retraining on interior finish defects: plasterboard, tiling, joinery, HVAC commissioning — the 71 existing YOLO classes cover structural issues well but interior snags require a supplementary dataset.</w:t>
      </w:r>
    </w:p>
    <w:p>
      <w:pPr>
        <w:pStyle w:val="ListParagraph"/>
        <w:numPr>
          <w:ilvl w:val="0"/>
          <w:numId w:val="3"/>
        </w:numPr>
        <w:spacing w:after="60" w:before="40"/>
      </w:pPr>
      <w:r>
        <w:rPr>
          <w:rFonts w:ascii="Arial" w:cs="Arial" w:eastAsia="Arial" w:hAnsi="Arial"/>
          <w:b w:val="false"/>
          <w:bCs w:val="false"/>
          <w:color w:val="1A1A2E"/>
          <w:sz w:val="22"/>
          <w:szCs w:val="22"/>
        </w:rPr>
        <w:t xml:space="preserve">Target the top 20 UK housebuilders (Barratt, Persimmon, Taylor Wimpey, Bellway, etc.) as enterprise accounts.</w:t>
      </w:r>
    </w:p>
    <w:p>
      <w:pPr>
        <w:spacing w:after="120" w:before="0"/>
      </w:pPr>
      <w:r>
        <w:t xml:space="preserve"/>
      </w:r>
    </w:p>
    <w:p>
      <w:pPr>
        <w:pStyle w:val="Heading2"/>
        <w:spacing w:after="160" w:before="300"/>
      </w:pPr>
      <w:r>
        <w:rPr>
          <w:rFonts w:ascii="Arial" w:cs="Arial" w:eastAsia="Arial" w:hAnsi="Arial"/>
          <w:b/>
          <w:bCs/>
          <w:color w:val="323F5A"/>
          <w:sz w:val="28"/>
          <w:szCs w:val="28"/>
        </w:rPr>
        <w:t xml:space="preserve">Infrastructure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Required Addition</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Snagging-specific AI classification (interior finishes)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71 classes exist for building pathology; need interior snag retraining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Multi-property / multi-phase site management for developers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Multi-tenancy exists; add site/phase/plot hierarchy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Consumer PDF report generation (branded)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Compliance export routes exist; adapt for consumer format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NHBC warranty clock tracking (2-year countdown per defect)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SLA tracking from social housing module can be adapted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Buyer mobile app (defect photo submission)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app already exists; configure for snagging role</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04</w:t>
            </w:r>
          </w:p>
        </w:tc>
        <w:tc>
          <w:tcPr>
            <w:tcW w:type="dxa" w:w="8160"/>
            <w:tcBorders>
              <w:top w:val="none" w:color="FFFFFF" w:sz="0"/>
              <w:left w:val="none" w:color="FFFFFF" w:sz="0"/>
              <w:bottom w:val="none" w:color="FFFFFF" w:sz="0"/>
              <w:right w:val="none" w:color="FFFFFF" w:sz="0"/>
            </w:tcBorders>
            <w:shd w:fill="EAF7F7" w:val="clear"/>
            <w:tcMar>
              <w:top w:type="dxa" w:w="120"/>
              <w:left w:type="dxa" w:w="200"/>
              <w:bottom w:type="dxa" w:w="120"/>
              <w:right w:type="dxa" w:w="160"/>
            </w:tcMar>
          </w:tcPr>
          <w:p>
            <w:r>
              <w:rPr>
                <w:rFonts w:ascii="Arial" w:cs="Arial" w:eastAsia="Arial" w:hAnsi="Arial"/>
                <w:b/>
                <w:bCs/>
                <w:color w:val="0D7377"/>
                <w:sz w:val="32"/>
                <w:szCs w:val="32"/>
              </w:rPr>
              <w:t xml:space="preserve">Insurance Loss Adjustment &amp; Claim Routing</w:t>
            </w:r>
          </w:p>
          <w:p>
            <w:r>
              <w:rPr>
                <w:rFonts w:ascii="Arial" w:cs="Arial" w:eastAsia="Arial" w:hAnsi="Arial"/>
                <w:i/>
                <w:iCs/>
                <w:color w:val="323F5A"/>
                <w:sz w:val="22"/>
                <w:szCs w:val="22"/>
              </w:rPr>
              <w:t xml:space="preserve">High fee-per-transaction; InsuranceRiskService already built</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Market Overview</w:t>
      </w:r>
    </w:p>
    <w:p>
      <w:pPr>
        <w:spacing w:after="120" w:before="0"/>
        <w:jc w:val="left"/>
      </w:pPr>
      <w:r>
        <w:rPr>
          <w:rFonts w:ascii="Arial" w:cs="Arial" w:eastAsia="Arial" w:hAnsi="Arial"/>
          <w:b w:val="false"/>
          <w:bCs w:val="false"/>
          <w:i w:val="false"/>
          <w:iCs w:val="false"/>
          <w:color w:val="1A1A2E"/>
          <w:sz w:val="22"/>
          <w:szCs w:val="22"/>
        </w:rPr>
        <w:t xml:space="preserve">The UK property insurance market generates approximately £6.8 billion in annual gross written premium (GWP) for domestic and commercial property lines. An estimated 2.1 million property claims are filed each year (ABI data). Insurers currently pay loss adjusters £400–£800 per inspection visit to assess property damage and authorise repair spend — a process that adds 7–14 days to claim resolution times and incurs £840M+ in assessment costs annually.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2.1M</w:t>
            </w:r>
          </w:p>
          <w:p>
            <w:pPr>
              <w:jc w:val="center"/>
            </w:pPr>
            <w:r>
              <w:rPr>
                <w:rFonts w:ascii="Arial" w:cs="Arial" w:eastAsia="Arial" w:hAnsi="Arial"/>
                <w:color w:val="323F5A"/>
                <w:sz w:val="18"/>
                <w:szCs w:val="18"/>
              </w:rPr>
              <w:t xml:space="preserve">Property insurance claims filed/year (UK)</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£840M+</w:t>
            </w:r>
          </w:p>
          <w:p>
            <w:pPr>
              <w:jc w:val="center"/>
            </w:pPr>
            <w:r>
              <w:rPr>
                <w:rFonts w:ascii="Arial" w:cs="Arial" w:eastAsia="Arial" w:hAnsi="Arial"/>
                <w:color w:val="323F5A"/>
                <w:sz w:val="18"/>
                <w:szCs w:val="18"/>
              </w:rPr>
              <w:t xml:space="preserve">Annual loss adjustment cost to insurers</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7–14 days</w:t>
            </w:r>
          </w:p>
          <w:p>
            <w:pPr>
              <w:jc w:val="center"/>
            </w:pPr>
            <w:r>
              <w:rPr>
                <w:rFonts w:ascii="Arial" w:cs="Arial" w:eastAsia="Arial" w:hAnsi="Arial"/>
                <w:color w:val="323F5A"/>
                <w:sz w:val="18"/>
                <w:szCs w:val="18"/>
              </w:rPr>
              <w:t xml:space="preserve">Typical delay added by physical inspection</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£6.8B</w:t>
            </w:r>
          </w:p>
          <w:p>
            <w:pPr>
              <w:jc w:val="center"/>
            </w:pPr>
            <w:r>
              <w:rPr>
                <w:rFonts w:ascii="Arial" w:cs="Arial" w:eastAsia="Arial" w:hAnsi="Arial"/>
                <w:color w:val="323F5A"/>
                <w:sz w:val="18"/>
                <w:szCs w:val="18"/>
              </w:rPr>
              <w:t xml:space="preserve">UK property insurance GWP</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The Problem</w:t>
      </w:r>
    </w:p>
    <w:p>
      <w:pPr>
        <w:spacing w:after="120" w:before="0"/>
        <w:jc w:val="left"/>
      </w:pPr>
      <w:r>
        <w:rPr>
          <w:rFonts w:ascii="Arial" w:cs="Arial" w:eastAsia="Arial" w:hAnsi="Arial"/>
          <w:b w:val="false"/>
          <w:bCs w:val="false"/>
          <w:i w:val="false"/>
          <w:iCs w:val="false"/>
          <w:color w:val="1A1A2E"/>
          <w:sz w:val="22"/>
          <w:szCs w:val="22"/>
        </w:rPr>
        <w:t xml:space="preserve">The loss adjustment process is a principal bottleneck in claim settlement. The AI damage assessment already built into Mintenance — which can classify damage type, assess severity, estimate repair costs from a photo set, and cross-reference against UK materials pricing — is a direct technological substitute for a proportion of these visits. The remaining workflow (contractor dispatch, escrow-held payment, photo-verified completion) is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GAP</w:t>
            </w:r>
          </w:p>
        </w:tc>
        <w:tc>
          <w:tcPr>
            <w:tcW w:type="dxa" w:w="7920"/>
            <w:tcBorders>
              <w:top w:val="none" w:color="FFFFFF" w:sz="0"/>
              <w:left w:val="none" w:color="FFFFFF" w:sz="0"/>
              <w:bottom w:val="none" w:color="FFFFFF" w:sz="0"/>
              <w:right w:val="none" w:color="FFFFFF" w:sz="0"/>
            </w:tcBorders>
            <w:shd w:fill="EAF7F7" w:val="clear"/>
            <w:tcMar>
              <w:top w:type="dxa" w:w="120"/>
              <w:left w:type="dxa" w:w="160"/>
              <w:bottom w:type="dxa" w:w="120"/>
              <w:right w:type="dxa" w:w="160"/>
            </w:tcMar>
          </w:tcPr>
          <w:p>
            <w:r>
              <w:rPr>
                <w:rFonts w:ascii="Arial" w:cs="Arial" w:eastAsia="Arial" w:hAnsi="Arial"/>
                <w:color w:val="1A1A2E"/>
                <w:sz w:val="22"/>
                <w:szCs w:val="22"/>
              </w:rPr>
              <w:t xml:space="preserve">Insurers need a single platform that takes a policyholder's claim photos, produces an AI damage assessment and repair estimate within minutes, routes the job to a vetted local contractor, holds payment in escrow, and releases it on photo verification — eliminating the loss adjuster visit for low-to-mid complexity claims.</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Client Psychology &amp; Decision Drivers</w:t>
      </w:r>
    </w:p>
    <w:p>
      <w:pPr>
        <w:spacing w:after="80" w:before="0"/>
        <w:jc w:val="left"/>
      </w:pPr>
      <w:r>
        <w:rPr>
          <w:rFonts w:ascii="Arial" w:cs="Arial" w:eastAsia="Arial" w:hAnsi="Arial"/>
          <w:b w:val="false"/>
          <w:bCs w:val="false"/>
          <w:i w:val="false"/>
          <w:iCs w:val="false"/>
          <w:color w:val="1A1A2E"/>
          <w:sz w:val="22"/>
          <w:szCs w:val="22"/>
        </w:rPr>
        <w:t xml:space="preserve">Insurance companies are unlike other buyers. Their decision-making is driven by three overlapping forces:</w:t>
      </w:r>
    </w:p>
    <w:p>
      <w:pPr>
        <w:pStyle w:val="ListParagraph"/>
        <w:numPr>
          <w:ilvl w:val="0"/>
          <w:numId w:val="2"/>
        </w:numPr>
        <w:spacing w:after="60" w:before="40"/>
      </w:pPr>
      <w:r>
        <w:rPr>
          <w:rFonts w:ascii="Arial" w:cs="Arial" w:eastAsia="Arial" w:hAnsi="Arial"/>
          <w:b w:val="false"/>
          <w:bCs w:val="false"/>
          <w:color w:val="1A1A2E"/>
          <w:sz w:val="22"/>
          <w:szCs w:val="22"/>
        </w:rPr>
        <w:t xml:space="preserve">Combined Ratio pressure — insurers live and die by their combined ratio (claims + expenses / premium). Every pound of claims handling expense reduction directly improves profitability. An AI-first triage that eliminates even 20% of adjuster visits saves £168M+ annually across the market.</w:t>
      </w:r>
    </w:p>
    <w:p>
      <w:pPr>
        <w:pStyle w:val="ListParagraph"/>
        <w:numPr>
          <w:ilvl w:val="0"/>
          <w:numId w:val="2"/>
        </w:numPr>
        <w:spacing w:after="60" w:before="40"/>
      </w:pPr>
      <w:r>
        <w:rPr>
          <w:rFonts w:ascii="Arial" w:cs="Arial" w:eastAsia="Arial" w:hAnsi="Arial"/>
          <w:b w:val="false"/>
          <w:bCs w:val="false"/>
          <w:color w:val="1A1A2E"/>
          <w:sz w:val="22"/>
          <w:szCs w:val="22"/>
        </w:rPr>
        <w:t xml:space="preserve">Customer satisfaction scores (NPS) — Which? and Google Reviews have made claims handling experience a brand differentiator. Faster resolution = higher NPS. Aviva, Direct Line, and LV= all track this as a KPI.</w:t>
      </w:r>
    </w:p>
    <w:p>
      <w:pPr>
        <w:pStyle w:val="ListParagraph"/>
        <w:numPr>
          <w:ilvl w:val="0"/>
          <w:numId w:val="2"/>
        </w:numPr>
        <w:spacing w:after="60" w:before="40"/>
      </w:pPr>
      <w:r>
        <w:rPr>
          <w:rFonts w:ascii="Arial" w:cs="Arial" w:eastAsia="Arial" w:hAnsi="Arial"/>
          <w:b w:val="false"/>
          <w:bCs w:val="false"/>
          <w:color w:val="1A1A2E"/>
          <w:sz w:val="22"/>
          <w:szCs w:val="22"/>
        </w:rPr>
        <w:t xml:space="preserve">Fraud prevention — a platform with geolocation-verified photos, timestamped before/after evidence, and contractor identity validation dramatically reduces claims fraud, which costs the industry £1.1B annually.</w:t>
      </w:r>
    </w:p>
    <w:p>
      <w:pPr>
        <w:pStyle w:val="ListParagraph"/>
        <w:numPr>
          <w:ilvl w:val="0"/>
          <w:numId w:val="2"/>
        </w:numPr>
        <w:spacing w:after="60" w:before="40"/>
      </w:pPr>
      <w:r>
        <w:rPr>
          <w:rFonts w:ascii="Arial" w:cs="Arial" w:eastAsia="Arial" w:hAnsi="Arial"/>
          <w:b w:val="false"/>
          <w:bCs w:val="false"/>
          <w:color w:val="1A1A2E"/>
          <w:sz w:val="22"/>
          <w:szCs w:val="22"/>
        </w:rPr>
        <w:t xml:space="preserve">Regulatory compliance — the FCA Consumer Duty (2023) requires insurers to demonstrate fair, efficient claims handling. An auditable digital trail is not optional; it is regulatory.</w:t>
      </w:r>
    </w:p>
    <w:p>
      <w:pPr>
        <w:spacing w:after="120" w:before="0"/>
      </w:pPr>
      <w:r>
        <w:t xml:space="preserve"/>
      </w:r>
    </w:p>
    <w:p>
      <w:pPr>
        <w:spacing w:after="120" w:before="0"/>
        <w:jc w:val="left"/>
      </w:pPr>
      <w:r>
        <w:rPr>
          <w:rFonts w:ascii="Arial" w:cs="Arial" w:eastAsia="Arial" w:hAnsi="Arial"/>
          <w:b w:val="false"/>
          <w:bCs w:val="false"/>
          <w:i w:val="false"/>
          <w:iCs w:val="false"/>
          <w:color w:val="1A1A2E"/>
          <w:sz w:val="22"/>
          <w:szCs w:val="22"/>
        </w:rPr>
        <w:t xml:space="preserve">Policyholders have a simpler psychology: they want the problem fixed quickly, fairly, and with minimum hassle. The current model — waiting days for an adjuster, then weeks for an approved contractor — is a source of enormous frustration. A same-day AI assessment and next-day contractor dispatch is a transformative improvement.</w:t>
      </w:r>
    </w:p>
    <w:p>
      <w:pPr>
        <w:pStyle w:val="Heading2"/>
        <w:spacing w:after="160" w:before="300"/>
      </w:pPr>
      <w:r>
        <w:rPr>
          <w:rFonts w:ascii="Arial" w:cs="Arial" w:eastAsia="Arial" w:hAnsi="Arial"/>
          <w:b/>
          <w:bCs/>
          <w:color w:val="323F5A"/>
          <w:sz w:val="28"/>
          <w:szCs w:val="28"/>
        </w:rPr>
        <w:t xml:space="preserve">Revenue Model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Unit Economics</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Per-Claim SaaS Fee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Charged to insurer per claim routed through platform (replaces adjuster 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£85–£180 per claim (vs £400–800 adjuster visit)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£4.25M (50,000 claims/yr at £85 avg)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Contractor Network Commission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 of approved repair value on jobs placed through insurer-exclusive contractor panels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£40 per avg £2,000 repair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£2.8M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 API Licence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Annual white-label API licence for insurers embedding AI assessment in their own claims portal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£120,000–£400,000/yr per insurer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£1.2M (3–10 insurer clients)</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Strategic Entry</w:t>
      </w:r>
    </w:p>
    <w:p>
      <w:pPr>
        <w:pStyle w:val="ListParagraph"/>
        <w:numPr>
          <w:ilvl w:val="0"/>
          <w:numId w:val="3"/>
        </w:numPr>
        <w:spacing w:after="60" w:before="40"/>
      </w:pPr>
      <w:r>
        <w:rPr>
          <w:rFonts w:ascii="Arial" w:cs="Arial" w:eastAsia="Arial" w:hAnsi="Arial"/>
          <w:b w:val="false"/>
          <w:bCs w:val="false"/>
          <w:color w:val="1A1A2E"/>
          <w:sz w:val="22"/>
          <w:szCs w:val="22"/>
        </w:rPr>
        <w:t xml:space="preserve">Commission an independent validation study comparing MintAI damage assessments against qualified loss adjuster outputs on 500 historical claims. This is the single most important step — insurers are regulated and require evidence of model accuracy.</w:t>
      </w:r>
    </w:p>
    <w:p>
      <w:pPr>
        <w:pStyle w:val="ListParagraph"/>
        <w:numPr>
          <w:ilvl w:val="0"/>
          <w:numId w:val="3"/>
        </w:numPr>
        <w:spacing w:after="60" w:before="40"/>
      </w:pPr>
      <w:r>
        <w:rPr>
          <w:rFonts w:ascii="Arial" w:cs="Arial" w:eastAsia="Arial" w:hAnsi="Arial"/>
          <w:b w:val="false"/>
          <w:bCs w:val="false"/>
          <w:color w:val="1A1A2E"/>
          <w:sz w:val="22"/>
          <w:szCs w:val="22"/>
        </w:rPr>
        <w:t xml:space="preserve">Target a tier-2 insurer (NFU Mutual, Hastings Direct, Ageas) for a paid pilot on sub-£5,000 domestic property claims. Avoid tier-1 until model is validated — the commercial stakes are too high.</w:t>
      </w:r>
    </w:p>
    <w:p>
      <w:pPr>
        <w:pStyle w:val="ListParagraph"/>
        <w:numPr>
          <w:ilvl w:val="0"/>
          <w:numId w:val="3"/>
        </w:numPr>
        <w:spacing w:after="60" w:before="40"/>
      </w:pPr>
      <w:r>
        <w:rPr>
          <w:rFonts w:ascii="Arial" w:cs="Arial" w:eastAsia="Arial" w:hAnsi="Arial"/>
          <w:b w:val="false"/>
          <w:bCs w:val="false"/>
          <w:color w:val="1A1A2E"/>
          <w:sz w:val="22"/>
          <w:szCs w:val="22"/>
        </w:rPr>
        <w:t xml:space="preserve">Build a Claims API that insurers can embed in their first notification of loss (FNOL) portal — policyholders submit photos, AI responds with assessment and preferred contractor selection within 60 seconds.</w:t>
      </w:r>
    </w:p>
    <w:p>
      <w:pPr>
        <w:pStyle w:val="ListParagraph"/>
        <w:numPr>
          <w:ilvl w:val="0"/>
          <w:numId w:val="3"/>
        </w:numPr>
        <w:spacing w:after="60" w:before="40"/>
      </w:pPr>
      <w:r>
        <w:rPr>
          <w:rFonts w:ascii="Arial" w:cs="Arial" w:eastAsia="Arial" w:hAnsi="Arial"/>
          <w:b w:val="false"/>
          <w:bCs w:val="false"/>
          <w:color w:val="1A1A2E"/>
          <w:sz w:val="22"/>
          <w:szCs w:val="22"/>
        </w:rPr>
        <w:t xml:space="preserve">Seek accreditation from Chartered Institute of Loss Adjusters (CILA) for the AI assessment methodology.</w:t>
      </w:r>
    </w:p>
    <w:p>
      <w:pPr>
        <w:pStyle w:val="ListParagraph"/>
        <w:numPr>
          <w:ilvl w:val="0"/>
          <w:numId w:val="3"/>
        </w:numPr>
        <w:spacing w:after="60" w:before="40"/>
      </w:pPr>
      <w:r>
        <w:rPr>
          <w:rFonts w:ascii="Arial" w:cs="Arial" w:eastAsia="Arial" w:hAnsi="Arial"/>
          <w:b w:val="false"/>
          <w:bCs w:val="false"/>
          <w:color w:val="1A1A2E"/>
          <w:sz w:val="22"/>
          <w:szCs w:val="22"/>
        </w:rPr>
        <w:t xml:space="preserve">Consider white-label deployment — some insurers will want the brand removed and replaced with their own.</w:t>
      </w:r>
    </w:p>
    <w:p>
      <w:pPr>
        <w:spacing w:after="120" w:before="0"/>
      </w:pPr>
      <w:r>
        <w:t xml:space="preserve"/>
      </w:r>
    </w:p>
    <w:p>
      <w:pPr>
        <w:pStyle w:val="Heading2"/>
        <w:spacing w:after="160" w:before="300"/>
      </w:pPr>
      <w:r>
        <w:rPr>
          <w:rFonts w:ascii="Arial" w:cs="Arial" w:eastAsia="Arial" w:hAnsi="Arial"/>
          <w:b/>
          <w:bCs/>
          <w:color w:val="323F5A"/>
          <w:sz w:val="28"/>
          <w:szCs w:val="28"/>
        </w:rPr>
        <w:t xml:space="preserve">Infrastructure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Required Addition</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Claims API (white-label, 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Internal services exist; need external API layer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Loss adjuster validation dataset (500+ labelled claims)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VLM training pipeline exists; need insurance-labelled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Insurer-managed contractor panel (pre-approved network)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Contractor matching exists; add insurer-specific whitelisting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FCA-compliant audit trail export (per claim)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Compliance module exists; configure for FCA format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FNOL portal integration (REST hook)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infrastructure in place</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05</w:t>
            </w:r>
          </w:p>
        </w:tc>
        <w:tc>
          <w:tcPr>
            <w:tcW w:type="dxa" w:w="8160"/>
            <w:tcBorders>
              <w:top w:val="none" w:color="FFFFFF" w:sz="0"/>
              <w:left w:val="none" w:color="FFFFFF" w:sz="0"/>
              <w:bottom w:val="none" w:color="FFFFFF" w:sz="0"/>
              <w:right w:val="none" w:color="FFFFFF" w:sz="0"/>
            </w:tcBorders>
            <w:shd w:fill="EAF7F7" w:val="clear"/>
            <w:tcMar>
              <w:top w:type="dxa" w:w="120"/>
              <w:left w:type="dxa" w:w="200"/>
              <w:bottom w:type="dxa" w:w="120"/>
              <w:right w:type="dxa" w:w="160"/>
            </w:tcMar>
          </w:tcPr>
          <w:p>
            <w:r>
              <w:rPr>
                <w:rFonts w:ascii="Arial" w:cs="Arial" w:eastAsia="Arial" w:hAnsi="Arial"/>
                <w:b/>
                <w:bCs/>
                <w:color w:val="0D7377"/>
                <w:sz w:val="32"/>
                <w:szCs w:val="32"/>
              </w:rPr>
              <w:t xml:space="preserve">Short-Term Rental &amp; Holiday Let Operators</w:t>
            </w:r>
          </w:p>
          <w:p>
            <w:r>
              <w:rPr>
                <w:rFonts w:ascii="Arial" w:cs="Arial" w:eastAsia="Arial" w:hAnsi="Arial"/>
                <w:i/>
                <w:iCs/>
                <w:color w:val="323F5A"/>
                <w:sz w:val="22"/>
                <w:szCs w:val="22"/>
              </w:rPr>
              <w:t xml:space="preserve">High urgency, premium pricing tolerance, growing fast</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Market Overview</w:t>
      </w:r>
    </w:p>
    <w:p>
      <w:pPr>
        <w:spacing w:after="120" w:before="0"/>
        <w:jc w:val="left"/>
      </w:pPr>
      <w:r>
        <w:rPr>
          <w:rFonts w:ascii="Arial" w:cs="Arial" w:eastAsia="Arial" w:hAnsi="Arial"/>
          <w:b w:val="false"/>
          <w:bCs w:val="false"/>
          <w:i w:val="false"/>
          <w:iCs w:val="false"/>
          <w:color w:val="1A1A2E"/>
          <w:sz w:val="22"/>
          <w:szCs w:val="22"/>
        </w:rPr>
        <w:t xml:space="preserve">The UK short-term rental market has grown 44% since 2019. There are now approximately 340,000 properties listed on Airbnb and VRBO in the UK, managed by an estimated 85,000 hosts. Professional operators (managing 5+ properties) account for 31% of listings but 68% of revenue. These operators spend an estimated £420M annually on maintenance and emergency callouts, with a premium price tolerance 40–60% above standard market rates due to urgency.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340,000</w:t>
            </w:r>
          </w:p>
          <w:p>
            <w:pPr>
              <w:jc w:val="center"/>
            </w:pPr>
            <w:r>
              <w:rPr>
                <w:rFonts w:ascii="Arial" w:cs="Arial" w:eastAsia="Arial" w:hAnsi="Arial"/>
                <w:color w:val="323F5A"/>
                <w:sz w:val="18"/>
                <w:szCs w:val="18"/>
              </w:rPr>
              <w:t xml:space="preserve">UK short-term rental listings</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£420M</w:t>
            </w:r>
          </w:p>
          <w:p>
            <w:pPr>
              <w:jc w:val="center"/>
            </w:pPr>
            <w:r>
              <w:rPr>
                <w:rFonts w:ascii="Arial" w:cs="Arial" w:eastAsia="Arial" w:hAnsi="Arial"/>
                <w:color w:val="323F5A"/>
                <w:sz w:val="18"/>
                <w:szCs w:val="18"/>
              </w:rPr>
              <w:t xml:space="preserve">Annual maintenance spend by STR operators</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24hrs</w:t>
            </w:r>
          </w:p>
          <w:p>
            <w:pPr>
              <w:jc w:val="center"/>
            </w:pPr>
            <w:r>
              <w:rPr>
                <w:rFonts w:ascii="Arial" w:cs="Arial" w:eastAsia="Arial" w:hAnsi="Arial"/>
                <w:color w:val="323F5A"/>
                <w:sz w:val="18"/>
                <w:szCs w:val="18"/>
              </w:rPr>
              <w:t xml:space="preserve">Maximum turnaround window between guest stays</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44%</w:t>
            </w:r>
          </w:p>
          <w:p>
            <w:pPr>
              <w:jc w:val="center"/>
            </w:pPr>
            <w:r>
              <w:rPr>
                <w:rFonts w:ascii="Arial" w:cs="Arial" w:eastAsia="Arial" w:hAnsi="Arial"/>
                <w:color w:val="323F5A"/>
                <w:sz w:val="18"/>
                <w:szCs w:val="18"/>
              </w:rPr>
              <w:t xml:space="preserve">Market growth since 2019</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The Problem</w:t>
      </w:r>
    </w:p>
    <w:p>
      <w:pPr>
        <w:spacing w:after="120" w:before="0"/>
        <w:jc w:val="left"/>
      </w:pPr>
      <w:r>
        <w:rPr>
          <w:rFonts w:ascii="Arial" w:cs="Arial" w:eastAsia="Arial" w:hAnsi="Arial"/>
          <w:b w:val="false"/>
          <w:bCs w:val="false"/>
          <w:i w:val="false"/>
          <w:iCs w:val="false"/>
          <w:color w:val="1A1A2E"/>
          <w:sz w:val="22"/>
          <w:szCs w:val="22"/>
        </w:rPr>
        <w:t xml:space="preserve">A guest departs on Sunday morning. The next guest arrives Sunday afternoon. A broken shower head, a faulty boiler, or a damaged sofa must be assessed, quoted, and repaired within hours. Standard contractor networks cannot respond at this speed. Professional STR operators typically maintain a fragmented list of emergency tradespeople, each with different pricing, availability, and reliability. There is no platform offering guaranteed rapid-response contractor dispatch with photo-verified completion that integrates with the guest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GAP</w:t>
            </w:r>
          </w:p>
        </w:tc>
        <w:tc>
          <w:tcPr>
            <w:tcW w:type="dxa" w:w="7920"/>
            <w:tcBorders>
              <w:top w:val="none" w:color="FFFFFF" w:sz="0"/>
              <w:left w:val="none" w:color="FFFFFF" w:sz="0"/>
              <w:bottom w:val="none" w:color="FFFFFF" w:sz="0"/>
              <w:right w:val="none" w:color="FFFFFF" w:sz="0"/>
            </w:tcBorders>
            <w:shd w:fill="EAF7F7" w:val="clear"/>
            <w:tcMar>
              <w:top w:type="dxa" w:w="120"/>
              <w:left w:type="dxa" w:w="160"/>
              <w:bottom w:type="dxa" w:w="120"/>
              <w:right w:type="dxa" w:w="160"/>
            </w:tcMar>
          </w:tcPr>
          <w:p>
            <w:r>
              <w:rPr>
                <w:rFonts w:ascii="Arial" w:cs="Arial" w:eastAsia="Arial" w:hAnsi="Arial"/>
                <w:color w:val="1A1A2E"/>
                <w:sz w:val="22"/>
                <w:szCs w:val="22"/>
              </w:rPr>
              <w:t xml:space="preserve">Airbnb and VRBO have no native maintenance workflow beyond a basic 'contact host' message. The gap between a guest damage report and a verified, paid repair is entirely unaddressed by existing platform infrastructure.</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Client Psychology &amp; Decision Drivers</w:t>
      </w:r>
    </w:p>
    <w:p>
      <w:pPr>
        <w:spacing w:after="80" w:before="0"/>
        <w:jc w:val="left"/>
      </w:pPr>
      <w:r>
        <w:rPr>
          <w:rFonts w:ascii="Arial" w:cs="Arial" w:eastAsia="Arial" w:hAnsi="Arial"/>
          <w:b w:val="false"/>
          <w:bCs w:val="false"/>
          <w:i w:val="false"/>
          <w:iCs w:val="false"/>
          <w:color w:val="1A1A2E"/>
          <w:sz w:val="22"/>
          <w:szCs w:val="22"/>
        </w:rPr>
        <w:t xml:space="preserve">STR operators have a distinct psychology shaped by the platform economy:</w:t>
      </w:r>
    </w:p>
    <w:p>
      <w:pPr>
        <w:pStyle w:val="ListParagraph"/>
        <w:numPr>
          <w:ilvl w:val="0"/>
          <w:numId w:val="2"/>
        </w:numPr>
        <w:spacing w:after="60" w:before="40"/>
      </w:pPr>
      <w:r>
        <w:rPr>
          <w:rFonts w:ascii="Arial" w:cs="Arial" w:eastAsia="Arial" w:hAnsi="Arial"/>
          <w:b w:val="false"/>
          <w:bCs w:val="false"/>
          <w:color w:val="1A1A2E"/>
          <w:sz w:val="22"/>
          <w:szCs w:val="22"/>
        </w:rPr>
        <w:t xml:space="preserve">Revenue-per-night obsession — a property offline for even one night represents lost revenue. Speed is valued above cost.</w:t>
      </w:r>
    </w:p>
    <w:p>
      <w:pPr>
        <w:pStyle w:val="ListParagraph"/>
        <w:numPr>
          <w:ilvl w:val="0"/>
          <w:numId w:val="2"/>
        </w:numPr>
        <w:spacing w:after="60" w:before="40"/>
      </w:pPr>
      <w:r>
        <w:rPr>
          <w:rFonts w:ascii="Arial" w:cs="Arial" w:eastAsia="Arial" w:hAnsi="Arial"/>
          <w:b w:val="false"/>
          <w:bCs w:val="false"/>
          <w:color w:val="1A1A2E"/>
          <w:sz w:val="22"/>
          <w:szCs w:val="22"/>
        </w:rPr>
        <w:t xml:space="preserve">Superhost status anxiety — platforms rank hosts by response time and property standards. A maintenance failure that generates a bad review is a strategic threat.</w:t>
      </w:r>
    </w:p>
    <w:p>
      <w:pPr>
        <w:pStyle w:val="ListParagraph"/>
        <w:numPr>
          <w:ilvl w:val="0"/>
          <w:numId w:val="2"/>
        </w:numPr>
        <w:spacing w:after="60" w:before="40"/>
      </w:pPr>
      <w:r>
        <w:rPr>
          <w:rFonts w:ascii="Arial" w:cs="Arial" w:eastAsia="Arial" w:hAnsi="Arial"/>
          <w:b w:val="false"/>
          <w:bCs w:val="false"/>
          <w:color w:val="1A1A2E"/>
          <w:sz w:val="22"/>
          <w:szCs w:val="22"/>
        </w:rPr>
        <w:t xml:space="preserve">Damage attribution anxiety — when a guest reports damage, the host needs to know: was it pre-existing or guest-caused? Photo-verified before/after evidence (already built into Mintenance) directly solves this.</w:t>
      </w:r>
    </w:p>
    <w:p>
      <w:pPr>
        <w:pStyle w:val="ListParagraph"/>
        <w:numPr>
          <w:ilvl w:val="0"/>
          <w:numId w:val="2"/>
        </w:numPr>
        <w:spacing w:after="60" w:before="40"/>
      </w:pPr>
      <w:r>
        <w:rPr>
          <w:rFonts w:ascii="Arial" w:cs="Arial" w:eastAsia="Arial" w:hAnsi="Arial"/>
          <w:b w:val="false"/>
          <w:bCs w:val="false"/>
          <w:color w:val="1A1A2E"/>
          <w:sz w:val="22"/>
          <w:szCs w:val="22"/>
        </w:rPr>
        <w:t xml:space="preserve">Tax documentation — STR operators are typically small businesses. Clean invoices per job are a tax requirement.</w:t>
      </w:r>
    </w:p>
    <w:p>
      <w:pPr>
        <w:pStyle w:val="ListParagraph"/>
        <w:numPr>
          <w:ilvl w:val="0"/>
          <w:numId w:val="2"/>
        </w:numPr>
        <w:spacing w:after="60" w:before="40"/>
      </w:pPr>
      <w:r>
        <w:rPr>
          <w:rFonts w:ascii="Arial" w:cs="Arial" w:eastAsia="Arial" w:hAnsi="Arial"/>
          <w:b w:val="false"/>
          <w:bCs w:val="false"/>
          <w:color w:val="1A1A2E"/>
          <w:sz w:val="22"/>
          <w:szCs w:val="22"/>
        </w:rPr>
        <w:t xml:space="preserve">Seasonal volatility — peak demand periods (summer, Christmas) create simultaneous maintenance spikes that overwhelm informal contractor lists.</w:t>
      </w:r>
    </w:p>
    <w:p>
      <w:pPr>
        <w:spacing w:after="120" w:before="0"/>
      </w:pPr>
      <w:r>
        <w:t xml:space="preserve"/>
      </w:r>
    </w:p>
    <w:p>
      <w:pPr>
        <w:pStyle w:val="Heading2"/>
        <w:spacing w:after="160" w:before="300"/>
      </w:pPr>
      <w:r>
        <w:rPr>
          <w:rFonts w:ascii="Arial" w:cs="Arial" w:eastAsia="Arial" w:hAnsi="Arial"/>
          <w:b/>
          <w:bCs/>
          <w:color w:val="323F5A"/>
          <w:sz w:val="28"/>
          <w:szCs w:val="28"/>
        </w:rPr>
        <w:t xml:space="preserve">Revenue Model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Unit Economics</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Premium Subscription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subscription for STR operators; includes priority contractor matching and same-day SLA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£49/mo per operator (1–5 properties)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£2.0M ARR (3,400 operators)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Emergency Dispatch Fee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Fixed £25 platform fee per emergency job (&lt; 4-hour response) in addition to contractor payment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£25 per emergency job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£1.5M (60,000 emergency jobs)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Airbnb/VRBO Integration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damage detection from guest check-out photo review; linked to booking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£0.50 per check-out processed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£0.85M (1.7M check-outs)</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Strategic Entry</w:t>
      </w:r>
    </w:p>
    <w:p>
      <w:pPr>
        <w:pStyle w:val="ListParagraph"/>
        <w:numPr>
          <w:ilvl w:val="0"/>
          <w:numId w:val="3"/>
        </w:numPr>
        <w:spacing w:after="60" w:before="40"/>
      </w:pPr>
      <w:r>
        <w:rPr>
          <w:rFonts w:ascii="Arial" w:cs="Arial" w:eastAsia="Arial" w:hAnsi="Arial"/>
          <w:b w:val="false"/>
          <w:bCs w:val="false"/>
          <w:color w:val="1A1A2E"/>
          <w:sz w:val="22"/>
          <w:szCs w:val="22"/>
        </w:rPr>
        <w:t xml:space="preserve">Build an Airbnb API integration — connect calendar availability to job scheduling, and allow guest damage reports to auto-create a job ticket.</w:t>
      </w:r>
    </w:p>
    <w:p>
      <w:pPr>
        <w:pStyle w:val="ListParagraph"/>
        <w:numPr>
          <w:ilvl w:val="0"/>
          <w:numId w:val="3"/>
        </w:numPr>
        <w:spacing w:after="60" w:before="40"/>
      </w:pPr>
      <w:r>
        <w:rPr>
          <w:rFonts w:ascii="Arial" w:cs="Arial" w:eastAsia="Arial" w:hAnsi="Arial"/>
          <w:b w:val="false"/>
          <w:bCs w:val="false"/>
          <w:color w:val="1A1A2E"/>
          <w:sz w:val="22"/>
          <w:szCs w:val="22"/>
        </w:rPr>
        <w:t xml:space="preserve">Launch 'Mintenance Rapid' as a premium tier with a 4-hour guaranteed contractor dispatch SLA in covered postcodes. Use the existing contractor geo-matching system with 'urgent' flag prioritisation.</w:t>
      </w:r>
    </w:p>
    <w:p>
      <w:pPr>
        <w:pStyle w:val="ListParagraph"/>
        <w:numPr>
          <w:ilvl w:val="0"/>
          <w:numId w:val="3"/>
        </w:numPr>
        <w:spacing w:after="60" w:before="40"/>
      </w:pPr>
      <w:r>
        <w:rPr>
          <w:rFonts w:ascii="Arial" w:cs="Arial" w:eastAsia="Arial" w:hAnsi="Arial"/>
          <w:b w:val="false"/>
          <w:bCs w:val="false"/>
          <w:color w:val="1A1A2E"/>
          <w:sz w:val="22"/>
          <w:szCs w:val="22"/>
        </w:rPr>
        <w:t xml:space="preserve">Partner with STR property management companies (Houst, Pass the Keys, Hostmaker) as B2B channel partners — they manage thousands of properties and have the pain point acutely.</w:t>
      </w:r>
    </w:p>
    <w:p>
      <w:pPr>
        <w:pStyle w:val="ListParagraph"/>
        <w:numPr>
          <w:ilvl w:val="0"/>
          <w:numId w:val="3"/>
        </w:numPr>
        <w:spacing w:after="60" w:before="40"/>
      </w:pPr>
      <w:r>
        <w:rPr>
          <w:rFonts w:ascii="Arial" w:cs="Arial" w:eastAsia="Arial" w:hAnsi="Arial"/>
          <w:b w:val="false"/>
          <w:bCs w:val="false"/>
          <w:color w:val="1A1A2E"/>
          <w:sz w:val="22"/>
          <w:szCs w:val="22"/>
        </w:rPr>
        <w:t xml:space="preserve">Create a 'damage attribution report' product: AI analysis of check-out photos against check-in baseline, producing a timestamped evidence pack for Airbnb damage claims.</w:t>
      </w:r>
    </w:p>
    <w:p>
      <w:pPr>
        <w:pStyle w:val="ListParagraph"/>
        <w:numPr>
          <w:ilvl w:val="0"/>
          <w:numId w:val="3"/>
        </w:numPr>
        <w:spacing w:after="60" w:before="40"/>
      </w:pPr>
      <w:r>
        <w:rPr>
          <w:rFonts w:ascii="Arial" w:cs="Arial" w:eastAsia="Arial" w:hAnsi="Arial"/>
          <w:b w:val="false"/>
          <w:bCs w:val="false"/>
          <w:color w:val="1A1A2E"/>
          <w:sz w:val="22"/>
          <w:szCs w:val="22"/>
        </w:rPr>
        <w:t xml:space="preserve">Expand contractor coverage in key STR geographies: Cornwall, Lake District, Edinburgh, London, Cotswolds.</w:t>
      </w:r>
    </w:p>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06</w:t>
            </w:r>
          </w:p>
        </w:tc>
        <w:tc>
          <w:tcPr>
            <w:tcW w:type="dxa" w:w="8160"/>
            <w:tcBorders>
              <w:top w:val="none" w:color="FFFFFF" w:sz="0"/>
              <w:left w:val="none" w:color="FFFFFF" w:sz="0"/>
              <w:bottom w:val="none" w:color="FFFFFF" w:sz="0"/>
              <w:right w:val="none" w:color="FFFFFF" w:sz="0"/>
            </w:tcBorders>
            <w:shd w:fill="EAF7F7" w:val="clear"/>
            <w:tcMar>
              <w:top w:type="dxa" w:w="120"/>
              <w:left w:type="dxa" w:w="200"/>
              <w:bottom w:type="dxa" w:w="120"/>
              <w:right w:type="dxa" w:w="160"/>
            </w:tcMar>
          </w:tcPr>
          <w:p>
            <w:r>
              <w:rPr>
                <w:rFonts w:ascii="Arial" w:cs="Arial" w:eastAsia="Arial" w:hAnsi="Arial"/>
                <w:b/>
                <w:bCs/>
                <w:color w:val="0D7377"/>
                <w:sz w:val="32"/>
                <w:szCs w:val="32"/>
              </w:rPr>
              <w:t xml:space="preserve">UK Green Retrofit Marketplace</w:t>
            </w:r>
          </w:p>
          <w:p>
            <w:r>
              <w:rPr>
                <w:rFonts w:ascii="Arial" w:cs="Arial" w:eastAsia="Arial" w:hAnsi="Arial"/>
                <w:i/>
                <w:iCs/>
                <w:color w:val="323F5A"/>
                <w:sz w:val="22"/>
                <w:szCs w:val="22"/>
              </w:rPr>
              <w:t xml:space="preserve">Government grant tailwinds; £3.5B annual spend; specialist credentials required</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Market Overview</w:t>
      </w:r>
    </w:p>
    <w:p>
      <w:pPr>
        <w:spacing w:after="120" w:before="0"/>
        <w:jc w:val="left"/>
      </w:pPr>
      <w:r>
        <w:rPr>
          <w:rFonts w:ascii="Arial" w:cs="Arial" w:eastAsia="Arial" w:hAnsi="Arial"/>
          <w:b w:val="false"/>
          <w:bCs w:val="false"/>
          <w:i w:val="false"/>
          <w:iCs w:val="false"/>
          <w:color w:val="1A1A2E"/>
          <w:sz w:val="22"/>
          <w:szCs w:val="22"/>
        </w:rPr>
        <w:t xml:space="preserve">The UK government has committed to retrofitting 19 million homes to EPC band C or above by 2030. Active grant schemes include ECO4 (£4B), the Great British Insulation Scheme (£1B), the Boiler Upgrade Scheme (£450M), and the Warm Homes Plan (£3.4B announced in 2025). Annual installer revenue in this sector reached £3.5 billion in 2025 and is projected to grow to £8.2 billion by 2030. The sector is characterised by a severe shortage of certified installers and widespread consumer confusion about eligibility and process.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£3.5B</w:t>
            </w:r>
          </w:p>
          <w:p>
            <w:pPr>
              <w:jc w:val="center"/>
            </w:pPr>
            <w:r>
              <w:rPr>
                <w:rFonts w:ascii="Arial" w:cs="Arial" w:eastAsia="Arial" w:hAnsi="Arial"/>
                <w:color w:val="323F5A"/>
                <w:sz w:val="18"/>
                <w:szCs w:val="18"/>
              </w:rPr>
              <w:t xml:space="preserve">Current annual retrofit market size</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£8.2B</w:t>
            </w:r>
          </w:p>
          <w:p>
            <w:pPr>
              <w:jc w:val="center"/>
            </w:pPr>
            <w:r>
              <w:rPr>
                <w:rFonts w:ascii="Arial" w:cs="Arial" w:eastAsia="Arial" w:hAnsi="Arial"/>
                <w:color w:val="323F5A"/>
                <w:sz w:val="18"/>
                <w:szCs w:val="18"/>
              </w:rPr>
              <w:t xml:space="preserve">Projected market by 2030</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19M</w:t>
            </w:r>
          </w:p>
          <w:p>
            <w:pPr>
              <w:jc w:val="center"/>
            </w:pPr>
            <w:r>
              <w:rPr>
                <w:rFonts w:ascii="Arial" w:cs="Arial" w:eastAsia="Arial" w:hAnsi="Arial"/>
                <w:color w:val="323F5A"/>
                <w:sz w:val="18"/>
                <w:szCs w:val="18"/>
              </w:rPr>
              <w:t xml:space="preserve">Homes targeted for retrofit by 2030</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70%</w:t>
            </w:r>
          </w:p>
          <w:p>
            <w:pPr>
              <w:jc w:val="center"/>
            </w:pPr>
            <w:r>
              <w:rPr>
                <w:rFonts w:ascii="Arial" w:cs="Arial" w:eastAsia="Arial" w:hAnsi="Arial"/>
                <w:color w:val="323F5A"/>
                <w:sz w:val="18"/>
                <w:szCs w:val="18"/>
              </w:rPr>
              <w:t xml:space="preserve">Eligible homeowners unaware of grants available</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The Problem</w:t>
      </w:r>
    </w:p>
    <w:p>
      <w:pPr>
        <w:spacing w:after="120" w:before="0"/>
        <w:jc w:val="left"/>
      </w:pPr>
      <w:r>
        <w:rPr>
          <w:rFonts w:ascii="Arial" w:cs="Arial" w:eastAsia="Arial" w:hAnsi="Arial"/>
          <w:b w:val="false"/>
          <w:bCs w:val="false"/>
          <w:i w:val="false"/>
          <w:iCs w:val="false"/>
          <w:color w:val="1A1A2E"/>
          <w:sz w:val="22"/>
          <w:szCs w:val="22"/>
        </w:rPr>
        <w:t xml:space="preserve">The path from a homeowner wanting to retrofit to a completed, grant-funded installation involves: checking eligibility across multiple schemes, finding a TrustMark and MCS-certified installer, obtaining 3 quotes (often required by grant schemes), signing a compliant contract, and managing the installation with the certifying body. The average consumer abandons this process before completion. The average grant claim takes 4–6 months from initial enquiry to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GAP</w:t>
            </w:r>
          </w:p>
        </w:tc>
        <w:tc>
          <w:tcPr>
            <w:tcW w:type="dxa" w:w="7920"/>
            <w:tcBorders>
              <w:top w:val="none" w:color="FFFFFF" w:sz="0"/>
              <w:left w:val="none" w:color="FFFFFF" w:sz="0"/>
              <w:bottom w:val="none" w:color="FFFFFF" w:sz="0"/>
              <w:right w:val="none" w:color="FFFFFF" w:sz="0"/>
            </w:tcBorders>
            <w:shd w:fill="EAF7F7" w:val="clear"/>
            <w:tcMar>
              <w:top w:type="dxa" w:w="120"/>
              <w:left w:type="dxa" w:w="160"/>
              <w:bottom w:type="dxa" w:w="120"/>
              <w:right w:type="dxa" w:w="160"/>
            </w:tcMar>
          </w:tcPr>
          <w:p>
            <w:r>
              <w:rPr>
                <w:rFonts w:ascii="Arial" w:cs="Arial" w:eastAsia="Arial" w:hAnsi="Arial"/>
                <w:color w:val="1A1A2E"/>
                <w:sz w:val="22"/>
                <w:szCs w:val="22"/>
              </w:rPr>
              <w:t xml:space="preserve">No platform combines AI-powered EPC assessment, grant eligibility calculation, certified contractor matching (MCS, TrustMark, Gas Safe), competitive bidding with compliant contract templates, and escrow payment aligned to grant release timelines.</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Client Psychology &amp; Decision Drivers</w:t>
      </w:r>
    </w:p>
    <w:p>
      <w:pPr>
        <w:spacing w:after="80" w:before="0"/>
        <w:jc w:val="left"/>
      </w:pPr>
      <w:r>
        <w:rPr>
          <w:rFonts w:ascii="Arial" w:cs="Arial" w:eastAsia="Arial" w:hAnsi="Arial"/>
          <w:b w:val="false"/>
          <w:bCs w:val="false"/>
          <w:i w:val="false"/>
          <w:iCs w:val="false"/>
          <w:color w:val="1A1A2E"/>
          <w:sz w:val="22"/>
          <w:szCs w:val="22"/>
        </w:rPr>
        <w:t xml:space="preserve">Green retrofit has a unique psychology shaped by financial incentives and sustainability values:</w:t>
      </w:r>
    </w:p>
    <w:p>
      <w:pPr>
        <w:pStyle w:val="ListParagraph"/>
        <w:numPr>
          <w:ilvl w:val="0"/>
          <w:numId w:val="2"/>
        </w:numPr>
        <w:spacing w:after="60" w:before="40"/>
      </w:pPr>
      <w:r>
        <w:rPr>
          <w:rFonts w:ascii="Arial" w:cs="Arial" w:eastAsia="Arial" w:hAnsi="Arial"/>
          <w:b w:val="false"/>
          <w:bCs w:val="false"/>
          <w:color w:val="1A1A2E"/>
          <w:sz w:val="22"/>
          <w:szCs w:val="22"/>
        </w:rPr>
        <w:t xml:space="preserve">Financial motivation dominates — surveys show 73% of homeowners cite bill savings and grant income, not environmental concern, as the primary decision driver. The 'green' framing is secondary; the economic framing is primary.</w:t>
      </w:r>
    </w:p>
    <w:p>
      <w:pPr>
        <w:pStyle w:val="ListParagraph"/>
        <w:numPr>
          <w:ilvl w:val="0"/>
          <w:numId w:val="2"/>
        </w:numPr>
        <w:spacing w:after="60" w:before="40"/>
      </w:pPr>
      <w:r>
        <w:rPr>
          <w:rFonts w:ascii="Arial" w:cs="Arial" w:eastAsia="Arial" w:hAnsi="Arial"/>
          <w:b w:val="false"/>
          <w:bCs w:val="false"/>
          <w:color w:val="1A1A2E"/>
          <w:sz w:val="22"/>
          <w:szCs w:val="22"/>
        </w:rPr>
        <w:t xml:space="preserve">Complexity paralysis — the profusion of overlapping schemes (ECO4, GBIS, BUS, HUG2) creates decision paralysis. A single platform that says 'you qualify for £X, here are 3 certified installers, click here to apply' removes this barrier entirely.</w:t>
      </w:r>
    </w:p>
    <w:p>
      <w:pPr>
        <w:pStyle w:val="ListParagraph"/>
        <w:numPr>
          <w:ilvl w:val="0"/>
          <w:numId w:val="2"/>
        </w:numPr>
        <w:spacing w:after="60" w:before="40"/>
      </w:pPr>
      <w:r>
        <w:rPr>
          <w:rFonts w:ascii="Arial" w:cs="Arial" w:eastAsia="Arial" w:hAnsi="Arial"/>
          <w:b w:val="false"/>
          <w:bCs w:val="false"/>
          <w:color w:val="1A1A2E"/>
          <w:sz w:val="22"/>
          <w:szCs w:val="22"/>
        </w:rPr>
        <w:t xml:space="preserve">Trust deficit — the retrofit sector has a well-publicised history of rogue traders claiming grants for substandard work (particularly cavity wall insulation). Mintenance's vetted contractor model and photo-verified completion directly addresses this.</w:t>
      </w:r>
    </w:p>
    <w:p>
      <w:pPr>
        <w:pStyle w:val="ListParagraph"/>
        <w:numPr>
          <w:ilvl w:val="0"/>
          <w:numId w:val="2"/>
        </w:numPr>
        <w:spacing w:after="60" w:before="40"/>
      </w:pPr>
      <w:r>
        <w:rPr>
          <w:rFonts w:ascii="Arial" w:cs="Arial" w:eastAsia="Arial" w:hAnsi="Arial"/>
          <w:b w:val="false"/>
          <w:bCs w:val="false"/>
          <w:color w:val="1A1A2E"/>
          <w:sz w:val="22"/>
          <w:szCs w:val="22"/>
        </w:rPr>
        <w:t xml:space="preserve">Social proof seeking — retrofit decisions are heavily influenced by neighbours and community groups. A visible 'jobs completed in your area' map would accelerate adoption.</w:t>
      </w:r>
    </w:p>
    <w:p>
      <w:pPr>
        <w:spacing w:after="120" w:before="0"/>
      </w:pPr>
      <w:r>
        <w:t xml:space="preserve"/>
      </w:r>
    </w:p>
    <w:p>
      <w:pPr>
        <w:pStyle w:val="Heading2"/>
        <w:spacing w:after="160" w:before="300"/>
      </w:pPr>
      <w:r>
        <w:rPr>
          <w:rFonts w:ascii="Arial" w:cs="Arial" w:eastAsia="Arial" w:hAnsi="Arial"/>
          <w:b/>
          <w:bCs/>
          <w:color w:val="323F5A"/>
          <w:sz w:val="28"/>
          <w:szCs w:val="28"/>
        </w:rPr>
        <w:t xml:space="preserve">Revenue Model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Unit Economics</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Installer Subscription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subscription for TrustMark/MCS-certified installers on the platform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£149/mo per installer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£3.6M ARR (2,000 installers)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Homeowner Lead Fee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Per-job fee to installer for qualified homeowner leads with grant eligibility confirmed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£120–£250 per qualified lead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£2.4M (12,000 leads)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Grant Application Service Fee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 to homeowner for grant navigation and application submission 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£199 per successful application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£2.0M (10,000 applications)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Transaction Commission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1.5% on installer payments processed through platform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£60 per avg £4,000 job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£1.8M</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Strategic Entry</w:t>
      </w:r>
    </w:p>
    <w:p>
      <w:pPr>
        <w:pStyle w:val="ListParagraph"/>
        <w:numPr>
          <w:ilvl w:val="0"/>
          <w:numId w:val="3"/>
        </w:numPr>
        <w:spacing w:after="60" w:before="40"/>
      </w:pPr>
      <w:r>
        <w:rPr>
          <w:rFonts w:ascii="Arial" w:cs="Arial" w:eastAsia="Arial" w:hAnsi="Arial"/>
          <w:b w:val="false"/>
          <w:bCs w:val="false"/>
          <w:color w:val="1A1A2E"/>
          <w:sz w:val="22"/>
          <w:szCs w:val="22"/>
        </w:rPr>
        <w:t xml:space="preserve">Build an AI-powered EPC assessment tool — homeowner uploads photos of their property, MintAI estimates current EPC rating and identifies highest-impact improvement measures with grant-adjusted ROI calculations.</w:t>
      </w:r>
    </w:p>
    <w:p>
      <w:pPr>
        <w:pStyle w:val="ListParagraph"/>
        <w:numPr>
          <w:ilvl w:val="0"/>
          <w:numId w:val="3"/>
        </w:numPr>
        <w:spacing w:after="60" w:before="40"/>
      </w:pPr>
      <w:r>
        <w:rPr>
          <w:rFonts w:ascii="Arial" w:cs="Arial" w:eastAsia="Arial" w:hAnsi="Arial"/>
          <w:b w:val="false"/>
          <w:bCs w:val="false"/>
          <w:color w:val="1A1A2E"/>
          <w:sz w:val="22"/>
          <w:szCs w:val="22"/>
        </w:rPr>
        <w:t xml:space="preserve">Integrate with the OFGEM grant database API to automate eligibility checking against live scheme criteria.</w:t>
      </w:r>
    </w:p>
    <w:p>
      <w:pPr>
        <w:pStyle w:val="ListParagraph"/>
        <w:numPr>
          <w:ilvl w:val="0"/>
          <w:numId w:val="3"/>
        </w:numPr>
        <w:spacing w:after="60" w:before="40"/>
      </w:pPr>
      <w:r>
        <w:rPr>
          <w:rFonts w:ascii="Arial" w:cs="Arial" w:eastAsia="Arial" w:hAnsi="Arial"/>
          <w:b w:val="false"/>
          <w:bCs w:val="false"/>
          <w:color w:val="1A1A2E"/>
          <w:sz w:val="22"/>
          <w:szCs w:val="22"/>
        </w:rPr>
        <w:t xml:space="preserve">Create a certified contractor tier in Mintenance — MCS, TrustMark, Gas Safe badge verification with document upload and renewal reminders.</w:t>
      </w:r>
    </w:p>
    <w:p>
      <w:pPr>
        <w:pStyle w:val="ListParagraph"/>
        <w:numPr>
          <w:ilvl w:val="0"/>
          <w:numId w:val="3"/>
        </w:numPr>
        <w:spacing w:after="60" w:before="40"/>
      </w:pPr>
      <w:r>
        <w:rPr>
          <w:rFonts w:ascii="Arial" w:cs="Arial" w:eastAsia="Arial" w:hAnsi="Arial"/>
          <w:b w:val="false"/>
          <w:bCs w:val="false"/>
          <w:color w:val="1A1A2E"/>
          <w:sz w:val="22"/>
          <w:szCs w:val="22"/>
        </w:rPr>
        <w:t xml:space="preserve">Partner with Energy Saving Trust and local authority Warm Homes hubs as referral sources.</w:t>
      </w:r>
    </w:p>
    <w:p>
      <w:pPr>
        <w:pStyle w:val="ListParagraph"/>
        <w:numPr>
          <w:ilvl w:val="0"/>
          <w:numId w:val="3"/>
        </w:numPr>
        <w:spacing w:after="60" w:before="40"/>
      </w:pPr>
      <w:r>
        <w:rPr>
          <w:rFonts w:ascii="Arial" w:cs="Arial" w:eastAsia="Arial" w:hAnsi="Arial"/>
          <w:b w:val="false"/>
          <w:bCs w:val="false"/>
          <w:color w:val="1A1A2E"/>
          <w:sz w:val="22"/>
          <w:szCs w:val="22"/>
        </w:rPr>
        <w:t xml:space="preserve">Launch in low-income areas first (ECO4 eligibility is income-tested) — highest grant values, highest latent demand.</w:t>
      </w:r>
    </w:p>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07</w:t>
            </w:r>
          </w:p>
        </w:tc>
        <w:tc>
          <w:tcPr>
            <w:tcW w:type="dxa" w:w="8160"/>
            <w:tcBorders>
              <w:top w:val="none" w:color="FFFFFF" w:sz="0"/>
              <w:left w:val="none" w:color="FFFFFF" w:sz="0"/>
              <w:bottom w:val="none" w:color="FFFFFF" w:sz="0"/>
              <w:right w:val="none" w:color="FFFFFF" w:sz="0"/>
            </w:tcBorders>
            <w:shd w:fill="EAF7F7" w:val="clear"/>
            <w:tcMar>
              <w:top w:type="dxa" w:w="120"/>
              <w:left w:type="dxa" w:w="200"/>
              <w:bottom w:type="dxa" w:w="120"/>
              <w:right w:type="dxa" w:w="160"/>
            </w:tcMar>
          </w:tcPr>
          <w:p>
            <w:r>
              <w:rPr>
                <w:rFonts w:ascii="Arial" w:cs="Arial" w:eastAsia="Arial" w:hAnsi="Arial"/>
                <w:b/>
                <w:bCs/>
                <w:color w:val="0D7377"/>
                <w:sz w:val="32"/>
                <w:szCs w:val="32"/>
              </w:rPr>
              <w:t xml:space="preserve">Commercial Facilities Management</w:t>
            </w:r>
          </w:p>
          <w:p>
            <w:r>
              <w:rPr>
                <w:rFonts w:ascii="Arial" w:cs="Arial" w:eastAsia="Arial" w:hAnsi="Arial"/>
                <w:i/>
                <w:iCs/>
                <w:color w:val="323F5A"/>
                <w:sz w:val="22"/>
                <w:szCs w:val="22"/>
              </w:rPr>
              <w:t xml:space="preserve">Largest SAM of all eight; identical core workflow; B2B enterprise pricing</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Market Overview</w:t>
      </w:r>
    </w:p>
    <w:p>
      <w:pPr>
        <w:spacing w:after="120" w:before="0"/>
        <w:jc w:val="left"/>
      </w:pPr>
      <w:r>
        <w:rPr>
          <w:rFonts w:ascii="Arial" w:cs="Arial" w:eastAsia="Arial" w:hAnsi="Arial"/>
          <w:b w:val="false"/>
          <w:bCs w:val="false"/>
          <w:i w:val="false"/>
          <w:iCs w:val="false"/>
          <w:color w:val="1A1A2E"/>
          <w:sz w:val="22"/>
          <w:szCs w:val="22"/>
        </w:rPr>
        <w:t xml:space="preserve">The UK facilities management (FM) market is valued at £57 billion annually, with the reactive/responsive maintenance segment estimated at £12–15 billion. This market encompasses offices, retail units, industrial estates, education, and healthcare facilities. The market is served by large integrated FM providers (ISS, CBRE, Mitie, OCS) at the enterprise end, and an entirely fragmented ecosystem of local contractors at the SME end. There is a significant gap for mid-market organisations (50–5,000 employees) that cannot afford enterprise FM contracts but need more structure than informal arrangements.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£57B</w:t>
            </w:r>
          </w:p>
          <w:p>
            <w:pPr>
              <w:jc w:val="center"/>
            </w:pPr>
            <w:r>
              <w:rPr>
                <w:rFonts w:ascii="Arial" w:cs="Arial" w:eastAsia="Arial" w:hAnsi="Arial"/>
                <w:color w:val="323F5A"/>
                <w:sz w:val="18"/>
                <w:szCs w:val="18"/>
              </w:rPr>
              <w:t xml:space="preserve">Total UK FM market</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£12–15B</w:t>
            </w:r>
          </w:p>
          <w:p>
            <w:pPr>
              <w:jc w:val="center"/>
            </w:pPr>
            <w:r>
              <w:rPr>
                <w:rFonts w:ascii="Arial" w:cs="Arial" w:eastAsia="Arial" w:hAnsi="Arial"/>
                <w:color w:val="323F5A"/>
                <w:sz w:val="18"/>
                <w:szCs w:val="18"/>
              </w:rPr>
              <w:t xml:space="preserve">Reactive maintenance segment</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40%</w:t>
            </w:r>
          </w:p>
          <w:p>
            <w:pPr>
              <w:jc w:val="center"/>
            </w:pPr>
            <w:r>
              <w:rPr>
                <w:rFonts w:ascii="Arial" w:cs="Arial" w:eastAsia="Arial" w:hAnsi="Arial"/>
                <w:color w:val="323F5A"/>
                <w:sz w:val="18"/>
                <w:szCs w:val="18"/>
              </w:rPr>
              <w:t xml:space="preserve">Mid-market FM spend underserved by technology</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2.3M</w:t>
            </w:r>
          </w:p>
          <w:p>
            <w:pPr>
              <w:jc w:val="center"/>
            </w:pPr>
            <w:r>
              <w:rPr>
                <w:rFonts w:ascii="Arial" w:cs="Arial" w:eastAsia="Arial" w:hAnsi="Arial"/>
                <w:color w:val="323F5A"/>
                <w:sz w:val="18"/>
                <w:szCs w:val="18"/>
              </w:rPr>
              <w:t xml:space="preserve">UK commercial buildings</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The Problem</w:t>
      </w:r>
    </w:p>
    <w:p>
      <w:pPr>
        <w:spacing w:after="120" w:before="0"/>
        <w:jc w:val="left"/>
      </w:pPr>
      <w:r>
        <w:rPr>
          <w:rFonts w:ascii="Arial" w:cs="Arial" w:eastAsia="Arial" w:hAnsi="Arial"/>
          <w:b w:val="false"/>
          <w:bCs w:val="false"/>
          <w:i w:val="false"/>
          <w:iCs w:val="false"/>
          <w:color w:val="1A1A2E"/>
          <w:sz w:val="22"/>
          <w:szCs w:val="22"/>
        </w:rPr>
        <w:t xml:space="preserve">A facilities manager at a 200-person office is responsible for: reactive repairs, planned maintenance contracts, contractor management, health and safety compliance, and energy management. They typically manage this with a combination of email, spreadsheets, and personal contractor relationships. When a boiler fails, the process is identical to a homeowner's experience — except the stakes (business continuity), the regulatory obligations (H&amp;S, fire safety, Legionella), and the budget (typically 3–5× residential) are all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GAP</w:t>
            </w:r>
          </w:p>
        </w:tc>
        <w:tc>
          <w:tcPr>
            <w:tcW w:type="dxa" w:w="7920"/>
            <w:tcBorders>
              <w:top w:val="none" w:color="FFFFFF" w:sz="0"/>
              <w:left w:val="none" w:color="FFFFFF" w:sz="0"/>
              <w:bottom w:val="none" w:color="FFFFFF" w:sz="0"/>
              <w:right w:val="none" w:color="FFFFFF" w:sz="0"/>
            </w:tcBorders>
            <w:shd w:fill="EAF7F7" w:val="clear"/>
            <w:tcMar>
              <w:top w:type="dxa" w:w="120"/>
              <w:left w:type="dxa" w:w="160"/>
              <w:bottom w:type="dxa" w:w="120"/>
              <w:right w:type="dxa" w:w="160"/>
            </w:tcMar>
          </w:tcPr>
          <w:p>
            <w:r>
              <w:rPr>
                <w:rFonts w:ascii="Arial" w:cs="Arial" w:eastAsia="Arial" w:hAnsi="Arial"/>
                <w:color w:val="1A1A2E"/>
                <w:sz w:val="22"/>
                <w:szCs w:val="22"/>
              </w:rPr>
              <w:t xml:space="preserve">Mid-market commercial occupiers spend £2–8M annually on facilities maintenance but lack access to the structured marketplace, AI cost validation, escrow payment, and compliance documentation that large enterprises get from their FM providers.</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Client Psychology &amp; Decision Drivers</w:t>
      </w:r>
    </w:p>
    <w:p>
      <w:pPr>
        <w:spacing w:after="80" w:before="0"/>
        <w:jc w:val="left"/>
      </w:pPr>
      <w:r>
        <w:rPr>
          <w:rFonts w:ascii="Arial" w:cs="Arial" w:eastAsia="Arial" w:hAnsi="Arial"/>
          <w:b w:val="false"/>
          <w:bCs w:val="false"/>
          <w:i w:val="false"/>
          <w:iCs w:val="false"/>
          <w:color w:val="1A1A2E"/>
          <w:sz w:val="22"/>
          <w:szCs w:val="22"/>
        </w:rPr>
        <w:t xml:space="preserve">Commercial FM buyers differ significantly from residential buyers:</w:t>
      </w:r>
    </w:p>
    <w:p>
      <w:pPr>
        <w:pStyle w:val="ListParagraph"/>
        <w:numPr>
          <w:ilvl w:val="0"/>
          <w:numId w:val="2"/>
        </w:numPr>
        <w:spacing w:after="60" w:before="40"/>
      </w:pPr>
      <w:r>
        <w:rPr>
          <w:rFonts w:ascii="Arial" w:cs="Arial" w:eastAsia="Arial" w:hAnsi="Arial"/>
          <w:b w:val="false"/>
          <w:bCs w:val="false"/>
          <w:color w:val="1A1A2E"/>
          <w:sz w:val="22"/>
          <w:szCs w:val="22"/>
        </w:rPr>
        <w:t xml:space="preserve">Business continuity is the primary concern — a broken HVAC system, a fire alarm fault, or a burst pipe is a business-stopping event. Response time and contractor reliability are valued above all.</w:t>
      </w:r>
    </w:p>
    <w:p>
      <w:pPr>
        <w:pStyle w:val="ListParagraph"/>
        <w:numPr>
          <w:ilvl w:val="0"/>
          <w:numId w:val="2"/>
        </w:numPr>
        <w:spacing w:after="60" w:before="40"/>
      </w:pPr>
      <w:r>
        <w:rPr>
          <w:rFonts w:ascii="Arial" w:cs="Arial" w:eastAsia="Arial" w:hAnsi="Arial"/>
          <w:b w:val="false"/>
          <w:bCs w:val="false"/>
          <w:color w:val="1A1A2E"/>
          <w:sz w:val="22"/>
          <w:szCs w:val="22"/>
        </w:rPr>
        <w:t xml:space="preserve">Board-level accountability — facilities managers report to the CFO or COO. They need to demonstrate value, not just fix things. A platform that produces spend analytics and contractor performance data gives them ammunition for budget conversations.</w:t>
      </w:r>
    </w:p>
    <w:p>
      <w:pPr>
        <w:pStyle w:val="ListParagraph"/>
        <w:numPr>
          <w:ilvl w:val="0"/>
          <w:numId w:val="2"/>
        </w:numPr>
        <w:spacing w:after="60" w:before="40"/>
      </w:pPr>
      <w:r>
        <w:rPr>
          <w:rFonts w:ascii="Arial" w:cs="Arial" w:eastAsia="Arial" w:hAnsi="Arial"/>
          <w:b w:val="false"/>
          <w:bCs w:val="false"/>
          <w:color w:val="1A1A2E"/>
          <w:sz w:val="22"/>
          <w:szCs w:val="22"/>
        </w:rPr>
        <w:t xml:space="preserve">Compliance as career protection — FM managers are personally liable under CDM Regulations, Fire Safety Order, and Legionella risk legislation. A platform that auto-generates compliance records is career protection, not just a nice-to-have.</w:t>
      </w:r>
    </w:p>
    <w:p>
      <w:pPr>
        <w:pStyle w:val="ListParagraph"/>
        <w:numPr>
          <w:ilvl w:val="0"/>
          <w:numId w:val="2"/>
        </w:numPr>
        <w:spacing w:after="60" w:before="40"/>
      </w:pPr>
      <w:r>
        <w:rPr>
          <w:rFonts w:ascii="Arial" w:cs="Arial" w:eastAsia="Arial" w:hAnsi="Arial"/>
          <w:b w:val="false"/>
          <w:bCs w:val="false"/>
          <w:color w:val="1A1A2E"/>
          <w:sz w:val="22"/>
          <w:szCs w:val="22"/>
        </w:rPr>
        <w:t xml:space="preserve">Procurement professionalisation — commercial buyers expect proper contracts, SLAs, and performance metrics. The multi-party contract module in Mintenance maps directly to this expectation.</w:t>
      </w:r>
    </w:p>
    <w:p>
      <w:pPr>
        <w:spacing w:after="120" w:before="0"/>
      </w:pPr>
      <w:r>
        <w:t xml:space="preserve"/>
      </w:r>
    </w:p>
    <w:p>
      <w:pPr>
        <w:pStyle w:val="Heading2"/>
        <w:spacing w:after="160" w:before="300"/>
      </w:pPr>
      <w:r>
        <w:rPr>
          <w:rFonts w:ascii="Arial" w:cs="Arial" w:eastAsia="Arial" w:hAnsi="Arial"/>
          <w:b/>
          <w:bCs/>
          <w:color w:val="323F5A"/>
          <w:sz w:val="28"/>
          <w:szCs w:val="28"/>
        </w:rPr>
        <w:t xml:space="preserve">Revenue Model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Unit Economics</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Commercial SaaS Licence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Annual licence per facility/site, tiered by building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£2,400–£18,000/site/yr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£4.8M ARR (400 sites)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PPM Module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Planned Preventative Maintenance scheduling, compliance calendar, automated contractor dispatch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£800/mo per site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£1.92M ARR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Transaction Fee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on commercial contractor payments (higher job values)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 per avg £8,000 job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£3.2M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FM Analytics Dashboard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Portfolio-level spend analytics, contractor performance, ESG reporting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£500/mo per portfolio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£0.6M ARR</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Strategic Entry</w:t>
      </w:r>
    </w:p>
    <w:p>
      <w:pPr>
        <w:pStyle w:val="ListParagraph"/>
        <w:numPr>
          <w:ilvl w:val="0"/>
          <w:numId w:val="3"/>
        </w:numPr>
        <w:spacing w:after="60" w:before="40"/>
      </w:pPr>
      <w:r>
        <w:rPr>
          <w:rFonts w:ascii="Arial" w:cs="Arial" w:eastAsia="Arial" w:hAnsi="Arial"/>
          <w:b w:val="false"/>
          <w:bCs w:val="false"/>
          <w:color w:val="1A1A2E"/>
          <w:sz w:val="22"/>
          <w:szCs w:val="22"/>
        </w:rPr>
        <w:t xml:space="preserve">Do not compete with Mitie or ISS directly — target occupiers, not outsourced FM contracts. The customer is the company occupying a building, not the FM provider serving it.</w:t>
      </w:r>
    </w:p>
    <w:p>
      <w:pPr>
        <w:pStyle w:val="ListParagraph"/>
        <w:numPr>
          <w:ilvl w:val="0"/>
          <w:numId w:val="3"/>
        </w:numPr>
        <w:spacing w:after="60" w:before="40"/>
      </w:pPr>
      <w:r>
        <w:rPr>
          <w:rFonts w:ascii="Arial" w:cs="Arial" w:eastAsia="Arial" w:hAnsi="Arial"/>
          <w:b w:val="false"/>
          <w:bCs w:val="false"/>
          <w:color w:val="1A1A2E"/>
          <w:sz w:val="22"/>
          <w:szCs w:val="22"/>
        </w:rPr>
        <w:t xml:space="preserve">Build a PPM (Planned Preventative Maintenance) module: scheduled jobs (annual HVAC service, weekly fire alarm test), auto-dispatch, automated compliance records. This creates recurring, predictable revenue.</w:t>
      </w:r>
    </w:p>
    <w:p>
      <w:pPr>
        <w:pStyle w:val="ListParagraph"/>
        <w:numPr>
          <w:ilvl w:val="0"/>
          <w:numId w:val="3"/>
        </w:numPr>
        <w:spacing w:after="60" w:before="40"/>
      </w:pPr>
      <w:r>
        <w:rPr>
          <w:rFonts w:ascii="Arial" w:cs="Arial" w:eastAsia="Arial" w:hAnsi="Arial"/>
          <w:b w:val="false"/>
          <w:bCs w:val="false"/>
          <w:color w:val="1A1A2E"/>
          <w:sz w:val="22"/>
          <w:szCs w:val="22"/>
        </w:rPr>
        <w:t xml:space="preserve">Develop commercial-specific AI classifications — the YOLO model is trained on residential building pathology; commercial extends to HVAC, electrical distribution boards, fire systems.</w:t>
      </w:r>
    </w:p>
    <w:p>
      <w:pPr>
        <w:pStyle w:val="ListParagraph"/>
        <w:numPr>
          <w:ilvl w:val="0"/>
          <w:numId w:val="3"/>
        </w:numPr>
        <w:spacing w:after="60" w:before="40"/>
      </w:pPr>
      <w:r>
        <w:rPr>
          <w:rFonts w:ascii="Arial" w:cs="Arial" w:eastAsia="Arial" w:hAnsi="Arial"/>
          <w:b w:val="false"/>
          <w:bCs w:val="false"/>
          <w:color w:val="1A1A2E"/>
          <w:sz w:val="22"/>
          <w:szCs w:val="22"/>
        </w:rPr>
        <w:t xml:space="preserve">Partner with commercial property agents (Savills, CBRE, Knight Frank) as distribution channels — they manage buildings for thousands of commercial landlords.</w:t>
      </w:r>
    </w:p>
    <w:p>
      <w:pPr>
        <w:pStyle w:val="ListParagraph"/>
        <w:numPr>
          <w:ilvl w:val="0"/>
          <w:numId w:val="3"/>
        </w:numPr>
        <w:spacing w:after="60" w:before="40"/>
      </w:pPr>
      <w:r>
        <w:rPr>
          <w:rFonts w:ascii="Arial" w:cs="Arial" w:eastAsia="Arial" w:hAnsi="Arial"/>
          <w:b w:val="false"/>
          <w:bCs w:val="false"/>
          <w:color w:val="1A1A2E"/>
          <w:sz w:val="22"/>
          <w:szCs w:val="22"/>
        </w:rPr>
        <w:t xml:space="preserve">Target property management companies (Colliers, JLL) rather than individual occupiers — they manage portfolios and have consolidated procurement.</w:t>
      </w:r>
    </w:p>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08</w:t>
            </w:r>
          </w:p>
        </w:tc>
        <w:tc>
          <w:tcPr>
            <w:tcW w:type="dxa" w:w="8160"/>
            <w:tcBorders>
              <w:top w:val="none" w:color="FFFFFF" w:sz="0"/>
              <w:left w:val="none" w:color="FFFFFF" w:sz="0"/>
              <w:bottom w:val="none" w:color="FFFFFF" w:sz="0"/>
              <w:right w:val="none" w:color="FFFFFF" w:sz="0"/>
            </w:tcBorders>
            <w:shd w:fill="EAF7F7" w:val="clear"/>
            <w:tcMar>
              <w:top w:type="dxa" w:w="120"/>
              <w:left w:type="dxa" w:w="200"/>
              <w:bottom w:type="dxa" w:w="120"/>
              <w:right w:type="dxa" w:w="160"/>
            </w:tcMar>
          </w:tcPr>
          <w:p>
            <w:r>
              <w:rPr>
                <w:rFonts w:ascii="Arial" w:cs="Arial" w:eastAsia="Arial" w:hAnsi="Arial"/>
                <w:b/>
                <w:bCs/>
                <w:color w:val="0D7377"/>
                <w:sz w:val="32"/>
                <w:szCs w:val="32"/>
              </w:rPr>
              <w:t xml:space="preserve">Pre-Sale AI Property Condition Reports</w:t>
            </w:r>
          </w:p>
          <w:p>
            <w:r>
              <w:rPr>
                <w:rFonts w:ascii="Arial" w:cs="Arial" w:eastAsia="Arial" w:hAnsi="Arial"/>
                <w:i/>
                <w:iCs/>
                <w:color w:val="323F5A"/>
                <w:sz w:val="22"/>
                <w:szCs w:val="22"/>
              </w:rPr>
              <w:t xml:space="preserve">Consumer product; low CAC; high margin; viral potential</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Market Overview</w:t>
      </w:r>
    </w:p>
    <w:p>
      <w:pPr>
        <w:spacing w:after="120" w:before="0"/>
        <w:jc w:val="left"/>
      </w:pPr>
      <w:r>
        <w:rPr>
          <w:rFonts w:ascii="Arial" w:cs="Arial" w:eastAsia="Arial" w:hAnsi="Arial"/>
          <w:b w:val="false"/>
          <w:bCs w:val="false"/>
          <w:i w:val="false"/>
          <w:iCs w:val="false"/>
          <w:color w:val="1A1A2E"/>
          <w:sz w:val="22"/>
          <w:szCs w:val="22"/>
        </w:rPr>
        <w:t xml:space="preserve">The UK residential property transaction market processes approximately 1.1 million sales annually (HMRC data). Every buyer has the option to commission a RICS survey (HomeBuyer Report: £400–700; Building Survey: £600–£1,500). Survey penetration is approximately 65%. However, sellers rarely commission pre-sale surveys, meaning buyers make offers on properties with unknown conditions, then either receive survey surprises or pay for reactive remediation post-purchase. There is significant latent demand for an affordable, fast, AI-generated condition report.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1.1M</w:t>
            </w:r>
          </w:p>
          <w:p>
            <w:pPr>
              <w:jc w:val="center"/>
            </w:pPr>
            <w:r>
              <w:rPr>
                <w:rFonts w:ascii="Arial" w:cs="Arial" w:eastAsia="Arial" w:hAnsi="Arial"/>
                <w:color w:val="323F5A"/>
                <w:sz w:val="18"/>
                <w:szCs w:val="18"/>
              </w:rPr>
              <w:t xml:space="preserve">UK residential transactions per year</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65%</w:t>
            </w:r>
          </w:p>
          <w:p>
            <w:pPr>
              <w:jc w:val="center"/>
            </w:pPr>
            <w:r>
              <w:rPr>
                <w:rFonts w:ascii="Arial" w:cs="Arial" w:eastAsia="Arial" w:hAnsi="Arial"/>
                <w:color w:val="323F5A"/>
                <w:sz w:val="18"/>
                <w:szCs w:val="18"/>
              </w:rPr>
              <w:t xml:space="preserve">Survey penetration rate</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£400–1,500</w:t>
            </w:r>
          </w:p>
          <w:p>
            <w:pPr>
              <w:jc w:val="center"/>
            </w:pPr>
            <w:r>
              <w:rPr>
                <w:rFonts w:ascii="Arial" w:cs="Arial" w:eastAsia="Arial" w:hAnsi="Arial"/>
                <w:color w:val="323F5A"/>
                <w:sz w:val="18"/>
                <w:szCs w:val="18"/>
              </w:rPr>
              <w:t xml:space="preserve">Cost of traditional RICS survey</w:t>
            </w:r>
          </w:p>
        </w:tc>
        <w:tc>
          <w:tcPr>
            <w:tcW w:type="dxa" w:w="2340"/>
            <w:tcBorders>
              <w:top w:val="single" w:color="CCCCCC" w:sz="1"/>
              <w:left w:val="single" w:color="CCCCCC" w:sz="1"/>
              <w:bottom w:val="single" w:color="CCCCCC" w:sz="1"/>
              <w:right w:val="single" w:color="CCCCCC" w:sz="1"/>
            </w:tcBorders>
            <w:shd w:fill="EAF7F7" w:val="clear"/>
            <w:tcMar>
              <w:top w:type="dxa" w:w="120"/>
              <w:left w:type="dxa" w:w="160"/>
              <w:bottom w:type="dxa" w:w="120"/>
              <w:right w:type="dxa" w:w="160"/>
            </w:tcMar>
            <w:vAlign w:val="center"/>
          </w:tcPr>
          <w:p>
            <w:pPr>
              <w:jc w:val="center"/>
            </w:pPr>
            <w:r>
              <w:rPr>
                <w:rFonts w:ascii="Arial" w:cs="Arial" w:eastAsia="Arial" w:hAnsi="Arial"/>
                <w:b/>
                <w:bCs/>
                <w:color w:val="0D7377"/>
                <w:sz w:val="32"/>
                <w:szCs w:val="32"/>
              </w:rPr>
              <w:t xml:space="preserve">£250M+</w:t>
            </w:r>
          </w:p>
          <w:p>
            <w:pPr>
              <w:jc w:val="center"/>
            </w:pPr>
            <w:r>
              <w:rPr>
                <w:rFonts w:ascii="Arial" w:cs="Arial" w:eastAsia="Arial" w:hAnsi="Arial"/>
                <w:color w:val="323F5A"/>
                <w:sz w:val="18"/>
                <w:szCs w:val="18"/>
              </w:rPr>
              <w:t xml:space="preserve">Annual consumer survey market size</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The Problem</w:t>
      </w:r>
    </w:p>
    <w:p>
      <w:pPr>
        <w:spacing w:after="120" w:before="0"/>
        <w:jc w:val="left"/>
      </w:pPr>
      <w:r>
        <w:rPr>
          <w:rFonts w:ascii="Arial" w:cs="Arial" w:eastAsia="Arial" w:hAnsi="Arial"/>
          <w:b w:val="false"/>
          <w:bCs w:val="false"/>
          <w:i w:val="false"/>
          <w:iCs w:val="false"/>
          <w:color w:val="1A1A2E"/>
          <w:sz w:val="22"/>
          <w:szCs w:val="22"/>
        </w:rPr>
        <w:t xml:space="preserve">Traditional surveying requires a physical site visit from a RICS-qualified surveyor. The process takes 2–4 weeks from instruction to report delivery. For sellers, this adds cost and delay; for buyers, the timing is post-offer, meaning costly surprises often lead to renegotiation or abortive transactions (the UK abortive transaction rate is 29%). MintAI, trained on 71 building defect classes with BayesianFusion for confidence scoring, can produce a condition assessment from a set of photos within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GAP</w:t>
            </w:r>
          </w:p>
        </w:tc>
        <w:tc>
          <w:tcPr>
            <w:tcW w:type="dxa" w:w="7920"/>
            <w:tcBorders>
              <w:top w:val="none" w:color="FFFFFF" w:sz="0"/>
              <w:left w:val="none" w:color="FFFFFF" w:sz="0"/>
              <w:bottom w:val="none" w:color="FFFFFF" w:sz="0"/>
              <w:right w:val="none" w:color="FFFFFF" w:sz="0"/>
            </w:tcBorders>
            <w:shd w:fill="EAF7F7" w:val="clear"/>
            <w:tcMar>
              <w:top w:type="dxa" w:w="120"/>
              <w:left w:type="dxa" w:w="160"/>
              <w:bottom w:type="dxa" w:w="120"/>
              <w:right w:type="dxa" w:w="160"/>
            </w:tcMar>
          </w:tcPr>
          <w:p>
            <w:r>
              <w:rPr>
                <w:rFonts w:ascii="Arial" w:cs="Arial" w:eastAsia="Arial" w:hAnsi="Arial"/>
                <w:color w:val="1A1A2E"/>
                <w:sz w:val="22"/>
                <w:szCs w:val="22"/>
              </w:rPr>
              <w:t xml:space="preserve">No consumer product offers an instant, AI-generated property condition report that classifies defects by severity, estimates remediation costs, and flags potential risks — at a price point accessible to all buyers and sellers, not just those who can afford a full RICS survey.</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Client Psychology &amp; Decision Drivers</w:t>
      </w:r>
    </w:p>
    <w:p>
      <w:pPr>
        <w:spacing w:after="80" w:before="0"/>
        <w:jc w:val="left"/>
      </w:pPr>
      <w:r>
        <w:rPr>
          <w:rFonts w:ascii="Arial" w:cs="Arial" w:eastAsia="Arial" w:hAnsi="Arial"/>
          <w:b w:val="false"/>
          <w:bCs w:val="false"/>
          <w:i w:val="false"/>
          <w:iCs w:val="false"/>
          <w:color w:val="1A1A2E"/>
          <w:sz w:val="22"/>
          <w:szCs w:val="22"/>
        </w:rPr>
        <w:t xml:space="preserve">Property buyers and sellers have highly emotionally charged decision-making:</w:t>
      </w:r>
    </w:p>
    <w:p>
      <w:pPr>
        <w:pStyle w:val="ListParagraph"/>
        <w:numPr>
          <w:ilvl w:val="0"/>
          <w:numId w:val="2"/>
        </w:numPr>
        <w:spacing w:after="60" w:before="40"/>
      </w:pPr>
      <w:r>
        <w:rPr>
          <w:rFonts w:ascii="Arial" w:cs="Arial" w:eastAsia="Arial" w:hAnsi="Arial"/>
          <w:b w:val="false"/>
          <w:bCs w:val="false"/>
          <w:color w:val="1A1A2E"/>
          <w:sz w:val="22"/>
          <w:szCs w:val="22"/>
        </w:rPr>
        <w:t xml:space="preserve">Fear of unknown costs — buyers dread post-purchase surprises. An AI report that identifies likely issues before making an offer gives confidence and negotiating leverage.</w:t>
      </w:r>
    </w:p>
    <w:p>
      <w:pPr>
        <w:pStyle w:val="ListParagraph"/>
        <w:numPr>
          <w:ilvl w:val="0"/>
          <w:numId w:val="2"/>
        </w:numPr>
        <w:spacing w:after="60" w:before="40"/>
      </w:pPr>
      <w:r>
        <w:rPr>
          <w:rFonts w:ascii="Arial" w:cs="Arial" w:eastAsia="Arial" w:hAnsi="Arial"/>
          <w:b w:val="false"/>
          <w:bCs w:val="false"/>
          <w:color w:val="1A1A2E"/>
          <w:sz w:val="22"/>
          <w:szCs w:val="22"/>
        </w:rPr>
        <w:t xml:space="preserve">Price anchoring — buyers who receive an AI report showing £8,000 of remediation work instinctively discount their offer by that amount. Sellers who commission a pre-listing report can address issues proactively and achieve a higher sale price.</w:t>
      </w:r>
    </w:p>
    <w:p>
      <w:pPr>
        <w:pStyle w:val="ListParagraph"/>
        <w:numPr>
          <w:ilvl w:val="0"/>
          <w:numId w:val="2"/>
        </w:numPr>
        <w:spacing w:after="60" w:before="40"/>
      </w:pPr>
      <w:r>
        <w:rPr>
          <w:rFonts w:ascii="Arial" w:cs="Arial" w:eastAsia="Arial" w:hAnsi="Arial"/>
          <w:b w:val="false"/>
          <w:bCs w:val="false"/>
          <w:color w:val="1A1A2E"/>
          <w:sz w:val="22"/>
          <w:szCs w:val="22"/>
        </w:rPr>
        <w:t xml:space="preserve">Speed as competitive advantage — in a competitive housing market, a buyer who can provide a condition report within 24 hours signals commitment and seriousness.</w:t>
      </w:r>
    </w:p>
    <w:p>
      <w:pPr>
        <w:pStyle w:val="ListParagraph"/>
        <w:numPr>
          <w:ilvl w:val="0"/>
          <w:numId w:val="2"/>
        </w:numPr>
        <w:spacing w:after="60" w:before="40"/>
      </w:pPr>
      <w:r>
        <w:rPr>
          <w:rFonts w:ascii="Arial" w:cs="Arial" w:eastAsia="Arial" w:hAnsi="Arial"/>
          <w:b w:val="false"/>
          <w:bCs w:val="false"/>
          <w:color w:val="1A1A2E"/>
          <w:sz w:val="22"/>
          <w:szCs w:val="22"/>
        </w:rPr>
        <w:t xml:space="preserve">The 'good enough' buyer — not every buyer wants to spend £700 on a full RICS survey. An AI report at £49 that identifies major concerns is 'good enough' for many, especially on newer properties.</w:t>
      </w:r>
    </w:p>
    <w:p>
      <w:pPr>
        <w:spacing w:after="120" w:before="0"/>
      </w:pPr>
      <w:r>
        <w:t xml:space="preserve"/>
      </w:r>
    </w:p>
    <w:p>
      <w:pPr>
        <w:pStyle w:val="Heading2"/>
        <w:spacing w:after="160" w:before="300"/>
      </w:pPr>
      <w:r>
        <w:rPr>
          <w:rFonts w:ascii="Arial" w:cs="Arial" w:eastAsia="Arial" w:hAnsi="Arial"/>
          <w:b/>
          <w:bCs/>
          <w:color w:val="323F5A"/>
          <w:sz w:val="28"/>
          <w:szCs w:val="28"/>
        </w:rPr>
        <w:t xml:space="preserve">Revenue Model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Unit Economics</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Consumer AI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Homebuyer/seller uploads 15–30 photos; receives AI condition report within 15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£49 per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£3.43M (70,000 reports)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Estate Agent Integration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White-label pre-listing condition report offered by estate agents at valuation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£29 per report (agent margin built 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£1.45M (50,000 reports)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Repair Marketplace Upsell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Report recommends repairs; one-click job creation connects to Mintenance contractor marketplace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7.5% conversion; avg job £900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£4.7M transaction revenue</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Strategic Entry</w:t>
      </w:r>
    </w:p>
    <w:p>
      <w:pPr>
        <w:pStyle w:val="ListParagraph"/>
        <w:numPr>
          <w:ilvl w:val="0"/>
          <w:numId w:val="3"/>
        </w:numPr>
        <w:spacing w:after="60" w:before="40"/>
      </w:pPr>
      <w:r>
        <w:rPr>
          <w:rFonts w:ascii="Arial" w:cs="Arial" w:eastAsia="Arial" w:hAnsi="Arial"/>
          <w:b w:val="false"/>
          <w:bCs w:val="false"/>
          <w:color w:val="1A1A2E"/>
          <w:sz w:val="22"/>
          <w:szCs w:val="22"/>
        </w:rPr>
        <w:t xml:space="preserve">Launch the consumer product at mintenance.co.uk/report — upload photos, get AI report in 15 minutes, downloadable PDF. No contractor interaction required. Pure SaaS.</w:t>
      </w:r>
    </w:p>
    <w:p>
      <w:pPr>
        <w:pStyle w:val="ListParagraph"/>
        <w:numPr>
          <w:ilvl w:val="0"/>
          <w:numId w:val="3"/>
        </w:numPr>
        <w:spacing w:after="60" w:before="40"/>
      </w:pPr>
      <w:r>
        <w:rPr>
          <w:rFonts w:ascii="Arial" w:cs="Arial" w:eastAsia="Arial" w:hAnsi="Arial"/>
          <w:b w:val="false"/>
          <w:bCs w:val="false"/>
          <w:color w:val="1A1A2E"/>
          <w:sz w:val="22"/>
          <w:szCs w:val="22"/>
        </w:rPr>
        <w:t xml:space="preserve">The '/try-mint-ai' demo page already functions as a prototype of this. Convert it to a paid product with report generation and PDF export.</w:t>
      </w:r>
    </w:p>
    <w:p>
      <w:pPr>
        <w:pStyle w:val="ListParagraph"/>
        <w:numPr>
          <w:ilvl w:val="0"/>
          <w:numId w:val="3"/>
        </w:numPr>
        <w:spacing w:after="60" w:before="40"/>
      </w:pPr>
      <w:r>
        <w:rPr>
          <w:rFonts w:ascii="Arial" w:cs="Arial" w:eastAsia="Arial" w:hAnsi="Arial"/>
          <w:b w:val="false"/>
          <w:bCs w:val="false"/>
          <w:color w:val="1A1A2E"/>
          <w:sz w:val="22"/>
          <w:szCs w:val="22"/>
        </w:rPr>
        <w:t xml:space="preserve">Integrate with Rightmove and Zoopla listing data — a property listed for sale can have its listing photos automatically analysed (with agent permission) to generate a free basic report, with detailed analysis as a paid upsell.</w:t>
      </w:r>
    </w:p>
    <w:p>
      <w:pPr>
        <w:pStyle w:val="ListParagraph"/>
        <w:numPr>
          <w:ilvl w:val="0"/>
          <w:numId w:val="3"/>
        </w:numPr>
        <w:spacing w:after="60" w:before="40"/>
      </w:pPr>
      <w:r>
        <w:rPr>
          <w:rFonts w:ascii="Arial" w:cs="Arial" w:eastAsia="Arial" w:hAnsi="Arial"/>
          <w:b w:val="false"/>
          <w:bCs w:val="false"/>
          <w:color w:val="1A1A2E"/>
          <w:sz w:val="22"/>
          <w:szCs w:val="22"/>
        </w:rPr>
        <w:t xml:space="preserve">Partner with conveyancers and mortgage brokers as referral partners — they touch every transaction and have a natural interest in surfacing property risks early.</w:t>
      </w:r>
    </w:p>
    <w:p>
      <w:pPr>
        <w:pStyle w:val="ListParagraph"/>
        <w:numPr>
          <w:ilvl w:val="0"/>
          <w:numId w:val="3"/>
        </w:numPr>
        <w:spacing w:after="60" w:before="40"/>
      </w:pPr>
      <w:r>
        <w:rPr>
          <w:rFonts w:ascii="Arial" w:cs="Arial" w:eastAsia="Arial" w:hAnsi="Arial"/>
          <w:b w:val="false"/>
          <w:bCs w:val="false"/>
          <w:color w:val="1A1A2E"/>
          <w:sz w:val="22"/>
          <w:szCs w:val="22"/>
        </w:rPr>
        <w:t xml:space="preserve">Build an estate agent portal — agents offer the report as a value-add at listing valuation. Generates a new revenue stream for agents (£10–15 margin per report) while feeding Mintenance with warm repair leads.</w:t>
      </w:r>
    </w:p>
    <w:p>
      <w:pPr>
        <w:spacing w:after="240" w:before="0"/>
      </w:pPr>
      <w:r>
        <w:t xml:space="preserve"/>
      </w:r>
    </w:p>
    <w:p>
      <w:r>
        <w:br w:type="page"/>
      </w:r>
    </w:p>
    <w:p>
      <w:pPr>
        <w:pStyle w:val="Heading1"/>
        <w:pageBreakBefore/>
        <w:spacing w:after="240" w:before="0"/>
      </w:pPr>
      <w:r>
        <w:rPr>
          <w:rFonts w:ascii="Arial" w:cs="Arial" w:eastAsia="Arial" w:hAnsi="Arial"/>
          <w:b/>
          <w:bCs/>
          <w:color w:val="0D7377"/>
          <w:sz w:val="36"/>
          <w:szCs w:val="36"/>
        </w:rPr>
        <w:t xml:space="preserve">Prioritisation &amp; Strategic Roadmap</w:t>
      </w:r>
    </w:p>
    <w:p>
      <w:pPr>
        <w:spacing w:after="160" w:before="0"/>
        <w:jc w:val="left"/>
      </w:pPr>
      <w:r>
        <w:rPr>
          <w:rFonts w:ascii="Arial" w:cs="Arial" w:eastAsia="Arial" w:hAnsi="Arial"/>
          <w:b w:val="false"/>
          <w:bCs w:val="false"/>
          <w:i w:val="false"/>
          <w:iCs w:val="false"/>
          <w:color w:val="1A1A2E"/>
          <w:sz w:val="22"/>
          <w:szCs w:val="22"/>
        </w:rPr>
        <w:t xml:space="preserve">Not all eight opportunities should be pursued simultaneously. The following matrix scores each opportunity across five dimensions relevant to Mintenance's current stage: platform readiness (how much build is needed), market urgency (is the problem actively being sought by buyers now?), revenue speed (how quickly can ARR accumulate?), strategic leverage (does winning here unlock further opportunities?), and execution risk.</w:t>
      </w:r>
    </w:p>
    <w:p>
      <w:pPr>
        <w:pStyle w:val="Heading2"/>
        <w:spacing w:after="160" w:before="300"/>
      </w:pPr>
      <w:r>
        <w:rPr>
          <w:rFonts w:ascii="Arial" w:cs="Arial" w:eastAsia="Arial" w:hAnsi="Arial"/>
          <w:b/>
          <w:bCs/>
          <w:color w:val="323F5A"/>
          <w:sz w:val="28"/>
          <w:szCs w:val="28"/>
        </w:rPr>
        <w:t xml:space="preserve">Opportunity Scoring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c>
          <w:tcPr>
            <w:tcW w:type="dxa" w:w="133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Platform Readiness</w:t>
            </w:r>
          </w:p>
        </w:tc>
        <w:tc>
          <w:tcPr>
            <w:tcW w:type="dxa" w:w="133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Market Urgency</w:t>
            </w:r>
          </w:p>
        </w:tc>
        <w:tc>
          <w:tcPr>
            <w:tcW w:type="dxa" w:w="133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Revenue Speed</w:t>
            </w:r>
          </w:p>
        </w:tc>
        <w:tc>
          <w:tcPr>
            <w:tcW w:type="dxa" w:w="133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Strategic Leverage</w:t>
            </w:r>
          </w:p>
        </w:tc>
        <w:tc>
          <w:tcPr>
            <w:tcW w:type="dxa" w:w="133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Exec Risk</w:t>
            </w:r>
          </w:p>
        </w:tc>
        <w:tc>
          <w:tcPr>
            <w:tcW w:type="dxa" w:w="133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TOTAL /25</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 Letting Agents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22</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08 Pre-Sale Reports</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21</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04 Insurance Claims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03 New-Build Snagging</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18</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05 Holiday Lets (STR)</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06 Green Retrofit</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16</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02 Social Housing</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07 Commercial FM</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13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14</w:t>
            </w:r>
          </w:p>
        </w:tc>
      </w:tr>
    </w:tbl>
    <w:p>
      <w:pPr>
        <w:spacing w:after="120" w:before="0"/>
      </w:pPr>
      <w:r>
        <w:t xml:space="preserve"/>
      </w:r>
    </w:p>
    <w:p>
      <w:pPr>
        <w:pStyle w:val="Heading2"/>
        <w:spacing w:after="160" w:before="300"/>
      </w:pPr>
      <w:r>
        <w:rPr>
          <w:rFonts w:ascii="Arial" w:cs="Arial" w:eastAsia="Arial" w:hAnsi="Arial"/>
          <w:b/>
          <w:bCs/>
          <w:color w:val="323F5A"/>
          <w:sz w:val="28"/>
          <w:szCs w:val="28"/>
        </w:rPr>
        <w:t xml:space="preserve">Recommended Phasing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120" w:before="0"/>
            </w:pPr>
            <w:r>
              <w:rPr>
                <w:rFonts w:ascii="Arial" w:cs="Arial" w:eastAsia="Arial" w:hAnsi="Arial"/>
                <w:b/>
                <w:bCs/>
                <w:color w:val="1A7A47"/>
                <w:sz w:val="24"/>
                <w:szCs w:val="24"/>
              </w:rPr>
              <w:t xml:space="preserve">PHASE 1 (2026) — Immediate Wins</w:t>
            </w:r>
          </w:p>
          <w:p>
            <w:pPr>
              <w:pStyle w:val="ListParagraph"/>
              <w:numPr>
                <w:ilvl w:val="0"/>
                <w:numId w:val="2"/>
              </w:numPr>
              <w:spacing w:after="60" w:before="40"/>
            </w:pPr>
            <w:r>
              <w:rPr>
                <w:rFonts w:ascii="Arial" w:cs="Arial" w:eastAsia="Arial" w:hAnsi="Arial"/>
                <w:b/>
                <w:bCs/>
                <w:color w:val="1A1A2E"/>
                <w:sz w:val="22"/>
                <w:szCs w:val="22"/>
              </w:rPr>
              <w:t xml:space="preserve">01 Letting Agents &amp; Portfolios</w:t>
            </w:r>
          </w:p>
          <w:p>
            <w:pPr>
              <w:pStyle w:val="ListParagraph"/>
              <w:numPr>
                <w:ilvl w:val="0"/>
                <w:numId w:val="2"/>
              </w:numPr>
              <w:spacing w:after="60" w:before="40"/>
            </w:pPr>
            <w:r>
              <w:rPr>
                <w:rFonts w:ascii="Arial" w:cs="Arial" w:eastAsia="Arial" w:hAnsi="Arial"/>
                <w:b/>
                <w:bCs/>
                <w:color w:val="1A1A2E"/>
                <w:sz w:val="22"/>
                <w:szCs w:val="22"/>
              </w:rPr>
              <w:t xml:space="preserve">08 Pre-Sale AI Reports</w:t>
            </w:r>
          </w:p>
          <w:p>
            <w:pPr>
              <w:spacing w:after="0" w:before="80"/>
            </w:pPr>
            <w:r>
              <w:rPr>
                <w:rFonts w:ascii="Arial" w:cs="Arial" w:eastAsia="Arial" w:hAnsi="Arial"/>
                <w:i/>
                <w:iCs/>
                <w:color w:val="323F5A"/>
                <w:sz w:val="20"/>
                <w:szCs w:val="20"/>
              </w:rPr>
              <w:t xml:space="preserve">Rationale: Both use &gt;90% of existing infrastructure. Pre-Sale Reports can be live within 8 weeks. Letting Agents can enter POC within 10 weeks.</w:t>
            </w:r>
          </w:p>
        </w:tc>
        <w:tc>
          <w:tcPr>
            <w:tcW w:type="dxa" w:w="476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120" w:before="0"/>
            </w:pPr>
            <w:r>
              <w:rPr>
                <w:rFonts w:ascii="Arial" w:cs="Arial" w:eastAsia="Arial" w:hAnsi="Arial"/>
                <w:b/>
                <w:bCs/>
                <w:color w:val="F4A900"/>
                <w:sz w:val="24"/>
                <w:szCs w:val="24"/>
              </w:rPr>
              <w:t xml:space="preserve">PHASE 2 (2026–27) — Leverage AI</w:t>
            </w:r>
          </w:p>
          <w:p>
            <w:pPr>
              <w:pStyle w:val="ListParagraph"/>
              <w:numPr>
                <w:ilvl w:val="0"/>
                <w:numId w:val="2"/>
              </w:numPr>
              <w:spacing w:after="60" w:before="40"/>
            </w:pPr>
            <w:r>
              <w:rPr>
                <w:rFonts w:ascii="Arial" w:cs="Arial" w:eastAsia="Arial" w:hAnsi="Arial"/>
                <w:b/>
                <w:bCs/>
                <w:color w:val="1A1A2E"/>
                <w:sz w:val="22"/>
                <w:szCs w:val="22"/>
              </w:rPr>
              <w:t xml:space="preserve">04 Insurance Loss Adjustment</w:t>
            </w:r>
          </w:p>
          <w:p>
            <w:pPr>
              <w:pStyle w:val="ListParagraph"/>
              <w:numPr>
                <w:ilvl w:val="0"/>
                <w:numId w:val="2"/>
              </w:numPr>
              <w:spacing w:after="60" w:before="40"/>
            </w:pPr>
            <w:r>
              <w:rPr>
                <w:rFonts w:ascii="Arial" w:cs="Arial" w:eastAsia="Arial" w:hAnsi="Arial"/>
                <w:b/>
                <w:bCs/>
                <w:color w:val="1A1A2E"/>
                <w:sz w:val="22"/>
                <w:szCs w:val="22"/>
              </w:rPr>
              <w:t xml:space="preserve">03 New-Build Snagging</w:t>
            </w:r>
          </w:p>
          <w:p>
            <w:pPr>
              <w:pStyle w:val="ListParagraph"/>
              <w:numPr>
                <w:ilvl w:val="0"/>
                <w:numId w:val="2"/>
              </w:numPr>
              <w:spacing w:after="60" w:before="40"/>
            </w:pPr>
            <w:r>
              <w:rPr>
                <w:rFonts w:ascii="Arial" w:cs="Arial" w:eastAsia="Arial" w:hAnsi="Arial"/>
                <w:b/>
                <w:bCs/>
                <w:color w:val="1A1A2E"/>
                <w:sz w:val="22"/>
                <w:szCs w:val="22"/>
              </w:rPr>
              <w:t xml:space="preserve">05 Short-Term Rentals</w:t>
            </w:r>
          </w:p>
          <w:p>
            <w:pPr>
              <w:spacing w:after="0" w:before="80"/>
            </w:pPr>
            <w:r>
              <w:rPr>
                <w:rFonts w:ascii="Arial" w:cs="Arial" w:eastAsia="Arial" w:hAnsi="Arial"/>
                <w:i/>
                <w:iCs/>
                <w:color w:val="323F5A"/>
                <w:sz w:val="20"/>
                <w:szCs w:val="20"/>
              </w:rPr>
              <w:t xml:space="preserve">Rationale: Each requires targeted model enhancement or API integration but leverages existing AI capability. High revenue per transaction justifies the build investment.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120" w:before="0"/>
            </w:pPr>
            <w:r>
              <w:rPr>
                <w:rFonts w:ascii="Arial" w:cs="Arial" w:eastAsia="Arial" w:hAnsi="Arial"/>
                <w:b/>
                <w:bCs/>
                <w:color w:val="0D7377"/>
                <w:sz w:val="24"/>
                <w:szCs w:val="24"/>
              </w:rPr>
              <w:t xml:space="preserve">PHASE 3 (2027–28) — Scale B2B</w:t>
            </w:r>
          </w:p>
          <w:p>
            <w:pPr>
              <w:pStyle w:val="ListParagraph"/>
              <w:numPr>
                <w:ilvl w:val="0"/>
                <w:numId w:val="2"/>
              </w:numPr>
              <w:spacing w:after="60" w:before="40"/>
            </w:pPr>
            <w:r>
              <w:rPr>
                <w:rFonts w:ascii="Arial" w:cs="Arial" w:eastAsia="Arial" w:hAnsi="Arial"/>
                <w:b/>
                <w:bCs/>
                <w:color w:val="1A1A2E"/>
                <w:sz w:val="22"/>
                <w:szCs w:val="22"/>
              </w:rPr>
              <w:t xml:space="preserve">06 Green Retrofit</w:t>
            </w:r>
          </w:p>
          <w:p>
            <w:pPr>
              <w:pStyle w:val="ListParagraph"/>
              <w:numPr>
                <w:ilvl w:val="0"/>
                <w:numId w:val="2"/>
              </w:numPr>
              <w:spacing w:after="60" w:before="40"/>
            </w:pPr>
            <w:r>
              <w:rPr>
                <w:rFonts w:ascii="Arial" w:cs="Arial" w:eastAsia="Arial" w:hAnsi="Arial"/>
                <w:b/>
                <w:bCs/>
                <w:color w:val="1A1A2E"/>
                <w:sz w:val="22"/>
                <w:szCs w:val="22"/>
              </w:rPr>
              <w:t xml:space="preserve">02 Social Housing</w:t>
            </w:r>
          </w:p>
          <w:p>
            <w:pPr>
              <w:spacing w:after="0" w:before="80"/>
            </w:pPr>
            <w:r>
              <w:rPr>
                <w:rFonts w:ascii="Arial" w:cs="Arial" w:eastAsia="Arial" w:hAnsi="Arial"/>
                <w:i/>
                <w:iCs/>
                <w:color w:val="323F5A"/>
                <w:sz w:val="20"/>
                <w:szCs w:val="20"/>
              </w:rPr>
              <w:t xml:space="preserve">Rationale: Government tailwinds and B2G procurement make these defensible long-term revenue sources. Sales cycles are longer but contract values are higher and churn is lower.</w:t>
            </w:r>
          </w:p>
        </w:tc>
        <w:tc>
          <w:tcPr>
            <w:tcW w:type="dxa" w:w="476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120" w:before="0"/>
            </w:pPr>
            <w:r>
              <w:rPr>
                <w:rFonts w:ascii="Arial" w:cs="Arial" w:eastAsia="Arial" w:hAnsi="Arial"/>
                <w:b/>
                <w:bCs/>
                <w:color w:val="C0392B"/>
                <w:sz w:val="24"/>
                <w:szCs w:val="24"/>
              </w:rPr>
              <w:t xml:space="preserve">PHASE 4 (2028+) — Enterprise</w:t>
            </w:r>
          </w:p>
          <w:p>
            <w:pPr>
              <w:pStyle w:val="ListParagraph"/>
              <w:numPr>
                <w:ilvl w:val="0"/>
                <w:numId w:val="2"/>
              </w:numPr>
              <w:spacing w:after="60" w:before="40"/>
            </w:pPr>
            <w:r>
              <w:rPr>
                <w:rFonts w:ascii="Arial" w:cs="Arial" w:eastAsia="Arial" w:hAnsi="Arial"/>
                <w:b/>
                <w:bCs/>
                <w:color w:val="1A1A2E"/>
                <w:sz w:val="22"/>
                <w:szCs w:val="22"/>
              </w:rPr>
              <w:t xml:space="preserve">07 Commercial FM</w:t>
            </w:r>
          </w:p>
          <w:p>
            <w:pPr>
              <w:spacing w:after="0" w:before="80"/>
            </w:pPr>
            <w:r>
              <w:rPr>
                <w:rFonts w:ascii="Arial" w:cs="Arial" w:eastAsia="Arial" w:hAnsi="Arial"/>
                <w:i/>
                <w:iCs/>
                <w:color w:val="323F5A"/>
                <w:sz w:val="20"/>
                <w:szCs w:val="20"/>
              </w:rPr>
              <w:t xml:space="preserve">Rationale: Largest SAM but requires PPM module build, commercial AI model retraining, and enterprise sales capacity. Best pursued after Phases 1–3 have established brand credibility and cash flow.</w:t>
            </w:r>
          </w:p>
        </w:tc>
      </w:tr>
    </w:tbl>
    <w:p>
      <w:pPr>
        <w:spacing w:after="240" w:before="0"/>
      </w:pPr>
      <w:r>
        <w:t xml:space="preserve"/>
      </w:r>
    </w:p>
    <w:p>
      <w:r>
        <w:br w:type="page"/>
      </w:r>
    </w:p>
    <w:p>
      <w:pPr>
        <w:pStyle w:val="Heading1"/>
        <w:pageBreakBefore/>
        <w:spacing w:after="240" w:before="0"/>
      </w:pPr>
      <w:r>
        <w:rPr>
          <w:rFonts w:ascii="Arial" w:cs="Arial" w:eastAsia="Arial" w:hAnsi="Arial"/>
          <w:b/>
          <w:bCs/>
          <w:color w:val="0D7377"/>
          <w:sz w:val="36"/>
          <w:szCs w:val="36"/>
        </w:rPr>
        <w:t xml:space="preserve">Consolidated Revenue Projection</w:t>
      </w:r>
    </w:p>
    <w:p>
      <w:pPr>
        <w:spacing w:after="160" w:before="0"/>
        <w:jc w:val="left"/>
      </w:pPr>
      <w:r>
        <w:rPr>
          <w:rFonts w:ascii="Arial" w:cs="Arial" w:eastAsia="Arial" w:hAnsi="Arial"/>
          <w:b w:val="false"/>
          <w:bCs w:val="false"/>
          <w:i w:val="false"/>
          <w:iCs w:val="false"/>
          <w:color w:val="1A1A2E"/>
          <w:sz w:val="22"/>
          <w:szCs w:val="22"/>
        </w:rPr>
        <w:t xml:space="preserve">The following projections assume Mintenance executes each phase on the timeline indicated, with conservative market penetration assumptions. All figures are additional to existing residential homeowner GMV.</w:t>
      </w:r>
    </w:p>
    <w:p>
      <w:pPr>
        <w:pStyle w:val="Heading2"/>
        <w:spacing w:after="160" w:before="300"/>
      </w:pPr>
      <w:r>
        <w:rPr>
          <w:rFonts w:ascii="Arial" w:cs="Arial" w:eastAsia="Arial" w:hAnsi="Arial"/>
          <w:b/>
          <w:bCs/>
          <w:color w:val="323F5A"/>
          <w:sz w:val="28"/>
          <w:szCs w:val="28"/>
        </w:rPr>
        <w:t xml:space="preserve">Year-by-Year ARR Build (New Verticals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Vertical</w:t>
            </w:r>
          </w:p>
        </w:tc>
        <w:tc>
          <w:tcPr>
            <w:tcW w:type="dxa" w:w="187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Y1 ARR</w:t>
            </w:r>
          </w:p>
        </w:tc>
        <w:tc>
          <w:tcPr>
            <w:tcW w:type="dxa" w:w="187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Y2 ARR</w:t>
            </w:r>
          </w:p>
        </w:tc>
        <w:tc>
          <w:tcPr>
            <w:tcW w:type="dxa" w:w="187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Y3 ARR</w:t>
            </w:r>
          </w:p>
        </w:tc>
        <w:tc>
          <w:tcPr>
            <w:tcW w:type="dxa" w:w="187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Y5 ARR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 Letting Agents &amp; Portfolios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£240K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£5.1M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£12.4M</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08 Pre-Sale AI Reports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£180K</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£1.8M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£4.7M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£9.2M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04 Insurance Loss Adjustment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£8.25M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£22.0M</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03 New-Build Snagging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£0.9M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£4.55M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£11.2M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05 Short-Term Rentals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£0.8M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£4.35M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£9.8M</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06 Green Retrofit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£2.4M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£14.5M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02 Social Housing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£0.6M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£5.76M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£18.3M</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07 Commercial FM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£18.0M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(New Verticals)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£420K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£6.7M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£35.1M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£115.4M</w:t>
            </w:r>
          </w:p>
        </w:tc>
      </w:tr>
    </w:tbl>
    <w:p>
      <w:pPr>
        <w:spacing w:after="120" w:before="0"/>
      </w:pPr>
      <w:r>
        <w:t xml:space="preserve"/>
      </w:r>
    </w:p>
    <w:p>
      <w:pPr>
        <w:spacing w:after="120" w:before="0"/>
        <w:jc w:val="left"/>
      </w:pPr>
      <w:r>
        <w:rPr>
          <w:rFonts w:ascii="Arial" w:cs="Arial" w:eastAsia="Arial" w:hAnsi="Arial"/>
          <w:b w:val="false"/>
          <w:bCs w:val="false"/>
          <w:i w:val="false"/>
          <w:iCs w:val="false"/>
          <w:color w:val="1A1A2E"/>
          <w:sz w:val="22"/>
          <w:szCs w:val="22"/>
        </w:rPr>
        <w:t xml:space="preserve">These projections assume: (a) no price erosion in the core residential business; (b) Phase 1 products launch within Q3 2026; (c) Phase 2 products launch within Q2 2027; (d) all penetration rates are conservative (1–5% of SAM). The Y5 figure of £115M in new vertical ARR, combined with the existing residential business, positions Mintenance as a Series B–C opportunity.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NOTE</w:t>
            </w:r>
          </w:p>
        </w:tc>
        <w:tc>
          <w:tcPr>
            <w:tcW w:type="dxa" w:w="7920"/>
            <w:tcBorders>
              <w:top w:val="none" w:color="FFFFFF" w:sz="0"/>
              <w:left w:val="none" w:color="FFFFFF" w:sz="0"/>
              <w:bottom w:val="none" w:color="FFFFFF" w:sz="0"/>
              <w:right w:val="none" w:color="FFFFFF" w:sz="0"/>
            </w:tcBorders>
            <w:shd w:fill="EAF7F7" w:val="clear"/>
            <w:tcMar>
              <w:top w:type="dxa" w:w="120"/>
              <w:left w:type="dxa" w:w="160"/>
              <w:bottom w:type="dxa" w:w="120"/>
              <w:right w:type="dxa" w:w="160"/>
            </w:tcMar>
          </w:tcPr>
          <w:p>
            <w:r>
              <w:rPr>
                <w:rFonts w:ascii="Arial" w:cs="Arial" w:eastAsia="Arial" w:hAnsi="Arial"/>
                <w:color w:val="1A1A2E"/>
                <w:sz w:val="22"/>
                <w:szCs w:val="22"/>
              </w:rPr>
              <w:t xml:space="preserve">The insurance vertical alone (Gap 04) represents the single highest-value prize at £22M ARR by Year 5. However, it has the longest validation and sales cycle. Early investment in the MintAI validation study (Gap 04, Step 1) will be the critical path item for this revenue stream.</w:t>
            </w:r>
          </w:p>
        </w:tc>
      </w:tr>
    </w:tbl>
    <w:p>
      <w:pPr>
        <w:spacing w:after="240" w:before="0"/>
      </w:pPr>
      <w:r>
        <w:t xml:space="preserve"/>
      </w:r>
    </w:p>
    <w:p>
      <w:r>
        <w:br w:type="page"/>
      </w:r>
    </w:p>
    <w:p>
      <w:pPr>
        <w:pStyle w:val="Heading1"/>
        <w:pageBreakBefore/>
        <w:spacing w:after="240" w:before="0"/>
      </w:pPr>
      <w:r>
        <w:rPr>
          <w:rFonts w:ascii="Arial" w:cs="Arial" w:eastAsia="Arial" w:hAnsi="Arial"/>
          <w:b/>
          <w:bCs/>
          <w:color w:val="0D7377"/>
          <w:sz w:val="36"/>
          <w:szCs w:val="36"/>
        </w:rPr>
        <w:t xml:space="preserve">Strategic Conclusions</w:t>
      </w:r>
    </w:p>
    <w:p>
      <w:pPr>
        <w:spacing w:after="160" w:before="0"/>
        <w:jc w:val="left"/>
      </w:pPr>
      <w:r>
        <w:rPr>
          <w:rFonts w:ascii="Arial" w:cs="Arial" w:eastAsia="Arial" w:hAnsi="Arial"/>
          <w:b w:val="false"/>
          <w:bCs w:val="false"/>
          <w:i w:val="false"/>
          <w:iCs w:val="false"/>
          <w:color w:val="1A1A2E"/>
          <w:sz w:val="22"/>
          <w:szCs w:val="22"/>
        </w:rPr>
        <w:t xml:space="preserve">Mintenance has built a platform that accidentally solves a problem much larger than residential home repair. The combination of AI visual assessment, competitive marketplace mechanics, escrow payment, and photo-verified completion is a generalisable property transactions infrastructure — deployable into any market where a buyer needs work done, a supplier is fragmented, and a trust or documentation gap exists.</w:t>
      </w:r>
    </w:p>
    <w:p>
      <w:pPr>
        <w:pStyle w:val="Heading2"/>
        <w:spacing w:after="160" w:before="300"/>
      </w:pPr>
      <w:r>
        <w:rPr>
          <w:rFonts w:ascii="Arial" w:cs="Arial" w:eastAsia="Arial" w:hAnsi="Arial"/>
          <w:b/>
          <w:bCs/>
          <w:color w:val="323F5A"/>
          <w:sz w:val="28"/>
          <w:szCs w:val="28"/>
        </w:rPr>
        <w:t xml:space="preserve">The Core Thesis</w:t>
      </w:r>
    </w:p>
    <w:p>
      <w:pPr>
        <w:spacing w:after="120" w:before="0"/>
        <w:jc w:val="left"/>
      </w:pPr>
      <w:r>
        <w:rPr>
          <w:rFonts w:ascii="Arial" w:cs="Arial" w:eastAsia="Arial" w:hAnsi="Arial"/>
          <w:b w:val="false"/>
          <w:bCs w:val="false"/>
          <w:i w:val="false"/>
          <w:iCs w:val="false"/>
          <w:color w:val="1A1A2E"/>
          <w:sz w:val="22"/>
          <w:szCs w:val="22"/>
        </w:rPr>
        <w:t xml:space="preserve">Every vertical in this report shares three characteristics: a non-technical principal with a property problem, a fragmented supply of skilled tradespeople, and a trust or payment friction that currently burns time and money. Mintenance eliminates all three simultaneously. The AI differentiation — which no competitor in any of these eight markets currently offers at scale — makes the platform defensible and justifies premium pricing in each vertical.</w:t>
      </w:r>
    </w:p>
    <w:p>
      <w:pPr>
        <w:pStyle w:val="Heading2"/>
        <w:spacing w:after="160" w:before="300"/>
      </w:pPr>
      <w:r>
        <w:rPr>
          <w:rFonts w:ascii="Arial" w:cs="Arial" w:eastAsia="Arial" w:hAnsi="Arial"/>
          <w:b/>
          <w:bCs/>
          <w:color w:val="323F5A"/>
          <w:sz w:val="28"/>
          <w:szCs w:val="28"/>
        </w:rPr>
        <w:t xml:space="preserve">Immediate Next Steps</w:t>
      </w:r>
    </w:p>
    <w:p>
      <w:pPr>
        <w:pStyle w:val="ListParagraph"/>
        <w:numPr>
          <w:ilvl w:val="0"/>
          <w:numId w:val="3"/>
        </w:numPr>
        <w:spacing w:after="60" w:before="40"/>
      </w:pPr>
      <w:r>
        <w:rPr>
          <w:rFonts w:ascii="Arial" w:cs="Arial" w:eastAsia="Arial" w:hAnsi="Arial"/>
          <w:b w:val="false"/>
          <w:bCs w:val="false"/>
          <w:color w:val="1A1A2E"/>
          <w:sz w:val="22"/>
          <w:szCs w:val="22"/>
        </w:rPr>
        <w:t xml:space="preserve">Commission internal sprint: convert the existing /try-mint-ai demo into a paid Pre-Sale Condition Report product (£49 entry). 8-week build. Tests market demand with zero new sales infrastructure.</w:t>
      </w:r>
    </w:p>
    <w:p>
      <w:pPr>
        <w:pStyle w:val="ListParagraph"/>
        <w:numPr>
          <w:ilvl w:val="0"/>
          <w:numId w:val="3"/>
        </w:numPr>
        <w:spacing w:after="60" w:before="40"/>
      </w:pPr>
      <w:r>
        <w:rPr>
          <w:rFonts w:ascii="Arial" w:cs="Arial" w:eastAsia="Arial" w:hAnsi="Arial"/>
          <w:b w:val="false"/>
          <w:bCs w:val="false"/>
          <w:color w:val="1A1A2E"/>
          <w:sz w:val="22"/>
          <w:szCs w:val="22"/>
        </w:rPr>
        <w:t xml:space="preserve">Assign one product manager to the Letting Agent vertical. Prototype the tripartite workflow (tenant / agent / landlord) with three Greater Manchester agencies.</w:t>
      </w:r>
    </w:p>
    <w:p>
      <w:pPr>
        <w:pStyle w:val="ListParagraph"/>
        <w:numPr>
          <w:ilvl w:val="0"/>
          <w:numId w:val="3"/>
        </w:numPr>
        <w:spacing w:after="60" w:before="40"/>
      </w:pPr>
      <w:r>
        <w:rPr>
          <w:rFonts w:ascii="Arial" w:cs="Arial" w:eastAsia="Arial" w:hAnsi="Arial"/>
          <w:b w:val="false"/>
          <w:bCs w:val="false"/>
          <w:color w:val="1A1A2E"/>
          <w:sz w:val="22"/>
          <w:szCs w:val="22"/>
        </w:rPr>
        <w:t xml:space="preserve">Commission an independent AI validation study comparing MintAI outputs against qualified loss adjuster reports. This is the gateway item for the insurance vertical and should begin immediately.</w:t>
      </w:r>
    </w:p>
    <w:p>
      <w:pPr>
        <w:pStyle w:val="ListParagraph"/>
        <w:numPr>
          <w:ilvl w:val="0"/>
          <w:numId w:val="3"/>
        </w:numPr>
        <w:spacing w:after="60" w:before="40"/>
      </w:pPr>
      <w:r>
        <w:rPr>
          <w:rFonts w:ascii="Arial" w:cs="Arial" w:eastAsia="Arial" w:hAnsi="Arial"/>
          <w:b w:val="false"/>
          <w:bCs w:val="false"/>
          <w:color w:val="1A1A2E"/>
          <w:sz w:val="22"/>
          <w:szCs w:val="22"/>
        </w:rPr>
        <w:t xml:space="preserve">Engage ARLA Propertymark and RICS about technology partnership conversations. These are distribution multipliers, not just credibility signals.</w:t>
      </w:r>
    </w:p>
    <w:p>
      <w:pPr>
        <w:pStyle w:val="ListParagraph"/>
        <w:numPr>
          <w:ilvl w:val="0"/>
          <w:numId w:val="3"/>
        </w:numPr>
        <w:spacing w:after="60" w:before="40"/>
      </w:pPr>
      <w:r>
        <w:rPr>
          <w:rFonts w:ascii="Arial" w:cs="Arial" w:eastAsia="Arial" w:hAnsi="Arial"/>
          <w:b w:val="false"/>
          <w:bCs w:val="false"/>
          <w:color w:val="1A1A2E"/>
          <w:sz w:val="22"/>
          <w:szCs w:val="22"/>
        </w:rPr>
        <w:t xml:space="preserve">Review the NHBC and Premier Guarantee warranty programme structures to understand snagging data licensing opportunities.</w:t>
      </w:r>
    </w:p>
    <w:p>
      <w:pPr>
        <w:spacing w:after="120" w:before="0"/>
      </w:pPr>
      <w:r>
        <w:t xml:space="preserve"/>
      </w:r>
    </w:p>
    <w:p>
      <w:pPr>
        <w:pBdr>
          <w:bottom w:val="single" w:color="D0EEEE" w:sz="4" w:space="1"/>
        </w:pBdr>
        <w:spacing w:after="120" w:before="120"/>
      </w:pPr>
      <w:r>
        <w:t xml:space="preserve"/>
      </w:r>
    </w:p>
    <w:p>
      <w:pPr>
        <w:spacing w:after="120" w:before="0"/>
      </w:pPr>
      <w:r>
        <w:t xml:space="preserve"/>
      </w:r>
    </w:p>
    <w:p>
      <w:pPr>
        <w:spacing w:after="80" w:before="120"/>
        <w:jc w:val="center"/>
      </w:pPr>
      <w:r>
        <w:rPr>
          <w:rFonts w:ascii="Arial" w:cs="Arial" w:eastAsia="Arial" w:hAnsi="Arial"/>
          <w:b/>
          <w:bCs/>
          <w:color w:val="323F5A"/>
          <w:sz w:val="22"/>
          <w:szCs w:val="22"/>
        </w:rPr>
        <w:t xml:space="preserve">MINTENANCE TECHNOLOGIES LTD</w:t>
      </w:r>
    </w:p>
    <w:p>
      <w:pPr>
        <w:spacing w:after="80" w:before="0"/>
        <w:jc w:val="center"/>
      </w:pPr>
      <w:r>
        <w:rPr>
          <w:rFonts w:ascii="Arial" w:cs="Arial" w:eastAsia="Arial" w:hAnsi="Arial"/>
          <w:color w:val="323F5A"/>
          <w:sz w:val="20"/>
          <w:szCs w:val="20"/>
        </w:rPr>
        <w:t xml:space="preserve">Confidential &amp; Proprietary — March 2026</w:t>
      </w:r>
    </w:p>
    <w:p>
      <w:pPr>
        <w:spacing w:after="0" w:before="0"/>
        <w:jc w:val="center"/>
      </w:pPr>
      <w:r>
        <w:rPr>
          <w:rFonts w:ascii="Arial" w:cs="Arial" w:eastAsia="Arial" w:hAnsi="Arial"/>
          <w:color w:val="0D7377"/>
          <w:sz w:val="20"/>
          <w:szCs w:val="20"/>
        </w:rPr>
        <w:t xml:space="preserve">gloire@mintenance.co.uk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EEE" w:sz="4" w:space="1"/>
      </w:pBdr>
    </w:pPr>
    <w:r>
      <w:rPr>
        <w:rFonts w:ascii="Arial" w:cs="Arial" w:eastAsia="Arial" w:hAnsi="Arial"/>
        <w:color w:val="323F5A"/>
        <w:sz w:val="16"/>
        <w:szCs w:val="16"/>
      </w:rPr>
      <w:t xml:space="preserve">Mintenance Technologies Ltd  |  </w:t>
    </w:r>
    <w:r>
      <w:rPr>
        <w:rFonts w:ascii="Arial" w:cs="Arial" w:eastAsia="Arial" w:hAnsi="Arial"/>
        <w:color w:val="323F5A"/>
        <w:sz w:val="16"/>
        <w:szCs w:val="16"/>
      </w:rPr>
      <w:t xml:space="preserve">Page </w:t>
    </w:r>
    <w:r>
      <w:rPr>
        <w:rFonts w:ascii="Arial" w:cs="Arial" w:eastAsia="Arial" w:hAnsi="Arial"/>
        <w:color w:val="323F5A"/>
        <w:sz w:val="16"/>
        <w:szCs w:val="16"/>
      </w:rPr>
      <w:fldChar w:fldCharType="begin"/>
      <w:instrText xml:space="preserve">PAGE</w:instrText>
      <w:fldChar w:fldCharType="separate"/>
      <w:fldChar w:fldCharType="end"/>
    </w:r>
    <w:r>
      <w:rPr>
        <w:rFonts w:ascii="Arial" w:cs="Arial" w:eastAsia="Arial" w:hAnsi="Arial"/>
        <w:color w:val="323F5A"/>
        <w:sz w:val="16"/>
        <w:szCs w:val="16"/>
      </w:rPr>
      <w:t xml:space="preserve"> of </w:t>
    </w:r>
    <w:r>
      <w:rPr>
        <w:rFonts w:ascii="Arial" w:cs="Arial" w:eastAsia="Arial" w:hAnsi="Arial"/>
        <w:color w:val="323F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EEE" w:sz="4" w:space="1"/>
      </w:pBdr>
    </w:pPr>
    <w:r>
      <w:rPr>
        <w:rFonts w:ascii="Arial" w:cs="Arial" w:eastAsia="Arial" w:hAnsi="Arial"/>
        <w:b/>
        <w:bCs/>
        <w:color w:val="0D7377"/>
        <w:sz w:val="18"/>
        <w:szCs w:val="18"/>
      </w:rPr>
      <w:t xml:space="preserve">MINTENANCE </w:t>
    </w:r>
    <w:r>
      <w:rPr>
        <w:rFonts w:ascii="Arial" w:cs="Arial" w:eastAsia="Arial" w:hAnsi="Arial"/>
        <w:color w:val="323F5A"/>
        <w:sz w:val="18"/>
        <w:szCs w:val="18"/>
      </w:rPr>
      <w:t xml:space="preserve"> | Market Gap Analysis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D737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23F5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2026-03-12T11:21:19.255Z</dcterms:created>
  <dcterms:modified xsi:type="dcterms:W3CDTF">2026-03-12T11:21:19.255Z</dcterms:modified>
</cp:coreProperties>
</file>

<file path=docProps/custom.xml><?xml version="1.0" encoding="utf-8"?>
<Properties xmlns="http://schemas.openxmlformats.org/officeDocument/2006/custom-properties" xmlns:vt="http://schemas.openxmlformats.org/officeDocument/2006/docPropsVTypes"/>
</file>