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4F8A" w:val="clear"/>
            <w:tcMar>
              <w:top w:type="dxa" w:w="600"/>
              <w:left w:type="dxa" w:w="360"/>
              <w:bottom w:type="dxa" w:w="600"/>
              <w:right w:type="dxa" w:w="360"/>
            </w:tcMar>
          </w:tcPr>
          <w:p>
            <w:pPr>
              <w:jc w:val="center"/>
            </w:pPr>
            <w:r>
              <w:rPr>
                <w:rFonts w:ascii="Arial" w:cs="Arial" w:eastAsia="Arial" w:hAnsi="Arial"/>
                <w:b/>
                <w:bCs/>
                <w:color w:val="FFFFFF"/>
                <w:sz w:val="64"/>
                <w:szCs w:val="64"/>
              </w:rPr>
              <w:t xml:space="preserve">MINTENANCE</w:t>
            </w:r>
          </w:p>
          <w:p>
            <w:pPr>
              <w:spacing w:before="120"/>
              <w:jc w:val="center"/>
            </w:pPr>
            <w:r>
              <w:rPr>
                <w:rFonts w:ascii="Arial" w:cs="Arial" w:eastAsia="Arial" w:hAnsi="Arial"/>
                <w:color w:val="D0E4F5"/>
                <w:sz w:val="26"/>
                <w:szCs w:val="26"/>
              </w:rPr>
              <w:t xml:space="preserve">Property Maintenance Platform</w:t>
            </w:r>
          </w:p>
        </w:tc>
      </w:tr>
    </w:tbl>
    <w:p>
      <w:pPr>
        <w:spacing w:before="800" w:after="0"/>
      </w:pPr>
      <w:r>
        <w:t xml:space="preserve"/>
      </w:r>
    </w:p>
    <w:p>
      <w:pPr>
        <w:jc w:val="center"/>
      </w:pPr>
      <w:r>
        <w:rPr>
          <w:rFonts w:ascii="Arial" w:cs="Arial" w:eastAsia="Arial" w:hAnsi="Arial"/>
          <w:b/>
          <w:bCs/>
          <w:color w:val="1B4F8A"/>
          <w:sz w:val="52"/>
          <w:szCs w:val="52"/>
        </w:rPr>
        <w:t xml:space="preserve">User Retention Strategy</w:t>
      </w:r>
    </w:p>
    <w:p>
      <w:pPr>
        <w:spacing w:before="200"/>
        <w:jc w:val="center"/>
      </w:pPr>
      <w:r>
        <w:rPr>
          <w:rFonts w:ascii="Arial" w:cs="Arial" w:eastAsia="Arial" w:hAnsi="Arial"/>
          <w:color w:val="4A90C4"/>
          <w:sz w:val="28"/>
          <w:szCs w:val="28"/>
        </w:rPr>
        <w:t xml:space="preserve">Full Codebase Audit &amp; Strategic Roadmap</w:t>
      </w:r>
    </w:p>
    <w:p>
      <w:pPr>
        <w:spacing w:before="4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3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bCs/>
                <w:color w:val="424242"/>
                <w:sz w:val="21"/>
                <w:szCs w:val="21"/>
              </w:rPr>
              <w:t xml:space="preserve">Prepared for</w:t>
            </w:r>
          </w:p>
        </w:tc>
        <w:tc>
          <w:tcPr>
            <w:tcW w:type="dxa" w:w="6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Mintenance Leadership Team</w:t>
            </w:r>
          </w:p>
        </w:tc>
      </w:tr>
      <w:tr>
        <w:tc>
          <w:tcPr>
            <w:tcW w:type="dxa" w:w="3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bCs/>
                <w:color w:val="424242"/>
                <w:sz w:val="21"/>
                <w:szCs w:val="21"/>
              </w:rPr>
              <w:t xml:space="preserve">Date</w:t>
            </w:r>
          </w:p>
        </w:tc>
        <w:tc>
          <w:tcPr>
            <w:tcW w:type="dxa" w:w="6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February 2026</w:t>
            </w:r>
          </w:p>
        </w:tc>
      </w:tr>
      <w:tr>
        <w:tc>
          <w:tcPr>
            <w:tcW w:type="dxa" w:w="3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bCs/>
                <w:color w:val="424242"/>
                <w:sz w:val="21"/>
                <w:szCs w:val="21"/>
              </w:rPr>
              <w:t xml:space="preserve">Version</w:t>
            </w:r>
          </w:p>
        </w:tc>
        <w:tc>
          <w:tcPr>
            <w:tcW w:type="dxa" w:w="6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1.0 — Codebase-Informed</w:t>
            </w:r>
          </w:p>
        </w:tc>
      </w:tr>
      <w:tr>
        <w:tc>
          <w:tcPr>
            <w:tcW w:type="dxa" w:w="3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r>
              <w:rPr>
                <w:rFonts w:ascii="Arial" w:cs="Arial" w:eastAsia="Arial" w:hAnsi="Arial"/>
                <w:b/>
                <w:bCs/>
                <w:color w:val="424242"/>
                <w:sz w:val="21"/>
                <w:szCs w:val="21"/>
              </w:rPr>
              <w:t xml:space="preserve">Classification</w:t>
            </w:r>
          </w:p>
        </w:tc>
        <w:tc>
          <w:tcPr>
            <w:tcW w:type="dxa" w:w="6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Confidential</w:t>
            </w:r>
          </w:p>
        </w:tc>
      </w:tr>
    </w:tbl>
    <w:p>
      <w:pPr>
        <w:spacing w:before="4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D0E4F5" w:val="clear"/>
            <w:tcMar>
              <w:top w:type="dxa" w:w="200"/>
              <w:left w:type="dxa" w:w="280"/>
              <w:bottom w:type="dxa" w:w="200"/>
              <w:right w:type="dxa" w:w="280"/>
            </w:tcMar>
          </w:tcPr>
          <w:p>
            <w:pPr>
              <w:jc w:val="center"/>
            </w:pPr>
            <w:r>
              <w:rPr>
                <w:rFonts w:ascii="Arial" w:cs="Arial" w:eastAsia="Arial" w:hAnsi="Arial"/>
                <w:i/>
                <w:iCs/>
                <w:color w:val="1B4F8A"/>
                <w:sz w:val="22"/>
                <w:szCs w:val="22"/>
              </w:rPr>
              <w:t xml:space="preserve">Key Finding: Mintenance has a strong technical foundation for retention — but is using only ~62% of its potential. This report identifies 28 specific gaps and provides a prioritised roadmap to close them.</w:t>
            </w:r>
          </w:p>
        </w:tc>
      </w:tr>
    </w:tbl>
    <w:p>
      <w:pPr>
        <w:sectPr>
          <w:footerReference w:type="default" r:id="rId6"/>
          <w:pgSz w:w="12240" w:h="15840" w:orient="portrait"/>
          <w:pgMar w:top="1080" w:right="1080" w:bottom="1080" w:left="1080" w:header="708" w:footer="708" w:gutter="0"/>
          <w:pgNumType/>
          <w:docGrid w:linePitch="360"/>
        </w:sectPr>
      </w:pPr>
    </w:p>
    <w:p>
      <w:pPr>
        <w:pStyle w:val="Heading1"/>
        <w:shd w:fill="1B4F8A" w:val="clear"/>
        <w:spacing w:before="0" w:after="200"/>
        <w:ind w:left="120" w:right="120"/>
      </w:pPr>
      <w:r>
        <w:rPr>
          <w:rFonts w:ascii="Arial" w:cs="Arial" w:eastAsia="Arial" w:hAnsi="Arial"/>
          <w:b/>
          <w:bCs/>
          <w:color w:val="FFFFFF"/>
          <w:sz w:val="36"/>
          <w:szCs w:val="36"/>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after="0"/>
      </w:pPr>
      <w:r>
        <w:t xml:space="preserve"/>
      </w:r>
    </w:p>
    <w:p>
      <w:pPr>
        <w:pStyle w:val="Heading1"/>
        <w:pageBreakBefore/>
        <w:shd w:fill="1B4F8A" w:val="clear"/>
        <w:spacing w:before="0" w:after="200"/>
        <w:ind w:left="120" w:right="120"/>
      </w:pPr>
      <w:r>
        <w:rPr>
          <w:rFonts w:ascii="Arial" w:cs="Arial" w:eastAsia="Arial" w:hAnsi="Arial"/>
          <w:b/>
          <w:bCs/>
          <w:color w:val="FFFFFF"/>
          <w:sz w:val="36"/>
          <w:szCs w:val="36"/>
        </w:rPr>
        <w:t xml:space="preserve">1. Executive Summary</w:t>
      </w:r>
    </w:p>
    <w:p>
      <w:pPr>
        <w:spacing w:before="60" w:after="120"/>
      </w:pPr>
      <w:r>
        <w:rPr>
          <w:rFonts w:ascii="Arial" w:cs="Arial" w:eastAsia="Arial" w:hAnsi="Arial"/>
          <w:color w:val="424242"/>
          <w:sz w:val="22"/>
          <w:szCs w:val="22"/>
        </w:rPr>
        <w:t xml:space="preserve">Mintenance is a two-sided property maintenance marketplace connecting homeowners with vetted contractors. Based on a full audit of the production codebase, Mintenance has built a solid technical foundation for user retention — but is actively leveraging only 62% of that capability.</w:t>
      </w:r>
    </w:p>
    <w:p>
      <w:pPr>
        <w:spacing w:before="100" w:after="0"/>
      </w:pPr>
      <w:r>
        <w:t xml:space="preserve"/>
      </w:r>
    </w:p>
    <w:p>
      <w:pPr>
        <w:spacing w:before="60" w:after="120"/>
      </w:pPr>
      <w:r>
        <w:rPr>
          <w:rFonts w:ascii="Arial" w:cs="Arial" w:eastAsia="Arial" w:hAnsi="Arial"/>
          <w:color w:val="424242"/>
          <w:sz w:val="22"/>
          <w:szCs w:val="22"/>
        </w:rPr>
        <w:t xml:space="preserve">The platform excels at transactional notifications and job-lifecycle touchpoints. However, it has not yet invested in the high-impact strategies — referral programmes, loyalty mechanics, behavioural email sequences, and churn prediction — that consistently drive 2–4x retention improvements in two-sided marketplaces.</w:t>
      </w:r>
    </w:p>
    <w:p>
      <w:pPr>
        <w:spacing w:before="100" w:after="0"/>
      </w:pPr>
      <w:r>
        <w:t xml:space="preserve"/>
      </w:r>
    </w:p>
    <w:p>
      <w:pPr>
        <w:spacing w:before="60" w:after="120"/>
      </w:pPr>
      <w:r>
        <w:rPr>
          <w:rFonts w:ascii="Arial" w:cs="Arial" w:eastAsia="Arial" w:hAnsi="Arial"/>
          <w:color w:val="424242"/>
          <w:sz w:val="22"/>
          <w:szCs w:val="22"/>
        </w:rPr>
        <w:t xml:space="preserve">This document provides: (1) an honest audit of what currently exists; (2) a prioritised gap analysis; and (3) a concrete, quarter-by-quarter roadmap to move Mintenance to best-in-class retention.</w:t>
      </w:r>
    </w:p>
    <w:p>
      <w:pPr>
        <w:spacing w:before="2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Retention Scorecard — Current State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00"/>
        <w:gridCol w:w="2680"/>
      </w:tblGrid>
      <w:tr>
        <w:trPr>
          <w:tblHeader/>
        </w:trPr>
        <w:tc>
          <w:tcPr>
            <w:tcW w:type="dxa" w:w="380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Category</w:t>
            </w:r>
          </w:p>
        </w:tc>
        <w:tc>
          <w:tcPr>
            <w:tcW w:type="dxa" w:w="180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Exists</w:t>
            </w:r>
          </w:p>
        </w:tc>
        <w:tc>
          <w:tcPr>
            <w:tcW w:type="dxa" w:w="180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Missing</w:t>
            </w:r>
          </w:p>
        </w:tc>
        <w:tc>
          <w:tcPr>
            <w:tcW w:type="dxa" w:w="268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Completion</w:t>
            </w:r>
          </w:p>
        </w:tc>
      </w:tr>
      <w:t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Notifications &amp; Alerts</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424242"/>
                <w:sz w:val="21"/>
                <w:szCs w:val="21"/>
              </w:rPr>
              <w:t xml:space="preserve">12 / 12</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424242"/>
                <w:sz w:val="21"/>
                <w:szCs w:val="21"/>
              </w:rPr>
              <w:t xml:space="preserve">0</w:t>
            </w:r>
          </w:p>
        </w:tc>
        <w:tc>
          <w:tcPr>
            <w:tcW w:type="dxa" w:w="268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424242"/>
                <w:sz w:val="21"/>
                <w:szCs w:val="21"/>
              </w:rPr>
              <w:t xml:space="preserve">100%</w:t>
            </w:r>
          </w:p>
        </w:tc>
      </w:tr>
      <w:t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Reviews &amp; Ratings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5 / 6</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1</w:t>
            </w:r>
          </w:p>
        </w:tc>
        <w:tc>
          <w:tcPr>
            <w:tcW w:type="dxa" w:w="2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83%</w:t>
            </w:r>
          </w:p>
        </w:tc>
      </w:tr>
      <w:t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Job Lifecycle Touchpoints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9 / 11</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2</w:t>
            </w:r>
          </w:p>
        </w:tc>
        <w:tc>
          <w:tcPr>
            <w:tcW w:type="dxa" w:w="2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82%</w:t>
            </w:r>
          </w:p>
        </w:tc>
      </w:tr>
      <w:t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In-App Analytics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5 / 8</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3</w:t>
            </w:r>
          </w:p>
        </w:tc>
        <w:tc>
          <w:tcPr>
            <w:tcW w:type="dxa" w:w="2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62%</w:t>
            </w:r>
          </w:p>
        </w:tc>
      </w:tr>
      <w:t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Engagement Hooks &amp; Timing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6 / 10</w:t>
            </w:r>
          </w:p>
        </w:tc>
        <w:tc>
          <w:tcPr>
            <w:tcW w:type="dxa" w:w="180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424242"/>
                <w:sz w:val="21"/>
                <w:szCs w:val="21"/>
              </w:rPr>
              <w:t xml:space="preserve">4</w:t>
            </w:r>
          </w:p>
        </w:tc>
        <w:tc>
          <w:tcPr>
            <w:tcW w:type="dxa" w:w="268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424242"/>
                <w:sz w:val="21"/>
                <w:szCs w:val="21"/>
              </w:rPr>
              <w:t xml:space="preserve">60%</w:t>
            </w:r>
          </w:p>
        </w:tc>
      </w:tr>
      <w:t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Communication &amp; Email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4 / 6</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2</w:t>
            </w:r>
          </w:p>
        </w:tc>
        <w:tc>
          <w:tcPr>
            <w:tcW w:type="dxa" w:w="2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67%</w:t>
            </w:r>
          </w:p>
        </w:tc>
      </w:tr>
      <w:t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Re-engagement Campaigns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4 / 8</w:t>
            </w:r>
          </w:p>
        </w:tc>
        <w:tc>
          <w:tcPr>
            <w:tcW w:type="dxa" w:w="180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424242"/>
                <w:sz w:val="21"/>
                <w:szCs w:val="21"/>
              </w:rPr>
              <w:t xml:space="preserve">4</w:t>
            </w:r>
          </w:p>
        </w:tc>
        <w:tc>
          <w:tcPr>
            <w:tcW w:type="dxa" w:w="268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424242"/>
                <w:sz w:val="21"/>
                <w:szCs w:val="21"/>
              </w:rPr>
              <w:t xml:space="preserve">50%</w:t>
            </w:r>
          </w:p>
        </w:tc>
      </w:tr>
      <w:t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Onboarding Experience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2 / 5</w:t>
            </w:r>
          </w:p>
        </w:tc>
        <w:tc>
          <w:tcPr>
            <w:tcW w:type="dxa" w:w="180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424242"/>
                <w:sz w:val="21"/>
                <w:szCs w:val="21"/>
              </w:rPr>
              <w:t xml:space="preserve">3</w:t>
            </w:r>
          </w:p>
        </w:tc>
        <w:tc>
          <w:tcPr>
            <w:tcW w:type="dxa" w:w="268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424242"/>
                <w:sz w:val="21"/>
                <w:szCs w:val="21"/>
              </w:rPr>
              <w:t xml:space="preserve">40%</w:t>
            </w:r>
          </w:p>
        </w:tc>
      </w:tr>
      <w:t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Incentives &amp; Loyalty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3 / 8</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424242"/>
                <w:sz w:val="21"/>
                <w:szCs w:val="21"/>
              </w:rPr>
              <w:t xml:space="preserve">5</w:t>
            </w:r>
          </w:p>
        </w:tc>
        <w:tc>
          <w:tcPr>
            <w:tcW w:type="dxa" w:w="268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424242"/>
                <w:sz w:val="21"/>
                <w:szCs w:val="21"/>
              </w:rPr>
              <w:t xml:space="preserve">38%</w:t>
            </w:r>
          </w:p>
        </w:tc>
      </w:tr>
      <w:tr>
        <w:tc>
          <w:tcPr>
            <w:tcW w:type="dxa" w:w="3800"/>
            <w:tcBorders>
              <w:top w:val="single" w:color="BDBDBD" w:sz="1"/>
              <w:left w:val="single" w:color="BDBDBD" w:sz="1"/>
              <w:bottom w:val="single" w:color="BDBDBD" w:sz="1"/>
              <w:right w:val="single" w:color="BDBDBD" w:sz="1"/>
            </w:tcBorders>
            <w:shd w:fill="D0E4F5" w:val="clear"/>
            <w:tcMar>
              <w:top w:type="dxa" w:w="80"/>
              <w:left w:type="dxa" w:w="120"/>
              <w:bottom w:type="dxa" w:w="80"/>
              <w:right w:type="dxa" w:w="120"/>
            </w:tcMar>
          </w:tcPr>
          <w:p>
            <w:r>
              <w:rPr>
                <w:rFonts w:ascii="Arial" w:cs="Arial" w:eastAsia="Arial" w:hAnsi="Arial"/>
                <w:color w:val="424242"/>
                <w:sz w:val="21"/>
                <w:szCs w:val="21"/>
              </w:rPr>
              <w:t xml:space="preserve">OVERALL</w:t>
            </w:r>
          </w:p>
        </w:tc>
        <w:tc>
          <w:tcPr>
            <w:tcW w:type="dxa" w:w="1800"/>
            <w:tcBorders>
              <w:top w:val="single" w:color="BDBDBD" w:sz="1"/>
              <w:left w:val="single" w:color="BDBDBD" w:sz="1"/>
              <w:bottom w:val="single" w:color="BDBDBD" w:sz="1"/>
              <w:right w:val="single" w:color="BDBDBD" w:sz="1"/>
            </w:tcBorders>
            <w:shd w:fill="D0E4F5" w:val="clear"/>
            <w:tcMar>
              <w:top w:type="dxa" w:w="80"/>
              <w:left w:type="dxa" w:w="120"/>
              <w:bottom w:type="dxa" w:w="80"/>
              <w:right w:type="dxa" w:w="120"/>
            </w:tcMar>
          </w:tcPr>
          <w:p>
            <w:r>
              <w:rPr>
                <w:rFonts w:ascii="Arial" w:cs="Arial" w:eastAsia="Arial" w:hAnsi="Arial"/>
                <w:color w:val="424242"/>
                <w:sz w:val="21"/>
                <w:szCs w:val="21"/>
              </w:rPr>
              <w:t xml:space="preserve">46 / 74</w:t>
            </w:r>
          </w:p>
        </w:tc>
        <w:tc>
          <w:tcPr>
            <w:tcW w:type="dxa" w:w="1800"/>
            <w:tcBorders>
              <w:top w:val="single" w:color="BDBDBD" w:sz="1"/>
              <w:left w:val="single" w:color="BDBDBD" w:sz="1"/>
              <w:bottom w:val="single" w:color="BDBDBD" w:sz="1"/>
              <w:right w:val="single" w:color="BDBDBD" w:sz="1"/>
            </w:tcBorders>
            <w:shd w:fill="D0E4F5" w:val="clear"/>
            <w:tcMar>
              <w:top w:type="dxa" w:w="80"/>
              <w:left w:type="dxa" w:w="120"/>
              <w:bottom w:type="dxa" w:w="80"/>
              <w:right w:type="dxa" w:w="120"/>
            </w:tcMar>
          </w:tcPr>
          <w:p>
            <w:r>
              <w:rPr>
                <w:rFonts w:ascii="Arial" w:cs="Arial" w:eastAsia="Arial" w:hAnsi="Arial"/>
                <w:color w:val="424242"/>
                <w:sz w:val="21"/>
                <w:szCs w:val="21"/>
              </w:rPr>
              <w:t xml:space="preserve">28</w:t>
            </w:r>
          </w:p>
        </w:tc>
        <w:tc>
          <w:tcPr>
            <w:tcW w:type="dxa" w:w="2680"/>
            <w:tcBorders>
              <w:top w:val="single" w:color="BDBDBD" w:sz="1"/>
              <w:left w:val="single" w:color="BDBDBD" w:sz="1"/>
              <w:bottom w:val="single" w:color="BDBDBD" w:sz="1"/>
              <w:right w:val="single" w:color="BDBDBD" w:sz="1"/>
            </w:tcBorders>
            <w:shd w:fill="D0E4F5" w:val="clear"/>
            <w:tcMar>
              <w:top w:type="dxa" w:w="80"/>
              <w:left w:type="dxa" w:w="120"/>
              <w:bottom w:type="dxa" w:w="80"/>
              <w:right w:type="dxa" w:w="120"/>
            </w:tcMar>
          </w:tcPr>
          <w:p>
            <w:r>
              <w:rPr>
                <w:rFonts w:ascii="Arial" w:cs="Arial" w:eastAsia="Arial" w:hAnsi="Arial"/>
                <w:color w:val="424242"/>
                <w:sz w:val="21"/>
                <w:szCs w:val="21"/>
              </w:rPr>
              <w:t xml:space="preserve">62%</w:t>
            </w:r>
          </w:p>
        </w:tc>
      </w:tr>
    </w:tbl>
    <w:p>
      <w:pPr>
        <w:spacing w:before="200" w:after="0"/>
      </w:pPr>
      <w:r>
        <w:t xml:space="preserve"/>
      </w:r>
    </w:p>
    <w:p>
      <w:pPr>
        <w:pStyle w:val="Heading1"/>
        <w:pageBreakBefore/>
        <w:shd w:fill="1B4F8A" w:val="clear"/>
        <w:spacing w:before="0" w:after="200"/>
        <w:ind w:left="120" w:right="120"/>
      </w:pPr>
      <w:r>
        <w:rPr>
          <w:rFonts w:ascii="Arial" w:cs="Arial" w:eastAsia="Arial" w:hAnsi="Arial"/>
          <w:b/>
          <w:bCs/>
          <w:color w:val="FFFFFF"/>
          <w:sz w:val="36"/>
          <w:szCs w:val="36"/>
        </w:rPr>
        <w:t xml:space="preserve">2. What Already Exists</w:t>
      </w:r>
    </w:p>
    <w:p>
      <w:pPr>
        <w:spacing w:before="60" w:after="120"/>
      </w:pPr>
      <w:r>
        <w:rPr>
          <w:rFonts w:ascii="Arial" w:cs="Arial" w:eastAsia="Arial" w:hAnsi="Arial"/>
          <w:color w:val="424242"/>
          <w:sz w:val="22"/>
          <w:szCs w:val="22"/>
        </w:rPr>
        <w:t xml:space="preserve">Mintenance has invested meaningfully in its notification infrastructure and job lifecycle communications. The following capabilities are confirmed present in the codebase and represent a solid foundation to build on.</w:t>
      </w:r>
    </w:p>
    <w:p>
      <w:pPr>
        <w:spacing w:before="1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2.1  Notification System</w:t>
      </w:r>
    </w:p>
    <w:p>
      <w:pPr>
        <w:spacing w:before="60" w:after="120"/>
      </w:pPr>
      <w:r>
        <w:rPr>
          <w:rFonts w:ascii="Arial" w:cs="Arial" w:eastAsia="Arial" w:hAnsi="Arial"/>
          <w:color w:val="424242"/>
          <w:sz w:val="22"/>
          <w:szCs w:val="22"/>
        </w:rPr>
        <w:t xml:space="preserve">The notification system is the most mature retention component in the platform, scoring 100% against best-practice benchmarks.</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none" w:color="FFFFFF" w:sz="0"/>
              <w:left w:val="none" w:color="FFFFFF" w:sz="0"/>
              <w:bottom w:val="none" w:color="FFFFFF" w:sz="0"/>
              <w:right w:val="none" w:color="FFFFFF" w:sz="0"/>
            </w:tcBorders>
            <w:shd w:fill="D0E4F5" w:val="clear"/>
            <w:tcMar>
              <w:top w:type="dxa" w:w="100"/>
              <w:left w:type="dxa" w:w="160"/>
              <w:bottom w:type="dxa" w:w="60"/>
              <w:right w:type="dxa" w:w="160"/>
            </w:tcMar>
          </w:tcPr>
          <w:p>
            <w:r>
              <w:rPr>
                <w:rFonts w:ascii="Arial" w:cs="Arial" w:eastAsia="Arial" w:hAnsi="Arial"/>
                <w:b/>
                <w:bCs/>
                <w:color w:val="1B4F8A"/>
                <w:sz w:val="22"/>
                <w:szCs w:val="22"/>
              </w:rPr>
              <w:t xml:space="preserve">What is live today</w:t>
            </w:r>
          </w:p>
        </w:tc>
      </w:tr>
      <w:tr>
        <w:tc>
          <w:tcPr>
            <w:tcBorders>
              <w:top w:val="none" w:color="FFFFFF" w:sz="0"/>
              <w:left w:val="none" w:color="FFFFFF" w:sz="0"/>
              <w:bottom w:val="none" w:color="FFFFFF" w:sz="0"/>
              <w:right w:val="none" w:color="FFFFFF" w:sz="0"/>
            </w:tcBorders>
            <w:shd w:fill="D0E4F5" w:val="clear"/>
            <w:tcMar>
              <w:top w:type="dxa" w:w="40"/>
              <w:left w:type="dxa" w:w="280"/>
              <w:bottom w:type="dxa" w:w="40"/>
              <w:right w:type="dxa" w:w="160"/>
            </w:tcMar>
          </w:tcPr>
          <w:p>
            <w:r>
              <w:rPr>
                <w:rFonts w:ascii="Arial" w:cs="Arial" w:eastAsia="Arial" w:hAnsi="Arial"/>
                <w:color w:val="424242"/>
                <w:sz w:val="21"/>
                <w:szCs w:val="21"/>
              </w:rPr>
              <w:t xml:space="preserve">• 15 distinct notification types covering every major job lifecycle event</w:t>
            </w:r>
          </w:p>
        </w:tc>
      </w:tr>
      <w:tr>
        <w:tc>
          <w:tcPr>
            <w:tcBorders>
              <w:top w:val="none" w:color="FFFFFF" w:sz="0"/>
              <w:left w:val="none" w:color="FFFFFF" w:sz="0"/>
              <w:bottom w:val="none" w:color="FFFFFF" w:sz="0"/>
              <w:right w:val="none" w:color="FFFFFF" w:sz="0"/>
            </w:tcBorders>
            <w:shd w:fill="D0E4F5" w:val="clear"/>
            <w:tcMar>
              <w:top w:type="dxa" w:w="40"/>
              <w:left w:type="dxa" w:w="280"/>
              <w:bottom w:type="dxa" w:w="40"/>
              <w:right w:type="dxa" w:w="160"/>
            </w:tcMar>
          </w:tcPr>
          <w:p>
            <w:r>
              <w:rPr>
                <w:rFonts w:ascii="Arial" w:cs="Arial" w:eastAsia="Arial" w:hAnsi="Arial"/>
                <w:color w:val="424242"/>
                <w:sz w:val="21"/>
                <w:szCs w:val="21"/>
              </w:rPr>
              <w:t xml:space="preserve">• ML-driven optimal send-time learning per user and notification type — learns from 30 days of engagement data</w:t>
            </w:r>
          </w:p>
        </w:tc>
      </w:tr>
      <w:tr>
        <w:tc>
          <w:tcPr>
            <w:tcBorders>
              <w:top w:val="none" w:color="FFFFFF" w:sz="0"/>
              <w:left w:val="none" w:color="FFFFFF" w:sz="0"/>
              <w:bottom w:val="none" w:color="FFFFFF" w:sz="0"/>
              <w:right w:val="none" w:color="FFFFFF" w:sz="0"/>
            </w:tcBorders>
            <w:shd w:fill="D0E4F5" w:val="clear"/>
            <w:tcMar>
              <w:top w:type="dxa" w:w="40"/>
              <w:left w:type="dxa" w:w="280"/>
              <w:bottom w:type="dxa" w:w="40"/>
              <w:right w:type="dxa" w:w="160"/>
            </w:tcMar>
          </w:tcPr>
          <w:p>
            <w:r>
              <w:rPr>
                <w:rFonts w:ascii="Arial" w:cs="Arial" w:eastAsia="Arial" w:hAnsi="Arial"/>
                <w:color w:val="424242"/>
                <w:sz w:val="21"/>
                <w:szCs w:val="21"/>
              </w:rPr>
              <w:t xml:space="preserve">• Priority-based routing: Urgent, High, Medium, Low — with quiet-hours respect</w:t>
            </w:r>
          </w:p>
        </w:tc>
      </w:tr>
      <w:tr>
        <w:tc>
          <w:tcPr>
            <w:tcBorders>
              <w:top w:val="none" w:color="FFFFFF" w:sz="0"/>
              <w:left w:val="none" w:color="FFFFFF" w:sz="0"/>
              <w:bottom w:val="none" w:color="FFFFFF" w:sz="0"/>
              <w:right w:val="none" w:color="FFFFFF" w:sz="0"/>
            </w:tcBorders>
            <w:shd w:fill="D0E4F5" w:val="clear"/>
            <w:tcMar>
              <w:top w:type="dxa" w:w="40"/>
              <w:left w:type="dxa" w:w="280"/>
              <w:bottom w:type="dxa" w:w="40"/>
              <w:right w:type="dxa" w:w="160"/>
            </w:tcMar>
          </w:tcPr>
          <w:p>
            <w:r>
              <w:rPr>
                <w:rFonts w:ascii="Arial" w:cs="Arial" w:eastAsia="Arial" w:hAnsi="Arial"/>
                <w:color w:val="424242"/>
                <w:sz w:val="21"/>
                <w:szCs w:val="21"/>
              </w:rPr>
              <w:t xml:space="preserve">• Batch processing for low-priority notifications to reduce interruption fatigue</w:t>
            </w:r>
          </w:p>
        </w:tc>
      </w:tr>
      <w:tr>
        <w:tc>
          <w:tcPr>
            <w:tcBorders>
              <w:top w:val="none" w:color="FFFFFF" w:sz="0"/>
              <w:left w:val="none" w:color="FFFFFF" w:sz="0"/>
              <w:bottom w:val="none" w:color="FFFFFF" w:sz="0"/>
              <w:right w:val="none" w:color="FFFFFF" w:sz="0"/>
            </w:tcBorders>
            <w:shd w:fill="D0E4F5" w:val="clear"/>
            <w:tcMar>
              <w:top w:type="dxa" w:w="40"/>
              <w:left w:type="dxa" w:w="280"/>
              <w:bottom w:type="dxa" w:w="40"/>
              <w:right w:type="dxa" w:w="160"/>
            </w:tcMar>
          </w:tcPr>
          <w:p>
            <w:r>
              <w:rPr>
                <w:rFonts w:ascii="Arial" w:cs="Arial" w:eastAsia="Arial" w:hAnsi="Arial"/>
                <w:color w:val="424242"/>
                <w:sz w:val="21"/>
                <w:szCs w:val="21"/>
              </w:rPr>
              <w:t xml:space="preserve">• Engagement tracking: opened, clicked, dismissed with millisecond-precision timestamps</w:t>
            </w:r>
          </w:p>
        </w:tc>
      </w:tr>
      <w:tr>
        <w:tc>
          <w:tcPr>
            <w:tcBorders>
              <w:top w:val="none" w:color="FFFFFF" w:sz="0"/>
              <w:left w:val="none" w:color="FFFFFF" w:sz="0"/>
              <w:bottom w:val="none" w:color="FFFFFF" w:sz="0"/>
              <w:right w:val="none" w:color="FFFFFF" w:sz="0"/>
            </w:tcBorders>
            <w:shd w:fill="D0E4F5" w:val="clear"/>
            <w:tcMar>
              <w:top w:type="dxa" w:w="40"/>
              <w:left w:type="dxa" w:w="280"/>
              <w:bottom w:type="dxa" w:w="40"/>
              <w:right w:type="dxa" w:w="160"/>
            </w:tcMar>
          </w:tcPr>
          <w:p>
            <w:r>
              <w:rPr>
                <w:rFonts w:ascii="Arial" w:cs="Arial" w:eastAsia="Arial" w:hAnsi="Arial"/>
                <w:color w:val="424242"/>
                <w:sz w:val="21"/>
                <w:szCs w:val="21"/>
              </w:rPr>
              <w:t xml:space="preserve">• Push notification delivery to iOS and Android via Expo (user_push_tokens table)</w:t>
            </w:r>
          </w:p>
        </w:tc>
      </w:tr>
      <w:tr>
        <w:tc>
          <w:tcPr>
            <w:tcBorders>
              <w:top w:val="none" w:color="FFFFFF" w:sz="0"/>
              <w:left w:val="none" w:color="FFFFFF" w:sz="0"/>
              <w:bottom w:val="none" w:color="FFFFFF" w:sz="0"/>
              <w:right w:val="none" w:color="FFFFFF" w:sz="0"/>
            </w:tcBorders>
            <w:shd w:fill="D0E4F5" w:val="clear"/>
            <w:tcMar>
              <w:top w:type="dxa" w:w="40"/>
              <w:left w:type="dxa" w:w="280"/>
              <w:bottom w:type="dxa" w:w="40"/>
              <w:right w:type="dxa" w:w="160"/>
            </w:tcMar>
          </w:tcPr>
          <w:p>
            <w:r>
              <w:rPr>
                <w:rFonts w:ascii="Arial" w:cs="Arial" w:eastAsia="Arial" w:hAnsi="Arial"/>
                <w:color w:val="424242"/>
                <w:sz w:val="21"/>
                <w:szCs w:val="21"/>
              </w:rPr>
              <w:t xml:space="preserve">• User-configurable notification preferences including quiet hours</w:t>
            </w:r>
          </w:p>
        </w:tc>
      </w:tr>
      <w:tr>
        <w:tc>
          <w:tcPr>
            <w:tcBorders>
              <w:top w:val="none" w:color="FFFFFF" w:sz="0"/>
              <w:left w:val="none" w:color="FFFFFF" w:sz="0"/>
              <w:bottom w:val="none" w:color="FFFFFF" w:sz="0"/>
              <w:right w:val="none" w:color="FFFFFF" w:sz="0"/>
            </w:tcBorders>
            <w:shd w:fill="D0E4F5" w:val="clear"/>
            <w:tcMar>
              <w:top w:type="dxa" w:w="40"/>
              <w:left w:type="dxa" w:w="280"/>
              <w:bottom w:type="dxa" w:w="40"/>
              <w:right w:type="dxa" w:w="160"/>
            </w:tcMar>
          </w:tcPr>
          <w:p>
            <w:r>
              <w:rPr>
                <w:rFonts w:ascii="Arial" w:cs="Arial" w:eastAsia="Arial" w:hAnsi="Arial"/>
                <w:color w:val="424242"/>
                <w:sz w:val="21"/>
                <w:szCs w:val="21"/>
              </w:rPr>
              <w:t xml:space="preserve">• Queue + retry logic with 15-minute cron processor</w:t>
            </w:r>
          </w:p>
        </w:tc>
      </w:tr>
    </w:tbl>
    <w:p>
      <w:pPr>
        <w:spacing w:before="2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2.2  Job Lifecycle Touchpoints</w:t>
      </w:r>
    </w:p>
    <w:p>
      <w:pPr>
        <w:spacing w:before="60" w:after="120"/>
      </w:pPr>
      <w:r>
        <w:rPr>
          <w:rFonts w:ascii="Arial" w:cs="Arial" w:eastAsia="Arial" w:hAnsi="Arial"/>
          <w:color w:val="424242"/>
          <w:sz w:val="22"/>
          <w:szCs w:val="22"/>
        </w:rPr>
        <w:t xml:space="preserve">Notifications fire at every material stage of the job lifecycle, keeping both homeowners and contractors engaged throughout.</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480"/>
      </w:tblGrid>
      <w:tr>
        <w:trPr>
          <w:tblHeader/>
        </w:trPr>
        <w:tc>
          <w:tcPr>
            <w:tcW w:type="dxa" w:w="320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Lifecycle Stage</w:t>
            </w:r>
          </w:p>
        </w:tc>
        <w:tc>
          <w:tcPr>
            <w:tcW w:type="dxa" w:w="340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Homeowner Notification</w:t>
            </w:r>
          </w:p>
        </w:tc>
        <w:tc>
          <w:tcPr>
            <w:tcW w:type="dxa" w:w="348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Contractor Notification</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Job Posted</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w:t>
            </w:r>
          </w:p>
        </w:tc>
        <w:tc>
          <w:tcPr>
            <w:tcW w:type="dxa" w:w="3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job_nearby (radius-based)</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Bid Submitted</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bid_received</w:t>
            </w:r>
          </w:p>
        </w:tc>
        <w:tc>
          <w:tcPr>
            <w:tcW w:type="dxa" w:w="3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Confirmation</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Bid Accepted</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Confirmation</w:t>
            </w:r>
          </w:p>
        </w:tc>
        <w:tc>
          <w:tcPr>
            <w:tcW w:type="dxa" w:w="3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bid_accepted</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Contract Signed</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Confirmation</w:t>
            </w:r>
          </w:p>
        </w:tc>
        <w:tc>
          <w:tcPr>
            <w:tcW w:type="dxa" w:w="3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Confirmation</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Escrow Funded</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Confirmation</w:t>
            </w:r>
          </w:p>
        </w:tc>
        <w:tc>
          <w:tcPr>
            <w:tcW w:type="dxa" w:w="3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payment_setup_required (if needed)</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Pre-Start Reminder</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Upcoming job reminder</w:t>
            </w:r>
          </w:p>
        </w:tc>
        <w:tc>
          <w:tcPr>
            <w:tcW w:type="dxa" w:w="3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Pre-start alert</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Job Completed (photos)</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Review request</w:t>
            </w:r>
          </w:p>
        </w:tc>
        <w:tc>
          <w:tcPr>
            <w:tcW w:type="dxa" w:w="3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Completion confirmation</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Payment Released</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Confirmation</w:t>
            </w:r>
          </w:p>
        </w:tc>
        <w:tc>
          <w:tcPr>
            <w:tcW w:type="dxa" w:w="3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payment_released</w:t>
            </w:r>
          </w:p>
        </w:tc>
      </w:tr>
    </w:tbl>
    <w:p>
      <w:pPr>
        <w:spacing w:before="2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2.3  Reviews &amp; Ratings</w:t>
      </w:r>
    </w:p>
    <w:p>
      <w:pPr>
        <w:spacing w:before="60" w:after="120"/>
      </w:pPr>
      <w:r>
        <w:rPr>
          <w:rFonts w:ascii="Arial" w:cs="Arial" w:eastAsia="Arial" w:hAnsi="Arial"/>
          <w:color w:val="424242"/>
          <w:sz w:val="22"/>
          <w:szCs w:val="22"/>
        </w:rPr>
        <w:t xml:space="preserve">The review system is mature and bidirectional, supporting both star ratings and text responses.</w:t>
      </w:r>
    </w:p>
    <w:p>
      <w:pPr>
        <w:spacing w:before="80" w:after="0"/>
      </w:pPr>
      <w:r>
        <w:t xml:space="preserve"/>
      </w:r>
    </w:p>
    <w:p>
      <w:pPr>
        <w:pStyle w:val="ListParagraph"/>
        <w:numPr>
          <w:ilvl w:val="0"/>
          <w:numId w:val="2"/>
        </w:numPr>
        <w:spacing w:before="40" w:after="60"/>
      </w:pPr>
      <w:r>
        <w:rPr>
          <w:rFonts w:ascii="Arial" w:cs="Arial" w:eastAsia="Arial" w:hAnsi="Arial"/>
          <w:b w:val="false"/>
          <w:bCs w:val="false"/>
          <w:color w:val="424242"/>
          <w:sz w:val="22"/>
          <w:szCs w:val="22"/>
        </w:rPr>
        <w:t xml:space="preserve">1–5 star ratings with comments for both homeowners and contractors</w:t>
      </w:r>
    </w:p>
    <w:p>
      <w:pPr>
        <w:pStyle w:val="ListParagraph"/>
        <w:numPr>
          <w:ilvl w:val="0"/>
          <w:numId w:val="2"/>
        </w:numPr>
        <w:spacing w:before="40" w:after="60"/>
      </w:pPr>
      <w:r>
        <w:rPr>
          <w:rFonts w:ascii="Arial" w:cs="Arial" w:eastAsia="Arial" w:hAnsi="Arial"/>
          <w:b w:val="false"/>
          <w:bCs w:val="false"/>
          <w:color w:val="424242"/>
          <w:sz w:val="22"/>
          <w:szCs w:val="22"/>
        </w:rPr>
        <w:t xml:space="preserve">Contractors can publicly respond to reviews — increasing engagement and trust</w:t>
      </w:r>
    </w:p>
    <w:p>
      <w:pPr>
        <w:pStyle w:val="ListParagraph"/>
        <w:numPr>
          <w:ilvl w:val="0"/>
          <w:numId w:val="2"/>
        </w:numPr>
        <w:spacing w:before="40" w:after="60"/>
      </w:pPr>
      <w:r>
        <w:rPr>
          <w:rFonts w:ascii="Arial" w:cs="Arial" w:eastAsia="Arial" w:hAnsi="Arial"/>
          <w:b w:val="false"/>
          <w:bCs w:val="false"/>
          <w:color w:val="424242"/>
          <w:sz w:val="22"/>
          <w:szCs w:val="22"/>
        </w:rPr>
        <w:t xml:space="preserve">Reviews dashboard with rating distribution, response-rate tracking, and client search</w:t>
      </w:r>
    </w:p>
    <w:p>
      <w:pPr>
        <w:pStyle w:val="ListParagraph"/>
        <w:numPr>
          <w:ilvl w:val="0"/>
          <w:numId w:val="2"/>
        </w:numPr>
        <w:spacing w:before="40" w:after="60"/>
      </w:pPr>
      <w:r>
        <w:rPr>
          <w:rFonts w:ascii="Arial" w:cs="Arial" w:eastAsia="Arial" w:hAnsi="Arial"/>
          <w:b w:val="false"/>
          <w:bCs w:val="false"/>
          <w:color w:val="424242"/>
          <w:sz w:val="22"/>
          <w:szCs w:val="22"/>
        </w:rPr>
        <w:t xml:space="preserve">Automatic review-request notification triggered on job completion</w:t>
      </w:r>
    </w:p>
    <w:p>
      <w:pPr>
        <w:pStyle w:val="ListParagraph"/>
        <w:numPr>
          <w:ilvl w:val="0"/>
          <w:numId w:val="2"/>
        </w:numPr>
        <w:spacing w:before="40" w:after="60"/>
      </w:pPr>
      <w:r>
        <w:rPr>
          <w:rFonts w:ascii="Arial" w:cs="Arial" w:eastAsia="Arial" w:hAnsi="Arial"/>
          <w:b w:val="false"/>
          <w:bCs w:val="false"/>
          <w:color w:val="424242"/>
          <w:sz w:val="22"/>
          <w:szCs w:val="22"/>
        </w:rPr>
        <w:t xml:space="preserve">Review statistics fed into the ContractorAnalyticsService for performance dashboards</w:t>
      </w:r>
    </w:p>
    <w:p>
      <w:pPr>
        <w:spacing w:before="2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2.4  Re-engagement Crons</w:t>
      </w:r>
    </w:p>
    <w:p>
      <w:pPr>
        <w:spacing w:before="60" w:after="120"/>
      </w:pPr>
      <w:r>
        <w:rPr>
          <w:rFonts w:ascii="Arial" w:cs="Arial" w:eastAsia="Arial" w:hAnsi="Arial"/>
          <w:color w:val="424242"/>
          <w:sz w:val="22"/>
          <w:szCs w:val="22"/>
        </w:rPr>
        <w:t xml:space="preserve">Mintenance operates 15 automated cron jobs. The following four directly support retention:</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880"/>
      </w:tblGrid>
      <w:tr>
        <w:trPr>
          <w:tblHeader/>
        </w:trPr>
        <w:tc>
          <w:tcPr>
            <w:tcW w:type="dxa" w:w="300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Cron</w:t>
            </w:r>
          </w:p>
        </w:tc>
        <w:tc>
          <w:tcPr>
            <w:tcW w:type="dxa" w:w="220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Frequency</w:t>
            </w:r>
          </w:p>
        </w:tc>
        <w:tc>
          <w:tcPr>
            <w:tcW w:type="dxa" w:w="488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Purpose</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homeowner-approval-reminders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Daily</w:t>
            </w:r>
          </w:p>
        </w:tc>
        <w:tc>
          <w:tcPr>
            <w:tcW w:type="dxa" w:w="4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Prompts homeowners to approve completed jobs; 7-day auto-release safety net</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payment-setup-reminders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Daily</w:t>
            </w:r>
          </w:p>
        </w:tc>
        <w:tc>
          <w:tcPr>
            <w:tcW w:type="dxa" w:w="4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Nudges contractors to connect Stripe for escrow release</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no-show-reminders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Periodic</w:t>
            </w:r>
          </w:p>
        </w:tc>
        <w:tc>
          <w:tcPr>
            <w:tcW w:type="dxa" w:w="4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Alerts both parties when job start time passes without action</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retention-cleanup</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Daily</w:t>
            </w:r>
          </w:p>
        </w:tc>
        <w:tc>
          <w:tcPr>
            <w:tcW w:type="dxa" w:w="4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Maintenance cron — cleans stale retention data</w:t>
            </w:r>
          </w:p>
        </w:tc>
      </w:tr>
    </w:tbl>
    <w:p>
      <w:pPr>
        <w:spacing w:before="2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2.5  Trial &amp; Subscription Emails</w:t>
      </w:r>
    </w:p>
    <w:p>
      <w:pPr>
        <w:spacing w:before="60" w:after="120"/>
      </w:pPr>
      <w:r>
        <w:rPr>
          <w:rFonts w:ascii="Arial" w:cs="Arial" w:eastAsia="Arial" w:hAnsi="Arial"/>
          <w:color w:val="424242"/>
          <w:sz w:val="22"/>
          <w:szCs w:val="22"/>
        </w:rPr>
        <w:t xml:space="preserve">A dedicated TrialNotifications service manages the full trial email sequence for subscription upsell.</w:t>
      </w:r>
    </w:p>
    <w:p>
      <w:pPr>
        <w:spacing w:before="80" w:after="0"/>
      </w:pPr>
      <w:r>
        <w:t xml:space="preserve"/>
      </w:r>
    </w:p>
    <w:p>
      <w:pPr>
        <w:pStyle w:val="ListParagraph"/>
        <w:numPr>
          <w:ilvl w:val="0"/>
          <w:numId w:val="2"/>
        </w:numPr>
        <w:spacing w:before="40" w:after="60"/>
      </w:pPr>
      <w:r>
        <w:rPr>
          <w:rFonts w:ascii="Arial" w:cs="Arial" w:eastAsia="Arial" w:hAnsi="Arial"/>
          <w:b w:val="false"/>
          <w:bCs w:val="false"/>
          <w:color w:val="424242"/>
          <w:sz w:val="22"/>
          <w:szCs w:val="22"/>
        </w:rPr>
        <w:t xml:space="preserve">Welcome email on trial start</w:t>
      </w:r>
    </w:p>
    <w:p>
      <w:pPr>
        <w:pStyle w:val="ListParagraph"/>
        <w:numPr>
          <w:ilvl w:val="0"/>
          <w:numId w:val="2"/>
        </w:numPr>
        <w:spacing w:before="40" w:after="60"/>
      </w:pPr>
      <w:r>
        <w:rPr>
          <w:rFonts w:ascii="Arial" w:cs="Arial" w:eastAsia="Arial" w:hAnsi="Arial"/>
          <w:b w:val="false"/>
          <w:bCs w:val="false"/>
          <w:color w:val="424242"/>
          <w:sz w:val="22"/>
          <w:szCs w:val="22"/>
        </w:rPr>
        <w:t xml:space="preserve">Warning emails at 7 days, 3 days, and 1 day before trial expiry</w:t>
      </w:r>
    </w:p>
    <w:p>
      <w:pPr>
        <w:pStyle w:val="ListParagraph"/>
        <w:numPr>
          <w:ilvl w:val="0"/>
          <w:numId w:val="2"/>
        </w:numPr>
        <w:spacing w:before="40" w:after="60"/>
      </w:pPr>
      <w:r>
        <w:rPr>
          <w:rFonts w:ascii="Arial" w:cs="Arial" w:eastAsia="Arial" w:hAnsi="Arial"/>
          <w:b w:val="false"/>
          <w:bCs w:val="false"/>
          <w:color w:val="424242"/>
          <w:sz w:val="22"/>
          <w:szCs w:val="22"/>
        </w:rPr>
        <w:t xml:space="preserve">Subscription required and payment success/failure transactional emails</w:t>
      </w:r>
    </w:p>
    <w:p>
      <w:pPr>
        <w:pStyle w:val="ListParagraph"/>
        <w:numPr>
          <w:ilvl w:val="0"/>
          <w:numId w:val="2"/>
        </w:numPr>
        <w:spacing w:before="40" w:after="60"/>
      </w:pPr>
      <w:r>
        <w:rPr>
          <w:rFonts w:ascii="Arial" w:cs="Arial" w:eastAsia="Arial" w:hAnsi="Arial"/>
          <w:b w:val="false"/>
          <w:bCs w:val="false"/>
          <w:color w:val="424242"/>
          <w:sz w:val="22"/>
          <w:szCs w:val="22"/>
        </w:rPr>
        <w:t xml:space="preserve">Both homeowner and contractor plan tiers are supported (Basic, Professional, Enterprise/Landlord)</w:t>
      </w:r>
    </w:p>
    <w:p>
      <w:pPr>
        <w:spacing w:before="2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2.6  Personalised Recommendations</w:t>
      </w:r>
    </w:p>
    <w:p>
      <w:pPr>
        <w:spacing w:before="60" w:after="120"/>
      </w:pPr>
      <w:r>
        <w:rPr>
          <w:rFonts w:ascii="Arial" w:cs="Arial" w:eastAsia="Arial" w:hAnsi="Arial"/>
          <w:color w:val="424242"/>
          <w:sz w:val="22"/>
          <w:szCs w:val="22"/>
        </w:rPr>
        <w:t xml:space="preserve">The RecommendationsService generates maintenance suggestions based on each homeowner's job history — a meaningful engagement hook that is currently underutilised in the UI.</w:t>
      </w:r>
    </w:p>
    <w:p>
      <w:pPr>
        <w:spacing w:before="80" w:after="0"/>
      </w:pPr>
      <w:r>
        <w:t xml:space="preserve"/>
      </w:r>
    </w:p>
    <w:p>
      <w:pPr>
        <w:pStyle w:val="ListParagraph"/>
        <w:numPr>
          <w:ilvl w:val="0"/>
          <w:numId w:val="2"/>
        </w:numPr>
        <w:spacing w:before="40" w:after="60"/>
      </w:pPr>
      <w:r>
        <w:rPr>
          <w:rFonts w:ascii="Arial" w:cs="Arial" w:eastAsia="Arial" w:hAnsi="Arial"/>
          <w:b w:val="false"/>
          <w:bCs w:val="false"/>
          <w:color w:val="424242"/>
          <w:sz w:val="22"/>
          <w:szCs w:val="22"/>
        </w:rPr>
        <w:t xml:space="preserve">Categories: scheduled maintenance, seasonal reminders, cost-saving tips, preventive work</w:t>
      </w:r>
    </w:p>
    <w:p>
      <w:pPr>
        <w:pStyle w:val="ListParagraph"/>
        <w:numPr>
          <w:ilvl w:val="0"/>
          <w:numId w:val="2"/>
        </w:numPr>
        <w:spacing w:before="40" w:after="60"/>
      </w:pPr>
      <w:r>
        <w:rPr>
          <w:rFonts w:ascii="Arial" w:cs="Arial" w:eastAsia="Arial" w:hAnsi="Arial"/>
          <w:b w:val="false"/>
          <w:bCs w:val="false"/>
          <w:color w:val="424242"/>
          <w:sz w:val="22"/>
          <w:szCs w:val="22"/>
        </w:rPr>
        <w:t xml:space="preserve">Driven by historical job data — personalised per property and category</w:t>
      </w:r>
    </w:p>
    <w:p>
      <w:pPr>
        <w:pStyle w:val="ListParagraph"/>
        <w:numPr>
          <w:ilvl w:val="0"/>
          <w:numId w:val="2"/>
        </w:numPr>
        <w:spacing w:before="40" w:after="60"/>
      </w:pPr>
      <w:r>
        <w:rPr>
          <w:rFonts w:ascii="Arial" w:cs="Arial" w:eastAsia="Arial" w:hAnsi="Arial"/>
          <w:b w:val="false"/>
          <w:bCs w:val="false"/>
          <w:color w:val="424242"/>
          <w:sz w:val="22"/>
          <w:szCs w:val="22"/>
        </w:rPr>
        <w:t xml:space="preserve">Opportunity: surface these recommendations more prominently in the homeowner dashboard and via email</w:t>
      </w:r>
    </w:p>
    <w:p>
      <w:pPr>
        <w:pStyle w:val="Heading1"/>
        <w:pageBreakBefore/>
        <w:shd w:fill="1B4F8A" w:val="clear"/>
        <w:spacing w:before="0" w:after="200"/>
        <w:ind w:left="120" w:right="120"/>
      </w:pPr>
      <w:r>
        <w:rPr>
          <w:rFonts w:ascii="Arial" w:cs="Arial" w:eastAsia="Arial" w:hAnsi="Arial"/>
          <w:b/>
          <w:bCs/>
          <w:color w:val="FFFFFF"/>
          <w:sz w:val="36"/>
          <w:szCs w:val="36"/>
        </w:rPr>
        <w:t xml:space="preserve">3. Gap Analysis — What Is Missing</w:t>
      </w:r>
    </w:p>
    <w:p>
      <w:pPr>
        <w:spacing w:before="60" w:after="120"/>
      </w:pPr>
      <w:r>
        <w:rPr>
          <w:rFonts w:ascii="Arial" w:cs="Arial" w:eastAsia="Arial" w:hAnsi="Arial"/>
          <w:color w:val="424242"/>
          <w:sz w:val="22"/>
          <w:szCs w:val="22"/>
        </w:rPr>
        <w:t xml:space="preserve">The audit identified 28 specific gaps across 9 retention categories. These are ranked by estimated business impact — not implementation effort — so leadership can make informed prioritisation decisions.</w:t>
      </w:r>
    </w:p>
    <w:p>
      <w:pPr>
        <w:spacing w:before="1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3.1  High-Impact Gaps</w:t>
      </w:r>
    </w:p>
    <w:p>
      <w:pPr>
        <w:pStyle w:val="Heading3"/>
        <w:spacing w:before="200" w:after="80"/>
      </w:pPr>
      <w:r>
        <w:rPr>
          <w:rFonts w:ascii="Arial" w:cs="Arial" w:eastAsia="Arial" w:hAnsi="Arial"/>
          <w:b/>
          <w:bCs/>
          <w:color w:val="4A90C4"/>
          <w:sz w:val="24"/>
          <w:szCs w:val="24"/>
        </w:rPr>
        <w:t xml:space="preserve">Gap 1: No Referral Programme</w:t>
      </w:r>
    </w:p>
    <w:p>
      <w:pPr>
        <w:spacing w:before="60" w:after="120"/>
      </w:pPr>
      <w:r>
        <w:rPr>
          <w:rFonts w:ascii="Arial" w:cs="Arial" w:eastAsia="Arial" w:hAnsi="Arial"/>
          <w:color w:val="424242"/>
          <w:sz w:val="22"/>
          <w:szCs w:val="22"/>
        </w:rPr>
        <w:t xml:space="preserve">Two-sided marketplaces typically achieve 20–35% of new user acquisition through referrals. Mintenance has zero referral infrastructure — no referral links, tracking, incentives, or attribution. This is the single highest-ROI retention and growth investment available.</w:t>
      </w:r>
    </w:p>
    <w:p>
      <w:pPr>
        <w:pStyle w:val="Heading3"/>
        <w:spacing w:before="200" w:after="80"/>
      </w:pPr>
      <w:r>
        <w:rPr>
          <w:rFonts w:ascii="Arial" w:cs="Arial" w:eastAsia="Arial" w:hAnsi="Arial"/>
          <w:b/>
          <w:bCs/>
          <w:color w:val="4A90C4"/>
          <w:sz w:val="24"/>
          <w:szCs w:val="24"/>
        </w:rPr>
        <w:t xml:space="preserve">Gap 2: No Loyalty or Rewards Programme</w:t>
      </w:r>
    </w:p>
    <w:p>
      <w:pPr>
        <w:spacing w:before="60" w:after="120"/>
      </w:pPr>
      <w:r>
        <w:rPr>
          <w:rFonts w:ascii="Arial" w:cs="Arial" w:eastAsia="Arial" w:hAnsi="Arial"/>
          <w:color w:val="424242"/>
          <w:sz w:val="22"/>
          <w:szCs w:val="22"/>
        </w:rPr>
        <w:t xml:space="preserve">There are no points, badges, achievements, or streak mechanics for either user type. Contractors who complete many jobs receive no visible recognition. Homeowners who return for multiple jobs get no loyalty benefit. A tiered contractor badge system (e.g., Bronze/Silver/Gold/Elite) tied to job completion rate and ratings would increase contractor retention and homeowner trust simultaneously.</w:t>
      </w:r>
    </w:p>
    <w:p>
      <w:pPr>
        <w:pStyle w:val="Heading3"/>
        <w:spacing w:before="200" w:after="80"/>
      </w:pPr>
      <w:r>
        <w:rPr>
          <w:rFonts w:ascii="Arial" w:cs="Arial" w:eastAsia="Arial" w:hAnsi="Arial"/>
          <w:b/>
          <w:bCs/>
          <w:color w:val="4A90C4"/>
          <w:sz w:val="24"/>
          <w:szCs w:val="24"/>
        </w:rPr>
        <w:t xml:space="preserve">Gap 3: No Churn Detection or Prediction</w:t>
      </w:r>
    </w:p>
    <w:p>
      <w:pPr>
        <w:spacing w:before="60" w:after="120"/>
      </w:pPr>
      <w:r>
        <w:rPr>
          <w:rFonts w:ascii="Arial" w:cs="Arial" w:eastAsia="Arial" w:hAnsi="Arial"/>
          <w:color w:val="424242"/>
          <w:sz w:val="22"/>
          <w:szCs w:val="22"/>
        </w:rPr>
        <w:t xml:space="preserve">The platform cannot identify at-risk users before they churn. There is no model or rule-based system that flags contractors who have stopped bidding, homeowners who viewed jobs but never posted, or users whose session frequency is declining. Without this signal, proactive intervention is impossible.</w:t>
      </w:r>
    </w:p>
    <w:p>
      <w:pPr>
        <w:pStyle w:val="Heading3"/>
        <w:spacing w:before="200" w:after="80"/>
      </w:pPr>
      <w:r>
        <w:rPr>
          <w:rFonts w:ascii="Arial" w:cs="Arial" w:eastAsia="Arial" w:hAnsi="Arial"/>
          <w:b/>
          <w:bCs/>
          <w:color w:val="4A90C4"/>
          <w:sz w:val="24"/>
          <w:szCs w:val="24"/>
        </w:rPr>
        <w:t xml:space="preserve">Gap 4: No Behavioural Email Drip Sequences</w:t>
      </w:r>
    </w:p>
    <w:p>
      <w:pPr>
        <w:spacing w:before="60" w:after="120"/>
      </w:pPr>
      <w:r>
        <w:rPr>
          <w:rFonts w:ascii="Arial" w:cs="Arial" w:eastAsia="Arial" w:hAnsi="Arial"/>
          <w:color w:val="424242"/>
          <w:sz w:val="22"/>
          <w:szCs w:val="22"/>
        </w:rPr>
        <w:t xml:space="preserve">Mintenance sends only transactional emails. There are no nurture sequences for new homeowners, no win-back campaigns for dormant users, no educational content series for new contractors. Email remains the highest-ROI digital retention channel and it is almost entirely untapped.</w:t>
      </w:r>
    </w:p>
    <w:p>
      <w:pPr>
        <w:spacing w:before="2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3.2  Medium-Impact Gaps</w:t>
      </w:r>
    </w:p>
    <w:p>
      <w:pPr>
        <w:pStyle w:val="Heading3"/>
        <w:spacing w:before="200" w:after="80"/>
      </w:pPr>
      <w:r>
        <w:rPr>
          <w:rFonts w:ascii="Arial" w:cs="Arial" w:eastAsia="Arial" w:hAnsi="Arial"/>
          <w:b/>
          <w:bCs/>
          <w:color w:val="4A90C4"/>
          <w:sz w:val="24"/>
          <w:szCs w:val="24"/>
        </w:rPr>
        <w:t xml:space="preserve">Gap 5: Minimal Onboarding Experience</w:t>
      </w:r>
    </w:p>
    <w:p>
      <w:pPr>
        <w:spacing w:before="60" w:after="120"/>
      </w:pPr>
      <w:r>
        <w:rPr>
          <w:rFonts w:ascii="Arial" w:cs="Arial" w:eastAsia="Arial" w:hAnsi="Arial"/>
          <w:color w:val="424242"/>
          <w:sz w:val="22"/>
          <w:szCs w:val="22"/>
        </w:rPr>
        <w:t xml:space="preserve">Onboarding is tracked as a boolean flag (onboarding_completed) but there is no guided tour, feature checklist, or progressive disclosure flow. First-session experience is critical — users who do not discover core value within their first visit have dramatically lower retention.</w:t>
      </w:r>
    </w:p>
    <w:p>
      <w:pPr>
        <w:pStyle w:val="Heading3"/>
        <w:spacing w:before="200" w:after="80"/>
      </w:pPr>
      <w:r>
        <w:rPr>
          <w:rFonts w:ascii="Arial" w:cs="Arial" w:eastAsia="Arial" w:hAnsi="Arial"/>
          <w:b/>
          <w:bCs/>
          <w:color w:val="4A90C4"/>
          <w:sz w:val="24"/>
          <w:szCs w:val="24"/>
        </w:rPr>
        <w:t xml:space="preserve">Gap 6: No Feature Adoption Tracking</w:t>
      </w:r>
    </w:p>
    <w:p>
      <w:pPr>
        <w:spacing w:before="60" w:after="120"/>
      </w:pPr>
      <w:r>
        <w:rPr>
          <w:rFonts w:ascii="Arial" w:cs="Arial" w:eastAsia="Arial" w:hAnsi="Arial"/>
          <w:color w:val="424242"/>
          <w:sz w:val="22"/>
          <w:szCs w:val="22"/>
        </w:rPr>
        <w:t xml:space="preserve">There is no visibility into which features users actually use after signup. Without this, the team cannot identify adoption drop-offs, run targeted nudge campaigns for underused features, or measure the impact of UX changes on engagement.</w:t>
      </w:r>
    </w:p>
    <w:p>
      <w:pPr>
        <w:pStyle w:val="Heading3"/>
        <w:spacing w:before="200" w:after="80"/>
      </w:pPr>
      <w:r>
        <w:rPr>
          <w:rFonts w:ascii="Arial" w:cs="Arial" w:eastAsia="Arial" w:hAnsi="Arial"/>
          <w:b/>
          <w:bCs/>
          <w:color w:val="4A90C4"/>
          <w:sz w:val="24"/>
          <w:szCs w:val="24"/>
        </w:rPr>
        <w:t xml:space="preserve">Gap 7: No Win-Back Campaigns</w:t>
      </w:r>
    </w:p>
    <w:p>
      <w:pPr>
        <w:spacing w:before="60" w:after="120"/>
      </w:pPr>
      <w:r>
        <w:rPr>
          <w:rFonts w:ascii="Arial" w:cs="Arial" w:eastAsia="Arial" w:hAnsi="Arial"/>
          <w:color w:val="424242"/>
          <w:sz w:val="22"/>
          <w:szCs w:val="22"/>
        </w:rPr>
        <w:t xml:space="preserve">There is no detection of dormant users and no automated win-back flow. A user who has not logged in for 30 days receives nothing — no personalised email, no push notification, no special offer. Industry benchmarks suggest well-designed win-back campaigns recover 5–15% of dormant users.</w:t>
      </w:r>
    </w:p>
    <w:p>
      <w:pPr>
        <w:pStyle w:val="Heading3"/>
        <w:spacing w:before="200" w:after="80"/>
      </w:pPr>
      <w:r>
        <w:rPr>
          <w:rFonts w:ascii="Arial" w:cs="Arial" w:eastAsia="Arial" w:hAnsi="Arial"/>
          <w:b/>
          <w:bCs/>
          <w:color w:val="4A90C4"/>
          <w:sz w:val="24"/>
          <w:szCs w:val="24"/>
        </w:rPr>
        <w:t xml:space="preserve">Gap 8: No A/B Testing Framework</w:t>
      </w:r>
    </w:p>
    <w:p>
      <w:pPr>
        <w:spacing w:before="60" w:after="120"/>
      </w:pPr>
      <w:r>
        <w:rPr>
          <w:rFonts w:ascii="Arial" w:cs="Arial" w:eastAsia="Arial" w:hAnsi="Arial"/>
          <w:color w:val="424242"/>
          <w:sz w:val="22"/>
          <w:szCs w:val="22"/>
        </w:rPr>
        <w:t xml:space="preserve">There is no experimentation platform. The team cannot test whether a different notification copy, a new onboarding step, or a referral incentive structure performs better. Without A/B testing, retention improvements are made by intuition rather than evidence.</w:t>
      </w:r>
    </w:p>
    <w:p>
      <w:pPr>
        <w:pStyle w:val="Heading3"/>
        <w:spacing w:before="200" w:after="80"/>
      </w:pPr>
      <w:r>
        <w:rPr>
          <w:rFonts w:ascii="Arial" w:cs="Arial" w:eastAsia="Arial" w:hAnsi="Arial"/>
          <w:b/>
          <w:bCs/>
          <w:color w:val="4A90C4"/>
          <w:sz w:val="24"/>
          <w:szCs w:val="24"/>
        </w:rPr>
        <w:t xml:space="preserve">Gap 9: No Cohort Retention Analytics</w:t>
      </w:r>
    </w:p>
    <w:p>
      <w:pPr>
        <w:spacing w:before="60" w:after="120"/>
      </w:pPr>
      <w:r>
        <w:rPr>
          <w:rFonts w:ascii="Arial" w:cs="Arial" w:eastAsia="Arial" w:hAnsi="Arial"/>
          <w:color w:val="424242"/>
          <w:sz w:val="22"/>
          <w:szCs w:val="22"/>
        </w:rPr>
        <w:t xml:space="preserve">There are no retention curves by signup cohort, geography, or user segment. It is currently impossible to answer: 'Are users who signed up in Q4 retaining better than Q3?' or 'Do contractors in London behave differently to those in Manchester?'</w:t>
      </w:r>
    </w:p>
    <w:p>
      <w:pPr>
        <w:spacing w:before="2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3.3  Lower-Impact Gaps</w:t>
      </w:r>
    </w:p>
    <w:p>
      <w:pPr>
        <w:pStyle w:val="Heading3"/>
        <w:spacing w:before="200" w:after="80"/>
      </w:pPr>
      <w:r>
        <w:rPr>
          <w:rFonts w:ascii="Arial" w:cs="Arial" w:eastAsia="Arial" w:hAnsi="Arial"/>
          <w:b/>
          <w:bCs/>
          <w:color w:val="4A90C4"/>
          <w:sz w:val="24"/>
          <w:szCs w:val="24"/>
        </w:rPr>
        <w:t xml:space="preserve">Gap 10: No SMS Notifications</w:t>
      </w:r>
    </w:p>
    <w:p>
      <w:pPr>
        <w:spacing w:before="60" w:after="120"/>
      </w:pPr>
      <w:r>
        <w:rPr>
          <w:rFonts w:ascii="Arial" w:cs="Arial" w:eastAsia="Arial" w:hAnsi="Arial"/>
          <w:color w:val="424242"/>
          <w:sz w:val="22"/>
          <w:szCs w:val="22"/>
        </w:rPr>
        <w:t xml:space="preserve">Only email, push, and in-app notifications are supported. SMS has significantly higher open rates (98% vs 20% for email) for time-sensitive job updates — especially relevant for no-show prevention and urgent job alerts.</w:t>
      </w:r>
    </w:p>
    <w:p>
      <w:pPr>
        <w:pStyle w:val="Heading3"/>
        <w:spacing w:before="200" w:after="80"/>
      </w:pPr>
      <w:r>
        <w:rPr>
          <w:rFonts w:ascii="Arial" w:cs="Arial" w:eastAsia="Arial" w:hAnsi="Arial"/>
          <w:b/>
          <w:bCs/>
          <w:color w:val="4A90C4"/>
          <w:sz w:val="24"/>
          <w:szCs w:val="24"/>
        </w:rPr>
        <w:t xml:space="preserve">Gap 11: No Social or Community Features</w:t>
      </w:r>
    </w:p>
    <w:p>
      <w:pPr>
        <w:spacing w:before="60" w:after="120"/>
      </w:pPr>
      <w:r>
        <w:rPr>
          <w:rFonts w:ascii="Arial" w:cs="Arial" w:eastAsia="Arial" w:hAnsi="Arial"/>
          <w:color w:val="424242"/>
          <w:sz w:val="22"/>
          <w:szCs w:val="22"/>
        </w:rPr>
        <w:t xml:space="preserve">Social features (posts, comments, followers) were explicitly removed in migration 007_remove_social_features.sql. While this was likely the right product decision, there is no replacement community mechanism. A contractor forum or Q&amp;A section could meaningfully improve contractor retention.</w:t>
      </w:r>
    </w:p>
    <w:p>
      <w:pPr>
        <w:pStyle w:val="Heading3"/>
        <w:spacing w:before="200" w:after="80"/>
      </w:pPr>
      <w:r>
        <w:rPr>
          <w:rFonts w:ascii="Arial" w:cs="Arial" w:eastAsia="Arial" w:hAnsi="Arial"/>
          <w:b/>
          <w:bCs/>
          <w:color w:val="4A90C4"/>
          <w:sz w:val="24"/>
          <w:szCs w:val="24"/>
        </w:rPr>
        <w:t xml:space="preserve">Gap 12: Recommendations Not Surfaced in UI</w:t>
      </w:r>
    </w:p>
    <w:p>
      <w:pPr>
        <w:spacing w:before="60" w:after="120"/>
      </w:pPr>
      <w:r>
        <w:rPr>
          <w:rFonts w:ascii="Arial" w:cs="Arial" w:eastAsia="Arial" w:hAnsi="Arial"/>
          <w:color w:val="424242"/>
          <w:sz w:val="22"/>
          <w:szCs w:val="22"/>
        </w:rPr>
        <w:t xml:space="preserve">The RecommendationsService exists and generates personalised content, but there is no evidence it is prominently surfaced in the homeowner dashboard or sent via email. This is a low-effort, high-value fix.</w:t>
      </w:r>
    </w:p>
    <w:p>
      <w:pPr>
        <w:pStyle w:val="Heading1"/>
        <w:pageBreakBefore/>
        <w:shd w:fill="1B4F8A" w:val="clear"/>
        <w:spacing w:before="0" w:after="200"/>
        <w:ind w:left="120" w:right="120"/>
      </w:pPr>
      <w:r>
        <w:rPr>
          <w:rFonts w:ascii="Arial" w:cs="Arial" w:eastAsia="Arial" w:hAnsi="Arial"/>
          <w:b/>
          <w:bCs/>
          <w:color w:val="FFFFFF"/>
          <w:sz w:val="36"/>
          <w:szCs w:val="36"/>
        </w:rPr>
        <w:t xml:space="preserve">4. User Retention Strategy</w:t>
      </w:r>
    </w:p>
    <w:p>
      <w:pPr>
        <w:spacing w:before="60" w:after="120"/>
      </w:pPr>
      <w:r>
        <w:rPr>
          <w:rFonts w:ascii="Arial" w:cs="Arial" w:eastAsia="Arial" w:hAnsi="Arial"/>
          <w:color w:val="424242"/>
          <w:sz w:val="22"/>
          <w:szCs w:val="22"/>
        </w:rPr>
        <w:t xml:space="preserve">The retention strategy is structured around two user personas — Homeowners and Contractors — since their motivations, churn triggers, and optimal engagement mechanics differ significantly. Tactics are then organised by time horizon.</w:t>
      </w:r>
    </w:p>
    <w:p>
      <w:pPr>
        <w:spacing w:before="1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4.1  Homeowner Retention Strategy</w:t>
      </w:r>
    </w:p>
    <w:p>
      <w:pPr>
        <w:spacing w:before="60" w:after="120"/>
      </w:pPr>
      <w:r>
        <w:rPr>
          <w:rFonts w:ascii="Arial" w:cs="Arial" w:eastAsia="Arial" w:hAnsi="Arial"/>
          <w:color w:val="424242"/>
          <w:sz w:val="22"/>
          <w:szCs w:val="22"/>
        </w:rPr>
        <w:t xml:space="preserve">Homeowners churn primarily because: (a) they complete a one-off repair and have no immediate need, (b) they had a poor contractor experience, or (c) they found a cheaper or more convenient alternative. Retention strategy must address all three root causes.</w:t>
      </w:r>
    </w:p>
    <w:p>
      <w:pPr>
        <w:spacing w:before="80" w:after="0"/>
      </w:pPr>
      <w:r>
        <w:t xml:space="preserve"/>
      </w:r>
    </w:p>
    <w:p>
      <w:pPr>
        <w:pStyle w:val="Heading3"/>
        <w:spacing w:before="200" w:after="80"/>
      </w:pPr>
      <w:r>
        <w:rPr>
          <w:rFonts w:ascii="Arial" w:cs="Arial" w:eastAsia="Arial" w:hAnsi="Arial"/>
          <w:b/>
          <w:bCs/>
          <w:color w:val="4A90C4"/>
          <w:sz w:val="24"/>
          <w:szCs w:val="24"/>
        </w:rPr>
        <w:t xml:space="preserve">Objective 1: Extend the Relationship Beyond the First Job</w:t>
      </w:r>
    </w:p>
    <w:p>
      <w:pPr>
        <w:pStyle w:val="ListParagraph"/>
        <w:numPr>
          <w:ilvl w:val="0"/>
          <w:numId w:val="2"/>
        </w:numPr>
        <w:spacing w:before="40" w:after="60"/>
      </w:pPr>
      <w:r>
        <w:rPr>
          <w:rFonts w:ascii="Arial" w:cs="Arial" w:eastAsia="Arial" w:hAnsi="Arial"/>
          <w:b w:val="false"/>
          <w:bCs w:val="false"/>
          <w:color w:val="424242"/>
          <w:sz w:val="22"/>
          <w:szCs w:val="22"/>
        </w:rPr>
        <w:t xml:space="preserve">Launch a preventive maintenance calendar: after each job, suggest related future tasks based on property type and job category (e.g., 'Your boiler service is due in 6 months — book now')</w:t>
      </w:r>
    </w:p>
    <w:p>
      <w:pPr>
        <w:pStyle w:val="ListParagraph"/>
        <w:numPr>
          <w:ilvl w:val="0"/>
          <w:numId w:val="2"/>
        </w:numPr>
        <w:spacing w:before="40" w:after="60"/>
      </w:pPr>
      <w:r>
        <w:rPr>
          <w:rFonts w:ascii="Arial" w:cs="Arial" w:eastAsia="Arial" w:hAnsi="Arial"/>
          <w:b w:val="false"/>
          <w:bCs w:val="false"/>
          <w:color w:val="424242"/>
          <w:sz w:val="22"/>
          <w:szCs w:val="22"/>
        </w:rPr>
        <w:t xml:space="preserve">Surface the RecommendationsService output as a dedicated 'My Property Health' dashboard section</w:t>
      </w:r>
    </w:p>
    <w:p>
      <w:pPr>
        <w:pStyle w:val="ListParagraph"/>
        <w:numPr>
          <w:ilvl w:val="0"/>
          <w:numId w:val="2"/>
        </w:numPr>
        <w:spacing w:before="40" w:after="60"/>
      </w:pPr>
      <w:r>
        <w:rPr>
          <w:rFonts w:ascii="Arial" w:cs="Arial" w:eastAsia="Arial" w:hAnsi="Arial"/>
          <w:b w:val="false"/>
          <w:bCs w:val="false"/>
          <w:color w:val="424242"/>
          <w:sz w:val="22"/>
          <w:szCs w:val="22"/>
        </w:rPr>
        <w:t xml:space="preserve">Send a monthly property maintenance digest email with seasonal tips and relevant contractor availability</w:t>
      </w:r>
    </w:p>
    <w:p>
      <w:pPr>
        <w:pStyle w:val="ListParagraph"/>
        <w:numPr>
          <w:ilvl w:val="0"/>
          <w:numId w:val="2"/>
        </w:numPr>
        <w:spacing w:before="40" w:after="60"/>
      </w:pPr>
      <w:r>
        <w:rPr>
          <w:rFonts w:ascii="Arial" w:cs="Arial" w:eastAsia="Arial" w:hAnsi="Arial"/>
          <w:b w:val="false"/>
          <w:bCs w:val="false"/>
          <w:color w:val="424242"/>
          <w:sz w:val="22"/>
          <w:szCs w:val="22"/>
        </w:rPr>
        <w:t xml:space="preserve">Introduce a home profile feature where homeowners log their property details — creating ongoing relevance and repeat posting intent</w:t>
      </w:r>
    </w:p>
    <w:p>
      <w:pPr>
        <w:spacing w:before="80" w:after="0"/>
      </w:pPr>
      <w:r>
        <w:t xml:space="preserve"/>
      </w:r>
    </w:p>
    <w:p>
      <w:pPr>
        <w:pStyle w:val="Heading3"/>
        <w:spacing w:before="200" w:after="80"/>
      </w:pPr>
      <w:r>
        <w:rPr>
          <w:rFonts w:ascii="Arial" w:cs="Arial" w:eastAsia="Arial" w:hAnsi="Arial"/>
          <w:b/>
          <w:bCs/>
          <w:color w:val="4A90C4"/>
          <w:sz w:val="24"/>
          <w:szCs w:val="24"/>
        </w:rPr>
        <w:t xml:space="preserve">Objective 2: Reduce Post-Job Churn from Bad Experiences</w:t>
      </w:r>
    </w:p>
    <w:p>
      <w:pPr>
        <w:pStyle w:val="ListParagraph"/>
        <w:numPr>
          <w:ilvl w:val="0"/>
          <w:numId w:val="2"/>
        </w:numPr>
        <w:spacing w:before="40" w:after="60"/>
      </w:pPr>
      <w:r>
        <w:rPr>
          <w:rFonts w:ascii="Arial" w:cs="Arial" w:eastAsia="Arial" w:hAnsi="Arial"/>
          <w:b w:val="false"/>
          <w:bCs w:val="false"/>
          <w:color w:val="424242"/>
          <w:sz w:val="22"/>
          <w:szCs w:val="22"/>
        </w:rPr>
        <w:t xml:space="preserve">Add a 24-hour post-job NPS survey (not just a star rating) — identify promoters vs detractors early</w:t>
      </w:r>
    </w:p>
    <w:p>
      <w:pPr>
        <w:pStyle w:val="ListParagraph"/>
        <w:numPr>
          <w:ilvl w:val="0"/>
          <w:numId w:val="2"/>
        </w:numPr>
        <w:spacing w:before="40" w:after="60"/>
      </w:pPr>
      <w:r>
        <w:rPr>
          <w:rFonts w:ascii="Arial" w:cs="Arial" w:eastAsia="Arial" w:hAnsi="Arial"/>
          <w:b w:val="false"/>
          <w:bCs w:val="false"/>
          <w:color w:val="424242"/>
          <w:sz w:val="22"/>
          <w:szCs w:val="22"/>
        </w:rPr>
        <w:t xml:space="preserve">For detractors (NPS 0–6), trigger an immediate customer success intervention flow</w:t>
      </w:r>
    </w:p>
    <w:p>
      <w:pPr>
        <w:pStyle w:val="ListParagraph"/>
        <w:numPr>
          <w:ilvl w:val="0"/>
          <w:numId w:val="2"/>
        </w:numPr>
        <w:spacing w:before="40" w:after="60"/>
      </w:pPr>
      <w:r>
        <w:rPr>
          <w:rFonts w:ascii="Arial" w:cs="Arial" w:eastAsia="Arial" w:hAnsi="Arial"/>
          <w:b w:val="false"/>
          <w:bCs w:val="false"/>
          <w:color w:val="424242"/>
          <w:sz w:val="22"/>
          <w:szCs w:val="22"/>
        </w:rPr>
        <w:t xml:space="preserve">Introduce a service guarantee messaging layer: 'If you're not satisfied, we'll make it right'</w:t>
      </w:r>
    </w:p>
    <w:p>
      <w:pPr>
        <w:pStyle w:val="ListParagraph"/>
        <w:numPr>
          <w:ilvl w:val="0"/>
          <w:numId w:val="2"/>
        </w:numPr>
        <w:spacing w:before="40" w:after="60"/>
      </w:pPr>
      <w:r>
        <w:rPr>
          <w:rFonts w:ascii="Arial" w:cs="Arial" w:eastAsia="Arial" w:hAnsi="Arial"/>
          <w:b w:val="false"/>
          <w:bCs w:val="false"/>
          <w:color w:val="424242"/>
          <w:sz w:val="22"/>
          <w:szCs w:val="22"/>
        </w:rPr>
        <w:t xml:space="preserve">Track contractor re-hire rates per homeowner — a high re-hire rate is the strongest retention signal</w:t>
      </w:r>
    </w:p>
    <w:p>
      <w:pPr>
        <w:spacing w:before="80" w:after="0"/>
      </w:pPr>
      <w:r>
        <w:t xml:space="preserve"/>
      </w:r>
    </w:p>
    <w:p>
      <w:pPr>
        <w:pStyle w:val="Heading3"/>
        <w:spacing w:before="200" w:after="80"/>
      </w:pPr>
      <w:r>
        <w:rPr>
          <w:rFonts w:ascii="Arial" w:cs="Arial" w:eastAsia="Arial" w:hAnsi="Arial"/>
          <w:b/>
          <w:bCs/>
          <w:color w:val="4A90C4"/>
          <w:sz w:val="24"/>
          <w:szCs w:val="24"/>
        </w:rPr>
        <w:t xml:space="preserve">Objective 3: Reward Loyalty</w:t>
      </w:r>
    </w:p>
    <w:p>
      <w:pPr>
        <w:pStyle w:val="ListParagraph"/>
        <w:numPr>
          <w:ilvl w:val="0"/>
          <w:numId w:val="2"/>
        </w:numPr>
        <w:spacing w:before="40" w:after="60"/>
      </w:pPr>
      <w:r>
        <w:rPr>
          <w:rFonts w:ascii="Arial" w:cs="Arial" w:eastAsia="Arial" w:hAnsi="Arial"/>
          <w:b w:val="false"/>
          <w:bCs w:val="false"/>
          <w:color w:val="424242"/>
          <w:sz w:val="22"/>
          <w:szCs w:val="22"/>
        </w:rPr>
        <w:t xml:space="preserve">Homeowner loyalty tier: Silver (3+ jobs), Gold (7+ jobs), Platinum (15+ jobs) — with tangible benefits at each tier (priority support, fee discounts, early access to top-rated contractors)</w:t>
      </w:r>
    </w:p>
    <w:p>
      <w:pPr>
        <w:pStyle w:val="ListParagraph"/>
        <w:numPr>
          <w:ilvl w:val="0"/>
          <w:numId w:val="2"/>
        </w:numPr>
        <w:spacing w:before="40" w:after="60"/>
      </w:pPr>
      <w:r>
        <w:rPr>
          <w:rFonts w:ascii="Arial" w:cs="Arial" w:eastAsia="Arial" w:hAnsi="Arial"/>
          <w:b w:val="false"/>
          <w:bCs w:val="false"/>
          <w:color w:val="424242"/>
          <w:sz w:val="22"/>
          <w:szCs w:val="22"/>
        </w:rPr>
        <w:t xml:space="preserve">Referral programme: give both referrer and referee a platform credit on the referred user's first job</w:t>
      </w:r>
    </w:p>
    <w:p>
      <w:pPr>
        <w:pStyle w:val="ListParagraph"/>
        <w:numPr>
          <w:ilvl w:val="0"/>
          <w:numId w:val="2"/>
        </w:numPr>
        <w:spacing w:before="40" w:after="60"/>
      </w:pPr>
      <w:r>
        <w:rPr>
          <w:rFonts w:ascii="Arial" w:cs="Arial" w:eastAsia="Arial" w:hAnsi="Arial"/>
          <w:b w:val="false"/>
          <w:bCs w:val="false"/>
          <w:color w:val="424242"/>
          <w:sz w:val="22"/>
          <w:szCs w:val="22"/>
        </w:rPr>
        <w:t xml:space="preserve">Annual property report: send a year-in-review summary of jobs completed, money saved vs market rates, and contractor relationships built</w:t>
      </w:r>
    </w:p>
    <w:p>
      <w:pPr>
        <w:spacing w:before="2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4.2  Contractor Retention Strategy</w:t>
      </w:r>
    </w:p>
    <w:p>
      <w:pPr>
        <w:spacing w:before="60" w:after="120"/>
      </w:pPr>
      <w:r>
        <w:rPr>
          <w:rFonts w:ascii="Arial" w:cs="Arial" w:eastAsia="Arial" w:hAnsi="Arial"/>
          <w:color w:val="424242"/>
          <w:sz w:val="22"/>
          <w:szCs w:val="22"/>
        </w:rPr>
        <w:t xml:space="preserve">Contractors churn primarily because: (a) insufficient job volume, (b) payment friction or disputes, (c) unfair competition from lower-quality bidders, or (d) lack of differentiation for high performers. Strategy must address each driver.</w:t>
      </w:r>
    </w:p>
    <w:p>
      <w:pPr>
        <w:spacing w:before="80" w:after="0"/>
      </w:pPr>
      <w:r>
        <w:t xml:space="preserve"/>
      </w:r>
    </w:p>
    <w:p>
      <w:pPr>
        <w:pStyle w:val="Heading3"/>
        <w:spacing w:before="200" w:after="80"/>
      </w:pPr>
      <w:r>
        <w:rPr>
          <w:rFonts w:ascii="Arial" w:cs="Arial" w:eastAsia="Arial" w:hAnsi="Arial"/>
          <w:b/>
          <w:bCs/>
          <w:color w:val="4A90C4"/>
          <w:sz w:val="24"/>
          <w:szCs w:val="24"/>
        </w:rPr>
        <w:t xml:space="preserve">Objective 1: Ensure Consistent Job Volume</w:t>
      </w:r>
    </w:p>
    <w:p>
      <w:pPr>
        <w:pStyle w:val="ListParagraph"/>
        <w:numPr>
          <w:ilvl w:val="0"/>
          <w:numId w:val="2"/>
        </w:numPr>
        <w:spacing w:before="40" w:after="60"/>
      </w:pPr>
      <w:r>
        <w:rPr>
          <w:rFonts w:ascii="Arial" w:cs="Arial" w:eastAsia="Arial" w:hAnsi="Arial"/>
          <w:b w:val="false"/>
          <w:bCs w:val="false"/>
          <w:color w:val="424242"/>
          <w:sz w:val="22"/>
          <w:szCs w:val="22"/>
        </w:rPr>
        <w:t xml:space="preserve">Improve the job-nearby matching algorithm to surface more relevant jobs per contractor based on category specialisation, historical win rate, and geographic range</w:t>
      </w:r>
    </w:p>
    <w:p>
      <w:pPr>
        <w:pStyle w:val="ListParagraph"/>
        <w:numPr>
          <w:ilvl w:val="0"/>
          <w:numId w:val="2"/>
        </w:numPr>
        <w:spacing w:before="40" w:after="60"/>
      </w:pPr>
      <w:r>
        <w:rPr>
          <w:rFonts w:ascii="Arial" w:cs="Arial" w:eastAsia="Arial" w:hAnsi="Arial"/>
          <w:b w:val="false"/>
          <w:bCs w:val="false"/>
          <w:color w:val="424242"/>
          <w:sz w:val="22"/>
          <w:szCs w:val="22"/>
        </w:rPr>
        <w:t xml:space="preserve">Introduce a 'Guaranteed Visibility' feature for Professional/Enterprise contractors: priority placement in homeowner search results</w:t>
      </w:r>
    </w:p>
    <w:p>
      <w:pPr>
        <w:pStyle w:val="ListParagraph"/>
        <w:numPr>
          <w:ilvl w:val="0"/>
          <w:numId w:val="2"/>
        </w:numPr>
        <w:spacing w:before="40" w:after="60"/>
      </w:pPr>
      <w:r>
        <w:rPr>
          <w:rFonts w:ascii="Arial" w:cs="Arial" w:eastAsia="Arial" w:hAnsi="Arial"/>
          <w:b w:val="false"/>
          <w:bCs w:val="false"/>
          <w:color w:val="424242"/>
          <w:sz w:val="22"/>
          <w:szCs w:val="22"/>
        </w:rPr>
        <w:t xml:space="preserve">Weekly job opportunity digest: personalised email showing jobs matching each contractor's profile that they have not yet bid on</w:t>
      </w:r>
    </w:p>
    <w:p>
      <w:pPr>
        <w:pStyle w:val="ListParagraph"/>
        <w:numPr>
          <w:ilvl w:val="0"/>
          <w:numId w:val="2"/>
        </w:numPr>
        <w:spacing w:before="40" w:after="60"/>
      </w:pPr>
      <w:r>
        <w:rPr>
          <w:rFonts w:ascii="Arial" w:cs="Arial" w:eastAsia="Arial" w:hAnsi="Arial"/>
          <w:b w:val="false"/>
          <w:bCs w:val="false"/>
          <w:color w:val="424242"/>
          <w:sz w:val="22"/>
          <w:szCs w:val="22"/>
        </w:rPr>
        <w:t xml:space="preserve">Low-activity alert: if a contractor has not bid in 14 days, send a personalised nudge with 3 relevant open jobs</w:t>
      </w:r>
    </w:p>
    <w:p>
      <w:pPr>
        <w:spacing w:before="80" w:after="0"/>
      </w:pPr>
      <w:r>
        <w:t xml:space="preserve"/>
      </w:r>
    </w:p>
    <w:p>
      <w:pPr>
        <w:pStyle w:val="Heading3"/>
        <w:spacing w:before="200" w:after="80"/>
      </w:pPr>
      <w:r>
        <w:rPr>
          <w:rFonts w:ascii="Arial" w:cs="Arial" w:eastAsia="Arial" w:hAnsi="Arial"/>
          <w:b/>
          <w:bCs/>
          <w:color w:val="4A90C4"/>
          <w:sz w:val="24"/>
          <w:szCs w:val="24"/>
        </w:rPr>
        <w:t xml:space="preserve">Objective 2: Reduce Payment Friction</w:t>
      </w:r>
    </w:p>
    <w:p>
      <w:pPr>
        <w:pStyle w:val="ListParagraph"/>
        <w:numPr>
          <w:ilvl w:val="0"/>
          <w:numId w:val="2"/>
        </w:numPr>
        <w:spacing w:before="40" w:after="60"/>
      </w:pPr>
      <w:r>
        <w:rPr>
          <w:rFonts w:ascii="Arial" w:cs="Arial" w:eastAsia="Arial" w:hAnsi="Arial"/>
          <w:b w:val="false"/>
          <w:bCs w:val="false"/>
          <w:color w:val="424242"/>
          <w:sz w:val="22"/>
          <w:szCs w:val="22"/>
        </w:rPr>
        <w:t xml:space="preserve">Simplify the Stripe Connect onboarding flow and add step-by-step in-app guidance — payment setup abandonment is a confirmed gap</w:t>
      </w:r>
    </w:p>
    <w:p>
      <w:pPr>
        <w:pStyle w:val="ListParagraph"/>
        <w:numPr>
          <w:ilvl w:val="0"/>
          <w:numId w:val="2"/>
        </w:numPr>
        <w:spacing w:before="40" w:after="60"/>
      </w:pPr>
      <w:r>
        <w:rPr>
          <w:rFonts w:ascii="Arial" w:cs="Arial" w:eastAsia="Arial" w:hAnsi="Arial"/>
          <w:b w:val="false"/>
          <w:bCs w:val="false"/>
          <w:color w:val="424242"/>
          <w:sz w:val="22"/>
          <w:szCs w:val="22"/>
        </w:rPr>
        <w:t xml:space="preserve">Add a real-time escrow status indicator on the contractor dashboard so payment timing is always transparent</w:t>
      </w:r>
    </w:p>
    <w:p>
      <w:pPr>
        <w:pStyle w:val="ListParagraph"/>
        <w:numPr>
          <w:ilvl w:val="0"/>
          <w:numId w:val="2"/>
        </w:numPr>
        <w:spacing w:before="40" w:after="60"/>
      </w:pPr>
      <w:r>
        <w:rPr>
          <w:rFonts w:ascii="Arial" w:cs="Arial" w:eastAsia="Arial" w:hAnsi="Arial"/>
          <w:b w:val="false"/>
          <w:bCs w:val="false"/>
          <w:color w:val="424242"/>
          <w:sz w:val="22"/>
          <w:szCs w:val="22"/>
        </w:rPr>
        <w:t xml:space="preserve">Introduce faster payment options (e.g., same-day release for contractors with 4.8+ rating and 20+ jobs) as a retention incentive for top performers</w:t>
      </w:r>
    </w:p>
    <w:p>
      <w:pPr>
        <w:spacing w:before="80" w:after="0"/>
      </w:pPr>
      <w:r>
        <w:t xml:space="preserve"/>
      </w:r>
    </w:p>
    <w:p>
      <w:pPr>
        <w:pStyle w:val="Heading3"/>
        <w:spacing w:before="200" w:after="80"/>
      </w:pPr>
      <w:r>
        <w:rPr>
          <w:rFonts w:ascii="Arial" w:cs="Arial" w:eastAsia="Arial" w:hAnsi="Arial"/>
          <w:b/>
          <w:bCs/>
          <w:color w:val="4A90C4"/>
          <w:sz w:val="24"/>
          <w:szCs w:val="24"/>
        </w:rPr>
        <w:t xml:space="preserve">Objective 3: Recognise and Reward Top Performers</w:t>
      </w:r>
    </w:p>
    <w:p>
      <w:pPr>
        <w:pStyle w:val="ListParagraph"/>
        <w:numPr>
          <w:ilvl w:val="0"/>
          <w:numId w:val="2"/>
        </w:numPr>
        <w:spacing w:before="40" w:after="60"/>
      </w:pPr>
      <w:r>
        <w:rPr>
          <w:rFonts w:ascii="Arial" w:cs="Arial" w:eastAsia="Arial" w:hAnsi="Arial"/>
          <w:b w:val="false"/>
          <w:bCs w:val="false"/>
          <w:color w:val="424242"/>
          <w:sz w:val="22"/>
          <w:szCs w:val="22"/>
        </w:rPr>
        <w:t xml:space="preserve">Verified Elite badge: awarded to contractors with 4.8+ average rating, 50+ completed jobs, and &lt;5% dispute rate — displayed on their profile and in search results</w:t>
      </w:r>
    </w:p>
    <w:p>
      <w:pPr>
        <w:pStyle w:val="ListParagraph"/>
        <w:numPr>
          <w:ilvl w:val="0"/>
          <w:numId w:val="2"/>
        </w:numPr>
        <w:spacing w:before="40" w:after="60"/>
      </w:pPr>
      <w:r>
        <w:rPr>
          <w:rFonts w:ascii="Arial" w:cs="Arial" w:eastAsia="Arial" w:hAnsi="Arial"/>
          <w:b w:val="false"/>
          <w:bCs w:val="false"/>
          <w:color w:val="424242"/>
          <w:sz w:val="22"/>
          <w:szCs w:val="22"/>
        </w:rPr>
        <w:t xml:space="preserve">Contractor leaderboard: monthly ranking by jobs completed and rating within each category — creates healthy competition and social proof</w:t>
      </w:r>
    </w:p>
    <w:p>
      <w:pPr>
        <w:pStyle w:val="ListParagraph"/>
        <w:numPr>
          <w:ilvl w:val="0"/>
          <w:numId w:val="2"/>
        </w:numPr>
        <w:spacing w:before="40" w:after="60"/>
      </w:pPr>
      <w:r>
        <w:rPr>
          <w:rFonts w:ascii="Arial" w:cs="Arial" w:eastAsia="Arial" w:hAnsi="Arial"/>
          <w:b w:val="false"/>
          <w:bCs w:val="false"/>
          <w:color w:val="424242"/>
          <w:sz w:val="22"/>
          <w:szCs w:val="22"/>
        </w:rPr>
        <w:t xml:space="preserve">Anniversary recognition: on each contractor's platform anniversary, send a personalised achievement summary and bonus platform credit</w:t>
      </w:r>
    </w:p>
    <w:p>
      <w:pPr>
        <w:pStyle w:val="ListParagraph"/>
        <w:numPr>
          <w:ilvl w:val="0"/>
          <w:numId w:val="2"/>
        </w:numPr>
        <w:spacing w:before="40" w:after="60"/>
      </w:pPr>
      <w:r>
        <w:rPr>
          <w:rFonts w:ascii="Arial" w:cs="Arial" w:eastAsia="Arial" w:hAnsi="Arial"/>
          <w:b w:val="false"/>
          <w:bCs w:val="false"/>
          <w:color w:val="424242"/>
          <w:sz w:val="22"/>
          <w:szCs w:val="22"/>
        </w:rPr>
        <w:t xml:space="preserve">Review milestone celebrations: 'You just received your 50th 5-star review!' — shared via push and email with a social sharing prompt</w:t>
      </w:r>
    </w:p>
    <w:p>
      <w:pPr>
        <w:pStyle w:val="Heading1"/>
        <w:pageBreakBefore/>
        <w:shd w:fill="1B4F8A" w:val="clear"/>
        <w:spacing w:before="0" w:after="200"/>
        <w:ind w:left="120" w:right="120"/>
      </w:pPr>
      <w:r>
        <w:rPr>
          <w:rFonts w:ascii="Arial" w:cs="Arial" w:eastAsia="Arial" w:hAnsi="Arial"/>
          <w:b/>
          <w:bCs/>
          <w:color w:val="FFFFFF"/>
          <w:sz w:val="36"/>
          <w:szCs w:val="36"/>
        </w:rPr>
        <w:t xml:space="preserve">5. Implementation Roadmap</w:t>
      </w:r>
    </w:p>
    <w:p>
      <w:pPr>
        <w:spacing w:before="60" w:after="120"/>
      </w:pPr>
      <w:r>
        <w:rPr>
          <w:rFonts w:ascii="Arial" w:cs="Arial" w:eastAsia="Arial" w:hAnsi="Arial"/>
          <w:color w:val="424242"/>
          <w:sz w:val="22"/>
          <w:szCs w:val="22"/>
        </w:rPr>
        <w:t xml:space="preserve">The roadmap is structured in three quarters. Quick Wins (Q1) are deliberately low-effort and high-impact — they use existing infrastructure and data. Q2 introduces structural programmes. Q3 focuses on data intelligence and experimentation.</w:t>
      </w:r>
    </w:p>
    <w:p>
      <w:pPr>
        <w:spacing w:before="1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5.1  Q1 Quick Wins (Weeks 1–12)</w:t>
      </w:r>
    </w:p>
    <w:p>
      <w:pPr>
        <w:spacing w:before="60" w:after="120"/>
      </w:pPr>
      <w:r>
        <w:rPr>
          <w:rFonts w:ascii="Arial" w:cs="Arial" w:eastAsia="Arial" w:hAnsi="Arial"/>
          <w:color w:val="424242"/>
          <w:sz w:val="22"/>
          <w:szCs w:val="22"/>
        </w:rPr>
        <w:t xml:space="preserve">These initiatives leverage existing codebase infrastructure and can be shipped without new backend architecture.</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none" w:color="FFFFFF" w:sz="0"/>
              <w:left w:val="none" w:color="FFFFFF" w:sz="0"/>
              <w:bottom w:val="none" w:color="FFFFFF" w:sz="0"/>
              <w:right w:val="none" w:color="FFFFFF" w:sz="0"/>
            </w:tcBorders>
            <w:shd w:fill="E8F5E9" w:val="clear"/>
            <w:tcMar>
              <w:top w:type="dxa" w:w="100"/>
              <w:left w:type="dxa" w:w="160"/>
              <w:bottom w:type="dxa" w:w="60"/>
              <w:right w:type="dxa" w:w="160"/>
            </w:tcMar>
          </w:tcPr>
          <w:p>
            <w:r>
              <w:rPr>
                <w:rFonts w:ascii="Arial" w:cs="Arial" w:eastAsia="Arial" w:hAnsi="Arial"/>
                <w:b/>
                <w:bCs/>
                <w:color w:val="2E7D32"/>
                <w:sz w:val="22"/>
                <w:szCs w:val="22"/>
              </w:rPr>
              <w:t xml:space="preserve">Q1 Priority Actions</w:t>
            </w:r>
          </w:p>
        </w:tc>
      </w:tr>
      <w:tr>
        <w:tc>
          <w:tcPr>
            <w:tcBorders>
              <w:top w:val="none" w:color="FFFFFF" w:sz="0"/>
              <w:left w:val="none" w:color="FFFFFF" w:sz="0"/>
              <w:bottom w:val="none" w:color="FFFFFF" w:sz="0"/>
              <w:right w:val="none" w:color="FFFFFF" w:sz="0"/>
            </w:tcBorders>
            <w:shd w:fill="E8F5E9" w:val="clear"/>
            <w:tcMar>
              <w:top w:type="dxa" w:w="40"/>
              <w:left w:type="dxa" w:w="280"/>
              <w:bottom w:type="dxa" w:w="40"/>
              <w:right w:type="dxa" w:w="160"/>
            </w:tcMar>
          </w:tcPr>
          <w:p>
            <w:r>
              <w:rPr>
                <w:rFonts w:ascii="Arial" w:cs="Arial" w:eastAsia="Arial" w:hAnsi="Arial"/>
                <w:color w:val="424242"/>
                <w:sz w:val="21"/>
                <w:szCs w:val="21"/>
              </w:rPr>
              <w:t xml:space="preserve">• 1. Surface Recommendations in UI — HomeownerDashboard component, minimal backend work</w:t>
            </w:r>
          </w:p>
        </w:tc>
      </w:tr>
      <w:tr>
        <w:tc>
          <w:tcPr>
            <w:tcBorders>
              <w:top w:val="none" w:color="FFFFFF" w:sz="0"/>
              <w:left w:val="none" w:color="FFFFFF" w:sz="0"/>
              <w:bottom w:val="none" w:color="FFFFFF" w:sz="0"/>
              <w:right w:val="none" w:color="FFFFFF" w:sz="0"/>
            </w:tcBorders>
            <w:shd w:fill="E8F5E9" w:val="clear"/>
            <w:tcMar>
              <w:top w:type="dxa" w:w="40"/>
              <w:left w:type="dxa" w:w="280"/>
              <w:bottom w:type="dxa" w:w="40"/>
              <w:right w:type="dxa" w:w="160"/>
            </w:tcMar>
          </w:tcPr>
          <w:p>
            <w:r>
              <w:rPr>
                <w:rFonts w:ascii="Arial" w:cs="Arial" w:eastAsia="Arial" w:hAnsi="Arial"/>
                <w:color w:val="424242"/>
                <w:sz w:val="21"/>
                <w:szCs w:val="21"/>
              </w:rPr>
              <w:t xml:space="preserve">• 2. Weekly job digest email for contractors — use existing email service + notification cron</w:t>
            </w:r>
          </w:p>
        </w:tc>
      </w:tr>
      <w:tr>
        <w:tc>
          <w:tcPr>
            <w:tcBorders>
              <w:top w:val="none" w:color="FFFFFF" w:sz="0"/>
              <w:left w:val="none" w:color="FFFFFF" w:sz="0"/>
              <w:bottom w:val="none" w:color="FFFFFF" w:sz="0"/>
              <w:right w:val="none" w:color="FFFFFF" w:sz="0"/>
            </w:tcBorders>
            <w:shd w:fill="E8F5E9" w:val="clear"/>
            <w:tcMar>
              <w:top w:type="dxa" w:w="40"/>
              <w:left w:type="dxa" w:w="280"/>
              <w:bottom w:type="dxa" w:w="40"/>
              <w:right w:type="dxa" w:w="160"/>
            </w:tcMar>
          </w:tcPr>
          <w:p>
            <w:r>
              <w:rPr>
                <w:rFonts w:ascii="Arial" w:cs="Arial" w:eastAsia="Arial" w:hAnsi="Arial"/>
                <w:color w:val="424242"/>
                <w:sz w:val="21"/>
                <w:szCs w:val="21"/>
              </w:rPr>
              <w:t xml:space="preserve">• 3. Low-activity nudge for contractors — extend retention-cleanup cron with 14-day inactivity trigger</w:t>
            </w:r>
          </w:p>
        </w:tc>
      </w:tr>
      <w:tr>
        <w:tc>
          <w:tcPr>
            <w:tcBorders>
              <w:top w:val="none" w:color="FFFFFF" w:sz="0"/>
              <w:left w:val="none" w:color="FFFFFF" w:sz="0"/>
              <w:bottom w:val="none" w:color="FFFFFF" w:sz="0"/>
              <w:right w:val="none" w:color="FFFFFF" w:sz="0"/>
            </w:tcBorders>
            <w:shd w:fill="E8F5E9" w:val="clear"/>
            <w:tcMar>
              <w:top w:type="dxa" w:w="40"/>
              <w:left w:type="dxa" w:w="280"/>
              <w:bottom w:type="dxa" w:w="40"/>
              <w:right w:type="dxa" w:w="160"/>
            </w:tcMar>
          </w:tcPr>
          <w:p>
            <w:r>
              <w:rPr>
                <w:rFonts w:ascii="Arial" w:cs="Arial" w:eastAsia="Arial" w:hAnsi="Arial"/>
                <w:color w:val="424242"/>
                <w:sz w:val="21"/>
                <w:szCs w:val="21"/>
              </w:rPr>
              <w:t xml:space="preserve">• 4. Post-job NPS survey — add to the existing review flow (1 extra API call + UI component)</w:t>
            </w:r>
          </w:p>
        </w:tc>
      </w:tr>
      <w:tr>
        <w:tc>
          <w:tcPr>
            <w:tcBorders>
              <w:top w:val="none" w:color="FFFFFF" w:sz="0"/>
              <w:left w:val="none" w:color="FFFFFF" w:sz="0"/>
              <w:bottom w:val="none" w:color="FFFFFF" w:sz="0"/>
              <w:right w:val="none" w:color="FFFFFF" w:sz="0"/>
            </w:tcBorders>
            <w:shd w:fill="E8F5E9" w:val="clear"/>
            <w:tcMar>
              <w:top w:type="dxa" w:w="40"/>
              <w:left w:type="dxa" w:w="280"/>
              <w:bottom w:type="dxa" w:w="40"/>
              <w:right w:type="dxa" w:w="160"/>
            </w:tcMar>
          </w:tcPr>
          <w:p>
            <w:r>
              <w:rPr>
                <w:rFonts w:ascii="Arial" w:cs="Arial" w:eastAsia="Arial" w:hAnsi="Arial"/>
                <w:color w:val="424242"/>
                <w:sz w:val="21"/>
                <w:szCs w:val="21"/>
              </w:rPr>
              <w:t xml:space="preserve">• 5. Stripe Connect onboarding guide — in-app step-by-step wizard for payment-setup-reminders flow</w:t>
            </w:r>
          </w:p>
        </w:tc>
      </w:tr>
      <w:tr>
        <w:tc>
          <w:tcPr>
            <w:tcBorders>
              <w:top w:val="none" w:color="FFFFFF" w:sz="0"/>
              <w:left w:val="none" w:color="FFFFFF" w:sz="0"/>
              <w:bottom w:val="none" w:color="FFFFFF" w:sz="0"/>
              <w:right w:val="none" w:color="FFFFFF" w:sz="0"/>
            </w:tcBorders>
            <w:shd w:fill="E8F5E9" w:val="clear"/>
            <w:tcMar>
              <w:top w:type="dxa" w:w="40"/>
              <w:left w:type="dxa" w:w="280"/>
              <w:bottom w:type="dxa" w:w="40"/>
              <w:right w:type="dxa" w:w="160"/>
            </w:tcMar>
          </w:tcPr>
          <w:p>
            <w:r>
              <w:rPr>
                <w:rFonts w:ascii="Arial" w:cs="Arial" w:eastAsia="Arial" w:hAnsi="Arial"/>
                <w:color w:val="424242"/>
                <w:sz w:val="21"/>
                <w:szCs w:val="21"/>
              </w:rPr>
              <w:t xml:space="preserve">• 6. Contractor anniversary email — extend TrialNotifications service pattern</w:t>
            </w:r>
          </w:p>
        </w:tc>
      </w:tr>
      <w:tr>
        <w:tc>
          <w:tcPr>
            <w:tcBorders>
              <w:top w:val="none" w:color="FFFFFF" w:sz="0"/>
              <w:left w:val="none" w:color="FFFFFF" w:sz="0"/>
              <w:bottom w:val="none" w:color="FFFFFF" w:sz="0"/>
              <w:right w:val="none" w:color="FFFFFF" w:sz="0"/>
            </w:tcBorders>
            <w:shd w:fill="E8F5E9" w:val="clear"/>
            <w:tcMar>
              <w:top w:type="dxa" w:w="40"/>
              <w:left w:type="dxa" w:w="280"/>
              <w:bottom w:type="dxa" w:w="40"/>
              <w:right w:type="dxa" w:w="160"/>
            </w:tcMar>
          </w:tcPr>
          <w:p>
            <w:r>
              <w:rPr>
                <w:rFonts w:ascii="Arial" w:cs="Arial" w:eastAsia="Arial" w:hAnsi="Arial"/>
                <w:color w:val="424242"/>
                <w:sz w:val="21"/>
                <w:szCs w:val="21"/>
              </w:rPr>
              <w:t xml:space="preserve">• 7. Review milestone push notification — extend existing review notification logic</w:t>
            </w:r>
          </w:p>
        </w:tc>
      </w:tr>
      <w:tr>
        <w:tc>
          <w:tcPr>
            <w:tcBorders>
              <w:top w:val="none" w:color="FFFFFF" w:sz="0"/>
              <w:left w:val="none" w:color="FFFFFF" w:sz="0"/>
              <w:bottom w:val="none" w:color="FFFFFF" w:sz="0"/>
              <w:right w:val="none" w:color="FFFFFF" w:sz="0"/>
            </w:tcBorders>
            <w:shd w:fill="E8F5E9" w:val="clear"/>
            <w:tcMar>
              <w:top w:type="dxa" w:w="40"/>
              <w:left w:type="dxa" w:w="280"/>
              <w:bottom w:type="dxa" w:w="40"/>
              <w:right w:type="dxa" w:w="160"/>
            </w:tcMar>
          </w:tcPr>
          <w:p>
            <w:r>
              <w:rPr>
                <w:rFonts w:ascii="Arial" w:cs="Arial" w:eastAsia="Arial" w:hAnsi="Arial"/>
                <w:color w:val="424242"/>
                <w:sz w:val="21"/>
                <w:szCs w:val="21"/>
              </w:rPr>
              <w:t xml:space="preserve">• 8. Monthly homeowner property digest — new email template in EmailTemplatesService</w:t>
            </w:r>
          </w:p>
        </w:tc>
      </w:tr>
    </w:tbl>
    <w:p>
      <w:pPr>
        <w:spacing w:before="2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5.2  Q2 Structural Programmes (Weeks 13–24)</w:t>
      </w:r>
    </w:p>
    <w:p>
      <w:pPr>
        <w:spacing w:before="60" w:after="120"/>
      </w:pPr>
      <w:r>
        <w:rPr>
          <w:rFonts w:ascii="Arial" w:cs="Arial" w:eastAsia="Arial" w:hAnsi="Arial"/>
          <w:color w:val="424242"/>
          <w:sz w:val="22"/>
          <w:szCs w:val="22"/>
        </w:rPr>
        <w:t xml:space="preserve">These require new features but build on proven patterns already in the codebase.</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880"/>
      </w:tblGrid>
      <w:tr>
        <w:trPr>
          <w:tblHeader/>
        </w:trPr>
        <w:tc>
          <w:tcPr>
            <w:tcW w:type="dxa" w:w="320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Initiative</w:t>
            </w:r>
          </w:p>
        </w:tc>
        <w:tc>
          <w:tcPr>
            <w:tcW w:type="dxa" w:w="400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c>
          <w:tcPr>
            <w:tcW w:type="dxa" w:w="288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Effort</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Referral Programme</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Unique referral links, credit attribution, referrer reward on first job completion</w:t>
            </w:r>
          </w:p>
        </w:tc>
        <w:tc>
          <w:tcPr>
            <w:tcW w:type="dxa" w:w="2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Medium</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Contractor Badge System</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Bronze/Silver/Gold/Elite tiers based on jobs, rating, and tenure — shown on profile</w:t>
            </w:r>
          </w:p>
        </w:tc>
        <w:tc>
          <w:tcPr>
            <w:tcW w:type="dxa" w:w="2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Medium</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Homeowner Loyalty Tiers</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Silver/Gold/Platinum tiers with fee discounts and priority contractor access</w:t>
            </w:r>
          </w:p>
        </w:tc>
        <w:tc>
          <w:tcPr>
            <w:tcW w:type="dxa" w:w="2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Medium</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Improved Onboarding Flow</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Step-by-step first-use guide for both user types with completion tracking</w:t>
            </w:r>
          </w:p>
        </w:tc>
        <w:tc>
          <w:tcPr>
            <w:tcW w:type="dxa" w:w="2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Medium</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Win-Back Email Campaign</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Detect 30-day dormant users; personalised re-engagement sequence (3 emails)</w:t>
            </w:r>
          </w:p>
        </w:tc>
        <w:tc>
          <w:tcPr>
            <w:tcW w:type="dxa" w:w="2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Low</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Preventive Maintenance Calendar</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Post-job follow-up scheduling based on category and homeowner profile</w:t>
            </w:r>
          </w:p>
        </w:tc>
        <w:tc>
          <w:tcPr>
            <w:tcW w:type="dxa" w:w="2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High</w:t>
            </w:r>
          </w:p>
        </w:tc>
      </w:tr>
    </w:tbl>
    <w:p>
      <w:pPr>
        <w:spacing w:before="2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5.3  Q3 Intelligence Layer (Weeks 25–36)</w:t>
      </w:r>
    </w:p>
    <w:p>
      <w:pPr>
        <w:spacing w:before="60" w:after="120"/>
      </w:pPr>
      <w:r>
        <w:rPr>
          <w:rFonts w:ascii="Arial" w:cs="Arial" w:eastAsia="Arial" w:hAnsi="Arial"/>
          <w:color w:val="424242"/>
          <w:sz w:val="22"/>
          <w:szCs w:val="22"/>
        </w:rPr>
        <w:t xml:space="preserve">These initiatives add data intelligence and experimentation capability that compound the impact of all prior investments.</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880"/>
      </w:tblGrid>
      <w:tr>
        <w:trPr>
          <w:tblHeader/>
        </w:trPr>
        <w:tc>
          <w:tcPr>
            <w:tcW w:type="dxa" w:w="320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Initiative</w:t>
            </w:r>
          </w:p>
        </w:tc>
        <w:tc>
          <w:tcPr>
            <w:tcW w:type="dxa" w:w="400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c>
          <w:tcPr>
            <w:tcW w:type="dxa" w:w="288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Effort</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Churn Prediction Model</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ML model scoring churn probability per user; triggers proactive intervention at 70%+ risk</w:t>
            </w:r>
          </w:p>
        </w:tc>
        <w:tc>
          <w:tcPr>
            <w:tcW w:type="dxa" w:w="2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High</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Cohort Retention Analytics</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Week-1/4/12 retention curves by cohort, user type, geography, and plan tier</w:t>
            </w:r>
          </w:p>
        </w:tc>
        <w:tc>
          <w:tcPr>
            <w:tcW w:type="dxa" w:w="2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Medium</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A/B Testing Framework</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Feature flag infrastructure extended for statistical experimentation on retention tactics</w:t>
            </w:r>
          </w:p>
        </w:tc>
        <w:tc>
          <w:tcPr>
            <w:tcW w:type="dxa" w:w="2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Medium</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SMS Notifications</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Add Twilio/SMS provider for time-sensitive alerts (no-show, urgent job, payment)</w:t>
            </w:r>
          </w:p>
        </w:tc>
        <w:tc>
          <w:tcPr>
            <w:tcW w:type="dxa" w:w="2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Low</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Feature Adoption Tracking</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Event tracking (PostHog/Amplitude) for in-app feature usage and drop-off analysis</w:t>
            </w:r>
          </w:p>
        </w:tc>
        <w:tc>
          <w:tcPr>
            <w:tcW w:type="dxa" w:w="2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Medium</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Personalised Push Campaigns</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Behavioural trigger-based push campaigns beyond job lifecycle events</w:t>
            </w:r>
          </w:p>
        </w:tc>
        <w:tc>
          <w:tcPr>
            <w:tcW w:type="dxa" w:w="2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Medium</w:t>
            </w:r>
          </w:p>
        </w:tc>
      </w:tr>
    </w:tbl>
    <w:p>
      <w:pPr>
        <w:pStyle w:val="Heading1"/>
        <w:pageBreakBefore/>
        <w:shd w:fill="1B4F8A" w:val="clear"/>
        <w:spacing w:before="0" w:after="200"/>
        <w:ind w:left="120" w:right="120"/>
      </w:pPr>
      <w:r>
        <w:rPr>
          <w:rFonts w:ascii="Arial" w:cs="Arial" w:eastAsia="Arial" w:hAnsi="Arial"/>
          <w:b/>
          <w:bCs/>
          <w:color w:val="FFFFFF"/>
          <w:sz w:val="36"/>
          <w:szCs w:val="36"/>
        </w:rPr>
        <w:t xml:space="preserve">6. KPIs &amp; Success Metrics</w:t>
      </w:r>
    </w:p>
    <w:p>
      <w:pPr>
        <w:spacing w:before="60" w:after="120"/>
      </w:pPr>
      <w:r>
        <w:rPr>
          <w:rFonts w:ascii="Arial" w:cs="Arial" w:eastAsia="Arial" w:hAnsi="Arial"/>
          <w:color w:val="424242"/>
          <w:sz w:val="22"/>
          <w:szCs w:val="22"/>
        </w:rPr>
        <w:t xml:space="preserve">The following metrics should be established as baselines before any retention initiatives are launched, then tracked monthly.</w:t>
      </w:r>
    </w:p>
    <w:p>
      <w:pPr>
        <w:spacing w:before="1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6.1  North Star Metrics</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040"/>
        <w:gridCol w:w="2040"/>
      </w:tblGrid>
      <w:tr>
        <w:trPr>
          <w:tblHeader/>
        </w:trPr>
        <w:tc>
          <w:tcPr>
            <w:tcW w:type="dxa" w:w="360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Metric</w:t>
            </w:r>
          </w:p>
        </w:tc>
        <w:tc>
          <w:tcPr>
            <w:tcW w:type="dxa" w:w="240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Segment</w:t>
            </w:r>
          </w:p>
        </w:tc>
        <w:tc>
          <w:tcPr>
            <w:tcW w:type="dxa" w:w="204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Current (Baseline)</w:t>
            </w:r>
          </w:p>
        </w:tc>
        <w:tc>
          <w:tcPr>
            <w:tcW w:type="dxa" w:w="204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Q3 Target</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Month-1 Retention Rate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Homeowners</w:t>
            </w:r>
          </w:p>
        </w:tc>
        <w:tc>
          <w:tcPr>
            <w:tcW w:type="dxa" w:w="2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Measure</w:t>
            </w:r>
          </w:p>
        </w:tc>
        <w:tc>
          <w:tcPr>
            <w:tcW w:type="dxa" w:w="2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60%+</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Month-3 Retention Rate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Homeowners</w:t>
            </w:r>
          </w:p>
        </w:tc>
        <w:tc>
          <w:tcPr>
            <w:tcW w:type="dxa" w:w="2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Measure</w:t>
            </w:r>
          </w:p>
        </w:tc>
        <w:tc>
          <w:tcPr>
            <w:tcW w:type="dxa" w:w="2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40%+</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Month-1 Retention Rate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Contractors</w:t>
            </w:r>
          </w:p>
        </w:tc>
        <w:tc>
          <w:tcPr>
            <w:tcW w:type="dxa" w:w="2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Measure</w:t>
            </w:r>
          </w:p>
        </w:tc>
        <w:tc>
          <w:tcPr>
            <w:tcW w:type="dxa" w:w="2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70%+</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Month-3 Retention Rate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Contractors</w:t>
            </w:r>
          </w:p>
        </w:tc>
        <w:tc>
          <w:tcPr>
            <w:tcW w:type="dxa" w:w="2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Measure</w:t>
            </w:r>
          </w:p>
        </w:tc>
        <w:tc>
          <w:tcPr>
            <w:tcW w:type="dxa" w:w="2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55%+</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Jobs per Active Homeowner / Month</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Homeowners</w:t>
            </w:r>
          </w:p>
        </w:tc>
        <w:tc>
          <w:tcPr>
            <w:tcW w:type="dxa" w:w="2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Measure</w:t>
            </w:r>
          </w:p>
        </w:tc>
        <w:tc>
          <w:tcPr>
            <w:tcW w:type="dxa" w:w="2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+20%</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Bids per Active Contractor / Week</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Contractors</w:t>
            </w:r>
          </w:p>
        </w:tc>
        <w:tc>
          <w:tcPr>
            <w:tcW w:type="dxa" w:w="2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Measure</w:t>
            </w:r>
          </w:p>
        </w:tc>
        <w:tc>
          <w:tcPr>
            <w:tcW w:type="dxa" w:w="2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+25%</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Contractor Re-hire Rate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Both</w:t>
            </w:r>
          </w:p>
        </w:tc>
        <w:tc>
          <w:tcPr>
            <w:tcW w:type="dxa" w:w="2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Measure</w:t>
            </w:r>
          </w:p>
        </w:tc>
        <w:tc>
          <w:tcPr>
            <w:tcW w:type="dxa" w:w="2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35%+</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Average Review Rating</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Both</w:t>
            </w:r>
          </w:p>
        </w:tc>
        <w:tc>
          <w:tcPr>
            <w:tcW w:type="dxa" w:w="2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Measure</w:t>
            </w:r>
          </w:p>
        </w:tc>
        <w:tc>
          <w:tcPr>
            <w:tcW w:type="dxa" w:w="2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4.5+</w:t>
            </w:r>
          </w:p>
        </w:tc>
      </w:tr>
    </w:tbl>
    <w:p>
      <w:pPr>
        <w:spacing w:before="2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6.2  Programme-Level Metrics</w:t>
      </w:r>
    </w:p>
    <w:p>
      <w:pPr>
        <w:spacing w:before="80" w:after="0"/>
      </w:pPr>
      <w:r>
        <w:t xml:space="preserve"/>
      </w:r>
    </w:p>
    <w:p>
      <w:pPr>
        <w:pStyle w:val="ListParagraph"/>
        <w:numPr>
          <w:ilvl w:val="0"/>
          <w:numId w:val="2"/>
        </w:numPr>
        <w:spacing w:before="40" w:after="60"/>
      </w:pPr>
      <w:r>
        <w:rPr>
          <w:rFonts w:ascii="Arial" w:cs="Arial" w:eastAsia="Arial" w:hAnsi="Arial"/>
          <w:b w:val="false"/>
          <w:bCs w:val="false"/>
          <w:color w:val="424242"/>
          <w:sz w:val="22"/>
          <w:szCs w:val="22"/>
        </w:rPr>
        <w:t xml:space="preserve">Referral programme: referral share rate, conversion rate, and LTV of referred vs organic users</w:t>
      </w:r>
    </w:p>
    <w:p>
      <w:pPr>
        <w:pStyle w:val="ListParagraph"/>
        <w:numPr>
          <w:ilvl w:val="0"/>
          <w:numId w:val="2"/>
        </w:numPr>
        <w:spacing w:before="40" w:after="60"/>
      </w:pPr>
      <w:r>
        <w:rPr>
          <w:rFonts w:ascii="Arial" w:cs="Arial" w:eastAsia="Arial" w:hAnsi="Arial"/>
          <w:b w:val="false"/>
          <w:bCs w:val="false"/>
          <w:color w:val="424242"/>
          <w:sz w:val="22"/>
          <w:szCs w:val="22"/>
        </w:rPr>
        <w:t xml:space="preserve">Loyalty tiers: tier distribution, tier upgrade rate, and retention difference between tiers</w:t>
      </w:r>
    </w:p>
    <w:p>
      <w:pPr>
        <w:pStyle w:val="ListParagraph"/>
        <w:numPr>
          <w:ilvl w:val="0"/>
          <w:numId w:val="2"/>
        </w:numPr>
        <w:spacing w:before="40" w:after="60"/>
      </w:pPr>
      <w:r>
        <w:rPr>
          <w:rFonts w:ascii="Arial" w:cs="Arial" w:eastAsia="Arial" w:hAnsi="Arial"/>
          <w:b w:val="false"/>
          <w:bCs w:val="false"/>
          <w:color w:val="424242"/>
          <w:sz w:val="22"/>
          <w:szCs w:val="22"/>
        </w:rPr>
        <w:t xml:space="preserve">Onboarding: Day-1 completion rate, and correlation between onboarding completion and 30-day retention</w:t>
      </w:r>
    </w:p>
    <w:p>
      <w:pPr>
        <w:pStyle w:val="ListParagraph"/>
        <w:numPr>
          <w:ilvl w:val="0"/>
          <w:numId w:val="2"/>
        </w:numPr>
        <w:spacing w:before="40" w:after="60"/>
      </w:pPr>
      <w:r>
        <w:rPr>
          <w:rFonts w:ascii="Arial" w:cs="Arial" w:eastAsia="Arial" w:hAnsi="Arial"/>
          <w:b w:val="false"/>
          <w:bCs w:val="false"/>
          <w:color w:val="424242"/>
          <w:sz w:val="22"/>
          <w:szCs w:val="22"/>
        </w:rPr>
        <w:t xml:space="preserve">Win-back campaigns: email open rate, click rate, reactivation rate (industry benchmark: 8–12%)</w:t>
      </w:r>
    </w:p>
    <w:p>
      <w:pPr>
        <w:pStyle w:val="ListParagraph"/>
        <w:numPr>
          <w:ilvl w:val="0"/>
          <w:numId w:val="2"/>
        </w:numPr>
        <w:spacing w:before="40" w:after="60"/>
      </w:pPr>
      <w:r>
        <w:rPr>
          <w:rFonts w:ascii="Arial" w:cs="Arial" w:eastAsia="Arial" w:hAnsi="Arial"/>
          <w:b w:val="false"/>
          <w:bCs w:val="false"/>
          <w:color w:val="424242"/>
          <w:sz w:val="22"/>
          <w:szCs w:val="22"/>
        </w:rPr>
        <w:t xml:space="preserve">Churn prediction: model accuracy (target AUC &gt; 0.80), intervention conversion rate</w:t>
      </w:r>
    </w:p>
    <w:p>
      <w:pPr>
        <w:pStyle w:val="ListParagraph"/>
        <w:numPr>
          <w:ilvl w:val="0"/>
          <w:numId w:val="2"/>
        </w:numPr>
        <w:spacing w:before="40" w:after="60"/>
      </w:pPr>
      <w:r>
        <w:rPr>
          <w:rFonts w:ascii="Arial" w:cs="Arial" w:eastAsia="Arial" w:hAnsi="Arial"/>
          <w:b w:val="false"/>
          <w:bCs w:val="false"/>
          <w:color w:val="424242"/>
          <w:sz w:val="22"/>
          <w:szCs w:val="22"/>
        </w:rPr>
        <w:t xml:space="preserve">Notification engagement: open rate by type (target 30%+), click-through rate, opt-out rate (keep below 2%)</w:t>
      </w:r>
    </w:p>
    <w:p>
      <w:pPr>
        <w:spacing w:before="2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6.3  Reporting Cadence</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680"/>
      </w:tblGrid>
      <w:tr>
        <w:trPr>
          <w:tblHeader/>
        </w:trPr>
        <w:tc>
          <w:tcPr>
            <w:tcW w:type="dxa" w:w="240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Cadence</w:t>
            </w:r>
          </w:p>
        </w:tc>
        <w:tc>
          <w:tcPr>
            <w:tcW w:type="dxa" w:w="400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Report</w:t>
            </w:r>
          </w:p>
        </w:tc>
        <w:tc>
          <w:tcPr>
            <w:tcW w:type="dxa" w:w="3680"/>
            <w:tcBorders>
              <w:top w:val="single" w:color="BDBDBD" w:sz="1"/>
              <w:left w:val="single" w:color="BDBDBD" w:sz="1"/>
              <w:bottom w:val="single" w:color="BDBDBD" w:sz="1"/>
              <w:right w:val="single" w:color="BDBDBD" w:sz="1"/>
            </w:tcBorders>
            <w:shd w:fill="1B4F8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Audience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Weekly</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Notification engagement, active users, new jobs</w:t>
            </w:r>
          </w:p>
        </w:tc>
        <w:tc>
          <w:tcPr>
            <w:tcW w:type="dxa" w:w="3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Product &amp; Engineering</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Monthly</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Retention curves, cohort analysis, programme KPIs</w:t>
            </w:r>
          </w:p>
        </w:tc>
        <w:tc>
          <w:tcPr>
            <w:tcW w:type="dxa" w:w="3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Leadership</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Quarterly</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Full retention health review, roadmap adjustment</w:t>
            </w:r>
          </w:p>
        </w:tc>
        <w:tc>
          <w:tcPr>
            <w:tcW w:type="dxa" w:w="3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424242"/>
                <w:sz w:val="21"/>
                <w:szCs w:val="21"/>
              </w:rPr>
              <w:t xml:space="preserve">All stakeholders</w:t>
            </w:r>
          </w:p>
        </w:tc>
      </w:tr>
    </w:tbl>
    <w:p>
      <w:pPr>
        <w:pStyle w:val="Heading1"/>
        <w:pageBreakBefore/>
        <w:shd w:fill="1B4F8A" w:val="clear"/>
        <w:spacing w:before="0" w:after="200"/>
        <w:ind w:left="120" w:right="120"/>
      </w:pPr>
      <w:r>
        <w:rPr>
          <w:rFonts w:ascii="Arial" w:cs="Arial" w:eastAsia="Arial" w:hAnsi="Arial"/>
          <w:b/>
          <w:bCs/>
          <w:color w:val="FFFFFF"/>
          <w:sz w:val="36"/>
          <w:szCs w:val="36"/>
        </w:rPr>
        <w:t xml:space="preserve">7. Prioritisation Matrix</w:t>
      </w:r>
    </w:p>
    <w:p>
      <w:pPr>
        <w:spacing w:before="60" w:after="120"/>
      </w:pPr>
      <w:r>
        <w:rPr>
          <w:rFonts w:ascii="Arial" w:cs="Arial" w:eastAsia="Arial" w:hAnsi="Arial"/>
          <w:color w:val="424242"/>
          <w:sz w:val="22"/>
          <w:szCs w:val="22"/>
        </w:rPr>
        <w:t xml:space="preserve">The matrix below plots each recommended initiative on a 2×2 grid of Business Impact vs Implementation Effort, to guide sprint planning.</w:t>
      </w:r>
    </w:p>
    <w:p>
      <w:pPr>
        <w:spacing w:before="1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Do First — High Impact, Low Effort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none" w:color="FFFFFF" w:sz="0"/>
              <w:left w:val="none" w:color="FFFFFF" w:sz="0"/>
              <w:bottom w:val="none" w:color="FFFFFF" w:sz="0"/>
              <w:right w:val="none" w:color="FFFFFF" w:sz="0"/>
            </w:tcBorders>
            <w:shd w:fill="E8F5E9" w:val="clear"/>
            <w:tcMar>
              <w:top w:type="dxa" w:w="100"/>
              <w:left w:type="dxa" w:w="160"/>
              <w:bottom w:type="dxa" w:w="60"/>
              <w:right w:type="dxa" w:w="160"/>
            </w:tcMar>
          </w:tcPr>
          <w:p>
            <w:r>
              <w:rPr>
                <w:rFonts w:ascii="Arial" w:cs="Arial" w:eastAsia="Arial" w:hAnsi="Arial"/>
                <w:b/>
                <w:bCs/>
                <w:color w:val="2E7D32"/>
                <w:sz w:val="22"/>
                <w:szCs w:val="22"/>
              </w:rPr>
              <w:t xml:space="preserve">Quick Wins</w:t>
            </w:r>
          </w:p>
        </w:tc>
      </w:tr>
      <w:tr>
        <w:tc>
          <w:tcPr>
            <w:tcBorders>
              <w:top w:val="none" w:color="FFFFFF" w:sz="0"/>
              <w:left w:val="none" w:color="FFFFFF" w:sz="0"/>
              <w:bottom w:val="none" w:color="FFFFFF" w:sz="0"/>
              <w:right w:val="none" w:color="FFFFFF" w:sz="0"/>
            </w:tcBorders>
            <w:shd w:fill="E8F5E9" w:val="clear"/>
            <w:tcMar>
              <w:top w:type="dxa" w:w="40"/>
              <w:left w:type="dxa" w:w="280"/>
              <w:bottom w:type="dxa" w:w="40"/>
              <w:right w:type="dxa" w:w="160"/>
            </w:tcMar>
          </w:tcPr>
          <w:p>
            <w:r>
              <w:rPr>
                <w:rFonts w:ascii="Arial" w:cs="Arial" w:eastAsia="Arial" w:hAnsi="Arial"/>
                <w:color w:val="424242"/>
                <w:sz w:val="21"/>
                <w:szCs w:val="21"/>
              </w:rPr>
              <w:t xml:space="preserve">• Surface RecommendationsService in homeowner dashboard UI</w:t>
            </w:r>
          </w:p>
        </w:tc>
      </w:tr>
      <w:tr>
        <w:tc>
          <w:tcPr>
            <w:tcBorders>
              <w:top w:val="none" w:color="FFFFFF" w:sz="0"/>
              <w:left w:val="none" w:color="FFFFFF" w:sz="0"/>
              <w:bottom w:val="none" w:color="FFFFFF" w:sz="0"/>
              <w:right w:val="none" w:color="FFFFFF" w:sz="0"/>
            </w:tcBorders>
            <w:shd w:fill="E8F5E9" w:val="clear"/>
            <w:tcMar>
              <w:top w:type="dxa" w:w="40"/>
              <w:left w:type="dxa" w:w="280"/>
              <w:bottom w:type="dxa" w:w="40"/>
              <w:right w:type="dxa" w:w="160"/>
            </w:tcMar>
          </w:tcPr>
          <w:p>
            <w:r>
              <w:rPr>
                <w:rFonts w:ascii="Arial" w:cs="Arial" w:eastAsia="Arial" w:hAnsi="Arial"/>
                <w:color w:val="424242"/>
                <w:sz w:val="21"/>
                <w:szCs w:val="21"/>
              </w:rPr>
              <w:t xml:space="preserve">• Weekly job digest email for contractors (extend existing cron + email service)</w:t>
            </w:r>
          </w:p>
        </w:tc>
      </w:tr>
      <w:tr>
        <w:tc>
          <w:tcPr>
            <w:tcBorders>
              <w:top w:val="none" w:color="FFFFFF" w:sz="0"/>
              <w:left w:val="none" w:color="FFFFFF" w:sz="0"/>
              <w:bottom w:val="none" w:color="FFFFFF" w:sz="0"/>
              <w:right w:val="none" w:color="FFFFFF" w:sz="0"/>
            </w:tcBorders>
            <w:shd w:fill="E8F5E9" w:val="clear"/>
            <w:tcMar>
              <w:top w:type="dxa" w:w="40"/>
              <w:left w:type="dxa" w:w="280"/>
              <w:bottom w:type="dxa" w:w="40"/>
              <w:right w:type="dxa" w:w="160"/>
            </w:tcMar>
          </w:tcPr>
          <w:p>
            <w:r>
              <w:rPr>
                <w:rFonts w:ascii="Arial" w:cs="Arial" w:eastAsia="Arial" w:hAnsi="Arial"/>
                <w:color w:val="424242"/>
                <w:sz w:val="21"/>
                <w:szCs w:val="21"/>
              </w:rPr>
              <w:t xml:space="preserve">• Low-activity nudge for contractors (14-day inactivity rule in retention cron)</w:t>
            </w:r>
          </w:p>
        </w:tc>
      </w:tr>
      <w:tr>
        <w:tc>
          <w:tcPr>
            <w:tcBorders>
              <w:top w:val="none" w:color="FFFFFF" w:sz="0"/>
              <w:left w:val="none" w:color="FFFFFF" w:sz="0"/>
              <w:bottom w:val="none" w:color="FFFFFF" w:sz="0"/>
              <w:right w:val="none" w:color="FFFFFF" w:sz="0"/>
            </w:tcBorders>
            <w:shd w:fill="E8F5E9" w:val="clear"/>
            <w:tcMar>
              <w:top w:type="dxa" w:w="40"/>
              <w:left w:type="dxa" w:w="280"/>
              <w:bottom w:type="dxa" w:w="40"/>
              <w:right w:type="dxa" w:w="160"/>
            </w:tcMar>
          </w:tcPr>
          <w:p>
            <w:r>
              <w:rPr>
                <w:rFonts w:ascii="Arial" w:cs="Arial" w:eastAsia="Arial" w:hAnsi="Arial"/>
                <w:color w:val="424242"/>
                <w:sz w:val="21"/>
                <w:szCs w:val="21"/>
              </w:rPr>
              <w:t xml:space="preserve">• Post-job NPS survey (extend review flow)</w:t>
            </w:r>
          </w:p>
        </w:tc>
      </w:tr>
      <w:tr>
        <w:tc>
          <w:tcPr>
            <w:tcBorders>
              <w:top w:val="none" w:color="FFFFFF" w:sz="0"/>
              <w:left w:val="none" w:color="FFFFFF" w:sz="0"/>
              <w:bottom w:val="none" w:color="FFFFFF" w:sz="0"/>
              <w:right w:val="none" w:color="FFFFFF" w:sz="0"/>
            </w:tcBorders>
            <w:shd w:fill="E8F5E9" w:val="clear"/>
            <w:tcMar>
              <w:top w:type="dxa" w:w="40"/>
              <w:left w:type="dxa" w:w="280"/>
              <w:bottom w:type="dxa" w:w="40"/>
              <w:right w:type="dxa" w:w="160"/>
            </w:tcMar>
          </w:tcPr>
          <w:p>
            <w:r>
              <w:rPr>
                <w:rFonts w:ascii="Arial" w:cs="Arial" w:eastAsia="Arial" w:hAnsi="Arial"/>
                <w:color w:val="424242"/>
                <w:sz w:val="21"/>
                <w:szCs w:val="21"/>
              </w:rPr>
              <w:t xml:space="preserve">• Review milestone push notifications</w:t>
            </w:r>
          </w:p>
        </w:tc>
      </w:tr>
      <w:tr>
        <w:tc>
          <w:tcPr>
            <w:tcBorders>
              <w:top w:val="none" w:color="FFFFFF" w:sz="0"/>
              <w:left w:val="none" w:color="FFFFFF" w:sz="0"/>
              <w:bottom w:val="none" w:color="FFFFFF" w:sz="0"/>
              <w:right w:val="none" w:color="FFFFFF" w:sz="0"/>
            </w:tcBorders>
            <w:shd w:fill="E8F5E9" w:val="clear"/>
            <w:tcMar>
              <w:top w:type="dxa" w:w="40"/>
              <w:left w:type="dxa" w:w="280"/>
              <w:bottom w:type="dxa" w:w="40"/>
              <w:right w:type="dxa" w:w="160"/>
            </w:tcMar>
          </w:tcPr>
          <w:p>
            <w:r>
              <w:rPr>
                <w:rFonts w:ascii="Arial" w:cs="Arial" w:eastAsia="Arial" w:hAnsi="Arial"/>
                <w:color w:val="424242"/>
                <w:sz w:val="21"/>
                <w:szCs w:val="21"/>
              </w:rPr>
              <w:t xml:space="preserve">• Contractor anniversary recognition email</w:t>
            </w:r>
          </w:p>
        </w:tc>
      </w:tr>
      <w:tr>
        <w:tc>
          <w:tcPr>
            <w:tcBorders>
              <w:top w:val="none" w:color="FFFFFF" w:sz="0"/>
              <w:left w:val="none" w:color="FFFFFF" w:sz="0"/>
              <w:bottom w:val="none" w:color="FFFFFF" w:sz="0"/>
              <w:right w:val="none" w:color="FFFFFF" w:sz="0"/>
            </w:tcBorders>
            <w:shd w:fill="E8F5E9" w:val="clear"/>
            <w:tcMar>
              <w:top w:type="dxa" w:w="40"/>
              <w:left w:type="dxa" w:w="280"/>
              <w:bottom w:type="dxa" w:w="40"/>
              <w:right w:type="dxa" w:w="160"/>
            </w:tcMar>
          </w:tcPr>
          <w:p>
            <w:r>
              <w:rPr>
                <w:rFonts w:ascii="Arial" w:cs="Arial" w:eastAsia="Arial" w:hAnsi="Arial"/>
                <w:color w:val="424242"/>
                <w:sz w:val="21"/>
                <w:szCs w:val="21"/>
              </w:rPr>
              <w:t xml:space="preserve">• Win-back email campaign for 30-day dormant users</w:t>
            </w:r>
          </w:p>
        </w:tc>
      </w:tr>
    </w:tbl>
    <w:p>
      <w:pPr>
        <w:spacing w:before="2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Plan Next — High Impact, Higher Effort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none" w:color="FFFFFF" w:sz="0"/>
              <w:left w:val="none" w:color="FFFFFF" w:sz="0"/>
              <w:bottom w:val="none" w:color="FFFFFF" w:sz="0"/>
              <w:right w:val="none" w:color="FFFFFF" w:sz="0"/>
            </w:tcBorders>
            <w:shd w:fill="D0E4F5" w:val="clear"/>
            <w:tcMar>
              <w:top w:type="dxa" w:w="100"/>
              <w:left w:type="dxa" w:w="160"/>
              <w:bottom w:type="dxa" w:w="60"/>
              <w:right w:type="dxa" w:w="160"/>
            </w:tcMar>
          </w:tcPr>
          <w:p>
            <w:r>
              <w:rPr>
                <w:rFonts w:ascii="Arial" w:cs="Arial" w:eastAsia="Arial" w:hAnsi="Arial"/>
                <w:b/>
                <w:bCs/>
                <w:color w:val="1B4F8A"/>
                <w:sz w:val="22"/>
                <w:szCs w:val="22"/>
              </w:rPr>
              <w:t xml:space="preserve">Strategic Investments</w:t>
            </w:r>
          </w:p>
        </w:tc>
      </w:tr>
      <w:tr>
        <w:tc>
          <w:tcPr>
            <w:tcBorders>
              <w:top w:val="none" w:color="FFFFFF" w:sz="0"/>
              <w:left w:val="none" w:color="FFFFFF" w:sz="0"/>
              <w:bottom w:val="none" w:color="FFFFFF" w:sz="0"/>
              <w:right w:val="none" w:color="FFFFFF" w:sz="0"/>
            </w:tcBorders>
            <w:shd w:fill="D0E4F5" w:val="clear"/>
            <w:tcMar>
              <w:top w:type="dxa" w:w="40"/>
              <w:left w:type="dxa" w:w="280"/>
              <w:bottom w:type="dxa" w:w="40"/>
              <w:right w:type="dxa" w:w="160"/>
            </w:tcMar>
          </w:tcPr>
          <w:p>
            <w:r>
              <w:rPr>
                <w:rFonts w:ascii="Arial" w:cs="Arial" w:eastAsia="Arial" w:hAnsi="Arial"/>
                <w:color w:val="424242"/>
                <w:sz w:val="21"/>
                <w:szCs w:val="21"/>
              </w:rPr>
              <w:t xml:space="preserve">• Referral programme (new tables, link generation, attribution, payout logic)</w:t>
            </w:r>
          </w:p>
        </w:tc>
      </w:tr>
      <w:tr>
        <w:tc>
          <w:tcPr>
            <w:tcBorders>
              <w:top w:val="none" w:color="FFFFFF" w:sz="0"/>
              <w:left w:val="none" w:color="FFFFFF" w:sz="0"/>
              <w:bottom w:val="none" w:color="FFFFFF" w:sz="0"/>
              <w:right w:val="none" w:color="FFFFFF" w:sz="0"/>
            </w:tcBorders>
            <w:shd w:fill="D0E4F5" w:val="clear"/>
            <w:tcMar>
              <w:top w:type="dxa" w:w="40"/>
              <w:left w:type="dxa" w:w="280"/>
              <w:bottom w:type="dxa" w:w="40"/>
              <w:right w:type="dxa" w:w="160"/>
            </w:tcMar>
          </w:tcPr>
          <w:p>
            <w:r>
              <w:rPr>
                <w:rFonts w:ascii="Arial" w:cs="Arial" w:eastAsia="Arial" w:hAnsi="Arial"/>
                <w:color w:val="424242"/>
                <w:sz w:val="21"/>
                <w:szCs w:val="21"/>
              </w:rPr>
              <w:t xml:space="preserve">• Contractor badge/tier system (scoring engine + profile display)</w:t>
            </w:r>
          </w:p>
        </w:tc>
      </w:tr>
      <w:tr>
        <w:tc>
          <w:tcPr>
            <w:tcBorders>
              <w:top w:val="none" w:color="FFFFFF" w:sz="0"/>
              <w:left w:val="none" w:color="FFFFFF" w:sz="0"/>
              <w:bottom w:val="none" w:color="FFFFFF" w:sz="0"/>
              <w:right w:val="none" w:color="FFFFFF" w:sz="0"/>
            </w:tcBorders>
            <w:shd w:fill="D0E4F5" w:val="clear"/>
            <w:tcMar>
              <w:top w:type="dxa" w:w="40"/>
              <w:left w:type="dxa" w:w="280"/>
              <w:bottom w:type="dxa" w:w="40"/>
              <w:right w:type="dxa" w:w="160"/>
            </w:tcMar>
          </w:tcPr>
          <w:p>
            <w:r>
              <w:rPr>
                <w:rFonts w:ascii="Arial" w:cs="Arial" w:eastAsia="Arial" w:hAnsi="Arial"/>
                <w:color w:val="424242"/>
                <w:sz w:val="21"/>
                <w:szCs w:val="21"/>
              </w:rPr>
              <w:t xml:space="preserve">• Homeowner loyalty tiers (tier logic + benefit fulfilment)</w:t>
            </w:r>
          </w:p>
        </w:tc>
      </w:tr>
      <w:tr>
        <w:tc>
          <w:tcPr>
            <w:tcBorders>
              <w:top w:val="none" w:color="FFFFFF" w:sz="0"/>
              <w:left w:val="none" w:color="FFFFFF" w:sz="0"/>
              <w:bottom w:val="none" w:color="FFFFFF" w:sz="0"/>
              <w:right w:val="none" w:color="FFFFFF" w:sz="0"/>
            </w:tcBorders>
            <w:shd w:fill="D0E4F5" w:val="clear"/>
            <w:tcMar>
              <w:top w:type="dxa" w:w="40"/>
              <w:left w:type="dxa" w:w="280"/>
              <w:bottom w:type="dxa" w:w="40"/>
              <w:right w:type="dxa" w:w="160"/>
            </w:tcMar>
          </w:tcPr>
          <w:p>
            <w:r>
              <w:rPr>
                <w:rFonts w:ascii="Arial" w:cs="Arial" w:eastAsia="Arial" w:hAnsi="Arial"/>
                <w:color w:val="424242"/>
                <w:sz w:val="21"/>
                <w:szCs w:val="21"/>
              </w:rPr>
              <w:t xml:space="preserve">• Churn prediction model (feature engineering + ML training pipeline)</w:t>
            </w:r>
          </w:p>
        </w:tc>
      </w:tr>
      <w:tr>
        <w:tc>
          <w:tcPr>
            <w:tcBorders>
              <w:top w:val="none" w:color="FFFFFF" w:sz="0"/>
              <w:left w:val="none" w:color="FFFFFF" w:sz="0"/>
              <w:bottom w:val="none" w:color="FFFFFF" w:sz="0"/>
              <w:right w:val="none" w:color="FFFFFF" w:sz="0"/>
            </w:tcBorders>
            <w:shd w:fill="D0E4F5" w:val="clear"/>
            <w:tcMar>
              <w:top w:type="dxa" w:w="40"/>
              <w:left w:type="dxa" w:w="280"/>
              <w:bottom w:type="dxa" w:w="40"/>
              <w:right w:type="dxa" w:w="160"/>
            </w:tcMar>
          </w:tcPr>
          <w:p>
            <w:r>
              <w:rPr>
                <w:rFonts w:ascii="Arial" w:cs="Arial" w:eastAsia="Arial" w:hAnsi="Arial"/>
                <w:color w:val="424242"/>
                <w:sz w:val="21"/>
                <w:szCs w:val="21"/>
              </w:rPr>
              <w:t xml:space="preserve">• Preventive maintenance calendar (new data model + scheduling UI)</w:t>
            </w:r>
          </w:p>
        </w:tc>
      </w:tr>
      <w:tr>
        <w:tc>
          <w:tcPr>
            <w:tcBorders>
              <w:top w:val="none" w:color="FFFFFF" w:sz="0"/>
              <w:left w:val="none" w:color="FFFFFF" w:sz="0"/>
              <w:bottom w:val="none" w:color="FFFFFF" w:sz="0"/>
              <w:right w:val="none" w:color="FFFFFF" w:sz="0"/>
            </w:tcBorders>
            <w:shd w:fill="D0E4F5" w:val="clear"/>
            <w:tcMar>
              <w:top w:type="dxa" w:w="40"/>
              <w:left w:type="dxa" w:w="280"/>
              <w:bottom w:type="dxa" w:w="40"/>
              <w:right w:type="dxa" w:w="160"/>
            </w:tcMar>
          </w:tcPr>
          <w:p>
            <w:r>
              <w:rPr>
                <w:rFonts w:ascii="Arial" w:cs="Arial" w:eastAsia="Arial" w:hAnsi="Arial"/>
                <w:color w:val="424242"/>
                <w:sz w:val="21"/>
                <w:szCs w:val="21"/>
              </w:rPr>
              <w:t xml:space="preserve">• Improved onboarding flow (multi-step wizard for both user types)</w:t>
            </w:r>
          </w:p>
        </w:tc>
      </w:tr>
    </w:tbl>
    <w:p>
      <w:pPr>
        <w:spacing w:before="2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Schedule — Lower Impact, Manageable Effort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none" w:color="FFFFFF" w:sz="0"/>
              <w:left w:val="none" w:color="FFFFFF" w:sz="0"/>
              <w:bottom w:val="none" w:color="FFFFFF" w:sz="0"/>
              <w:right w:val="none" w:color="FFFFFF" w:sz="0"/>
            </w:tcBorders>
            <w:shd w:fill="FFF3E0" w:val="clear"/>
            <w:tcMar>
              <w:top w:type="dxa" w:w="100"/>
              <w:left w:type="dxa" w:w="160"/>
              <w:bottom w:type="dxa" w:w="60"/>
              <w:right w:type="dxa" w:w="160"/>
            </w:tcMar>
          </w:tcPr>
          <w:p>
            <w:r>
              <w:rPr>
                <w:rFonts w:ascii="Arial" w:cs="Arial" w:eastAsia="Arial" w:hAnsi="Arial"/>
                <w:b/>
                <w:bCs/>
                <w:color w:val="E65100"/>
                <w:sz w:val="22"/>
                <w:szCs w:val="22"/>
              </w:rPr>
              <w:t xml:space="preserve">Planned Improvements</w:t>
            </w:r>
          </w:p>
        </w:tc>
      </w:tr>
      <w:tr>
        <w:tc>
          <w:tcPr>
            <w:tcBorders>
              <w:top w:val="none" w:color="FFFFFF" w:sz="0"/>
              <w:left w:val="none" w:color="FFFFFF" w:sz="0"/>
              <w:bottom w:val="none" w:color="FFFFFF" w:sz="0"/>
              <w:right w:val="none" w:color="FFFFFF" w:sz="0"/>
            </w:tcBorders>
            <w:shd w:fill="FFF3E0" w:val="clear"/>
            <w:tcMar>
              <w:top w:type="dxa" w:w="40"/>
              <w:left w:type="dxa" w:w="280"/>
              <w:bottom w:type="dxa" w:w="40"/>
              <w:right w:type="dxa" w:w="160"/>
            </w:tcMar>
          </w:tcPr>
          <w:p>
            <w:r>
              <w:rPr>
                <w:rFonts w:ascii="Arial" w:cs="Arial" w:eastAsia="Arial" w:hAnsi="Arial"/>
                <w:color w:val="424242"/>
                <w:sz w:val="21"/>
                <w:szCs w:val="21"/>
              </w:rPr>
              <w:t xml:space="preserve">• SMS notifications via Twilio for time-sensitive alerts</w:t>
            </w:r>
          </w:p>
        </w:tc>
      </w:tr>
      <w:tr>
        <w:tc>
          <w:tcPr>
            <w:tcBorders>
              <w:top w:val="none" w:color="FFFFFF" w:sz="0"/>
              <w:left w:val="none" w:color="FFFFFF" w:sz="0"/>
              <w:bottom w:val="none" w:color="FFFFFF" w:sz="0"/>
              <w:right w:val="none" w:color="FFFFFF" w:sz="0"/>
            </w:tcBorders>
            <w:shd w:fill="FFF3E0" w:val="clear"/>
            <w:tcMar>
              <w:top w:type="dxa" w:w="40"/>
              <w:left w:type="dxa" w:w="280"/>
              <w:bottom w:type="dxa" w:w="40"/>
              <w:right w:type="dxa" w:w="160"/>
            </w:tcMar>
          </w:tcPr>
          <w:p>
            <w:r>
              <w:rPr>
                <w:rFonts w:ascii="Arial" w:cs="Arial" w:eastAsia="Arial" w:hAnsi="Arial"/>
                <w:color w:val="424242"/>
                <w:sz w:val="21"/>
                <w:szCs w:val="21"/>
              </w:rPr>
              <w:t xml:space="preserve">• Cohort retention analytics dashboard</w:t>
            </w:r>
          </w:p>
        </w:tc>
      </w:tr>
      <w:tr>
        <w:tc>
          <w:tcPr>
            <w:tcBorders>
              <w:top w:val="none" w:color="FFFFFF" w:sz="0"/>
              <w:left w:val="none" w:color="FFFFFF" w:sz="0"/>
              <w:bottom w:val="none" w:color="FFFFFF" w:sz="0"/>
              <w:right w:val="none" w:color="FFFFFF" w:sz="0"/>
            </w:tcBorders>
            <w:shd w:fill="FFF3E0" w:val="clear"/>
            <w:tcMar>
              <w:top w:type="dxa" w:w="40"/>
              <w:left w:type="dxa" w:w="280"/>
              <w:bottom w:type="dxa" w:w="40"/>
              <w:right w:type="dxa" w:w="160"/>
            </w:tcMar>
          </w:tcPr>
          <w:p>
            <w:r>
              <w:rPr>
                <w:rFonts w:ascii="Arial" w:cs="Arial" w:eastAsia="Arial" w:hAnsi="Arial"/>
                <w:color w:val="424242"/>
                <w:sz w:val="21"/>
                <w:szCs w:val="21"/>
              </w:rPr>
              <w:t xml:space="preserve">• A/B testing framework (extend feature-flags.ts)</w:t>
            </w:r>
          </w:p>
        </w:tc>
      </w:tr>
      <w:tr>
        <w:tc>
          <w:tcPr>
            <w:tcBorders>
              <w:top w:val="none" w:color="FFFFFF" w:sz="0"/>
              <w:left w:val="none" w:color="FFFFFF" w:sz="0"/>
              <w:bottom w:val="none" w:color="FFFFFF" w:sz="0"/>
              <w:right w:val="none" w:color="FFFFFF" w:sz="0"/>
            </w:tcBorders>
            <w:shd w:fill="FFF3E0" w:val="clear"/>
            <w:tcMar>
              <w:top w:type="dxa" w:w="40"/>
              <w:left w:type="dxa" w:w="280"/>
              <w:bottom w:type="dxa" w:w="40"/>
              <w:right w:type="dxa" w:w="160"/>
            </w:tcMar>
          </w:tcPr>
          <w:p>
            <w:r>
              <w:rPr>
                <w:rFonts w:ascii="Arial" w:cs="Arial" w:eastAsia="Arial" w:hAnsi="Arial"/>
                <w:color w:val="424242"/>
                <w:sz w:val="21"/>
                <w:szCs w:val="21"/>
              </w:rPr>
              <w:t xml:space="preserve">• Feature adoption tracking (PostHog or Amplitude integration)</w:t>
            </w:r>
          </w:p>
        </w:tc>
      </w:tr>
      <w:tr>
        <w:tc>
          <w:tcPr>
            <w:tcBorders>
              <w:top w:val="none" w:color="FFFFFF" w:sz="0"/>
              <w:left w:val="none" w:color="FFFFFF" w:sz="0"/>
              <w:bottom w:val="none" w:color="FFFFFF" w:sz="0"/>
              <w:right w:val="none" w:color="FFFFFF" w:sz="0"/>
            </w:tcBorders>
            <w:shd w:fill="FFF3E0" w:val="clear"/>
            <w:tcMar>
              <w:top w:type="dxa" w:w="40"/>
              <w:left w:type="dxa" w:w="280"/>
              <w:bottom w:type="dxa" w:w="40"/>
              <w:right w:type="dxa" w:w="160"/>
            </w:tcMar>
          </w:tcPr>
          <w:p>
            <w:r>
              <w:rPr>
                <w:rFonts w:ascii="Arial" w:cs="Arial" w:eastAsia="Arial" w:hAnsi="Arial"/>
                <w:color w:val="424242"/>
                <w:sz w:val="21"/>
                <w:szCs w:val="21"/>
              </w:rPr>
              <w:t xml:space="preserve">• Personalised behavioural push campaigns beyond job lifecycle</w:t>
            </w:r>
          </w:p>
        </w:tc>
      </w:tr>
    </w:tbl>
    <w:p>
      <w:pPr>
        <w:pStyle w:val="Heading1"/>
        <w:pageBreakBefore/>
        <w:shd w:fill="1B4F8A" w:val="clear"/>
        <w:spacing w:before="0" w:after="200"/>
        <w:ind w:left="120" w:right="120"/>
      </w:pPr>
      <w:r>
        <w:rPr>
          <w:rFonts w:ascii="Arial" w:cs="Arial" w:eastAsia="Arial" w:hAnsi="Arial"/>
          <w:b/>
          <w:bCs/>
          <w:color w:val="FFFFFF"/>
          <w:sz w:val="36"/>
          <w:szCs w:val="36"/>
        </w:rPr>
        <w:t xml:space="preserve">8. Technical Recommendations</w:t>
      </w:r>
    </w:p>
    <w:p>
      <w:pPr>
        <w:spacing w:before="60" w:after="120"/>
      </w:pPr>
      <w:r>
        <w:rPr>
          <w:rFonts w:ascii="Arial" w:cs="Arial" w:eastAsia="Arial" w:hAnsi="Arial"/>
          <w:color w:val="424242"/>
          <w:sz w:val="22"/>
          <w:szCs w:val="22"/>
        </w:rPr>
        <w:t xml:space="preserve">The following technical improvements will directly enable and accelerate the retention strategy. All recommendations respect the existing codebase architecture.</w:t>
      </w:r>
    </w:p>
    <w:p>
      <w:pPr>
        <w:spacing w:before="1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8.1  Extend Existing Infrastructure</w:t>
      </w:r>
    </w:p>
    <w:p>
      <w:pPr>
        <w:pStyle w:val="ListParagraph"/>
        <w:numPr>
          <w:ilvl w:val="0"/>
          <w:numId w:val="2"/>
        </w:numPr>
        <w:spacing w:before="40" w:after="60"/>
      </w:pPr>
      <w:r>
        <w:rPr>
          <w:rFonts w:ascii="Arial" w:cs="Arial" w:eastAsia="Arial" w:hAnsi="Arial"/>
          <w:b w:val="false"/>
          <w:bCs w:val="false"/>
          <w:color w:val="424242"/>
          <w:sz w:val="22"/>
          <w:szCs w:val="22"/>
        </w:rPr>
        <w:t xml:space="preserve">Extend the withApiHandler() middleware pattern (already proven on 2 routes) to the remaining ~247 route handlers — this reduces boilerplate and makes A/B test instrumentation easier to add consistently</w:t>
      </w:r>
    </w:p>
    <w:p>
      <w:pPr>
        <w:pStyle w:val="ListParagraph"/>
        <w:numPr>
          <w:ilvl w:val="0"/>
          <w:numId w:val="2"/>
        </w:numPr>
        <w:spacing w:before="40" w:after="60"/>
      </w:pPr>
      <w:r>
        <w:rPr>
          <w:rFonts w:ascii="Arial" w:cs="Arial" w:eastAsia="Arial" w:hAnsi="Arial"/>
          <w:b w:val="false"/>
          <w:bCs w:val="false"/>
          <w:color w:val="424242"/>
          <w:sz w:val="22"/>
          <w:szCs w:val="22"/>
        </w:rPr>
        <w:t xml:space="preserve">Extend the feature-flags.ts system to support user-level and cohort-level flags — required for A/B testing</w:t>
      </w:r>
    </w:p>
    <w:p>
      <w:pPr>
        <w:pStyle w:val="ListParagraph"/>
        <w:numPr>
          <w:ilvl w:val="0"/>
          <w:numId w:val="2"/>
        </w:numPr>
        <w:spacing w:before="40" w:after="60"/>
      </w:pPr>
      <w:r>
        <w:rPr>
          <w:rFonts w:ascii="Arial" w:cs="Arial" w:eastAsia="Arial" w:hAnsi="Arial"/>
          <w:b w:val="false"/>
          <w:bCs w:val="false"/>
          <w:color w:val="424242"/>
          <w:sz w:val="22"/>
          <w:szCs w:val="22"/>
        </w:rPr>
        <w:t xml:space="preserve">Add a dedicated retention_events table to track all user actions relevant to retention (bids placed, jobs completed, logins, NPS responses) — this is the data foundation for churn prediction</w:t>
      </w:r>
    </w:p>
    <w:p>
      <w:pPr>
        <w:pStyle w:val="ListParagraph"/>
        <w:numPr>
          <w:ilvl w:val="0"/>
          <w:numId w:val="2"/>
        </w:numPr>
        <w:spacing w:before="40" w:after="60"/>
      </w:pPr>
      <w:r>
        <w:rPr>
          <w:rFonts w:ascii="Arial" w:cs="Arial" w:eastAsia="Arial" w:hAnsi="Arial"/>
          <w:b w:val="false"/>
          <w:bCs w:val="false"/>
          <w:color w:val="424242"/>
          <w:sz w:val="22"/>
          <w:szCs w:val="22"/>
        </w:rPr>
        <w:t xml:space="preserve">Extend the notification_engagement table with session_id and device_type — enables device-level optimisation</w:t>
      </w:r>
    </w:p>
    <w:p>
      <w:pPr>
        <w:spacing w:before="2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8.2  Add Analytics Integration</w:t>
      </w:r>
    </w:p>
    <w:p>
      <w:pPr>
        <w:pStyle w:val="ListParagraph"/>
        <w:numPr>
          <w:ilvl w:val="0"/>
          <w:numId w:val="2"/>
        </w:numPr>
        <w:spacing w:before="40" w:after="60"/>
      </w:pPr>
      <w:r>
        <w:rPr>
          <w:rFonts w:ascii="Arial" w:cs="Arial" w:eastAsia="Arial" w:hAnsi="Arial"/>
          <w:b w:val="false"/>
          <w:bCs w:val="false"/>
          <w:color w:val="424242"/>
          <w:sz w:val="22"/>
          <w:szCs w:val="22"/>
        </w:rPr>
        <w:t xml:space="preserve">Integrate PostHog (open source, self-hostable) or Amplitude for in-product event tracking — the current codebase has no frontend analytics instrumentation</w:t>
      </w:r>
    </w:p>
    <w:p>
      <w:pPr>
        <w:pStyle w:val="ListParagraph"/>
        <w:numPr>
          <w:ilvl w:val="0"/>
          <w:numId w:val="2"/>
        </w:numPr>
        <w:spacing w:before="40" w:after="60"/>
      </w:pPr>
      <w:r>
        <w:rPr>
          <w:rFonts w:ascii="Arial" w:cs="Arial" w:eastAsia="Arial" w:hAnsi="Arial"/>
          <w:b w:val="false"/>
          <w:bCs w:val="false"/>
          <w:color w:val="424242"/>
          <w:sz w:val="22"/>
          <w:szCs w:val="22"/>
        </w:rPr>
        <w:t xml:space="preserve">Build a data pipeline from Supabase to a time-series store for retention curve calculation</w:t>
      </w:r>
    </w:p>
    <w:p>
      <w:pPr>
        <w:pStyle w:val="ListParagraph"/>
        <w:numPr>
          <w:ilvl w:val="0"/>
          <w:numId w:val="2"/>
        </w:numPr>
        <w:spacing w:before="40" w:after="60"/>
      </w:pPr>
      <w:r>
        <w:rPr>
          <w:rFonts w:ascii="Arial" w:cs="Arial" w:eastAsia="Arial" w:hAnsi="Arial"/>
          <w:b w:val="false"/>
          <w:bCs w:val="false"/>
          <w:color w:val="424242"/>
          <w:sz w:val="22"/>
          <w:szCs w:val="22"/>
        </w:rPr>
        <w:t xml:space="preserve">The existing AgentAnalytics and ContractorAnalyticsService provide a strong internal template — replicate this pattern for homeowner behavioural analytics</w:t>
      </w:r>
    </w:p>
    <w:p>
      <w:pPr>
        <w:spacing w:before="2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8.3  Email Infrastructure</w:t>
      </w:r>
    </w:p>
    <w:p>
      <w:pPr>
        <w:pStyle w:val="ListParagraph"/>
        <w:numPr>
          <w:ilvl w:val="0"/>
          <w:numId w:val="2"/>
        </w:numPr>
        <w:spacing w:before="40" w:after="60"/>
      </w:pPr>
      <w:r>
        <w:rPr>
          <w:rFonts w:ascii="Arial" w:cs="Arial" w:eastAsia="Arial" w:hAnsi="Arial"/>
          <w:b w:val="false"/>
          <w:bCs w:val="false"/>
          <w:color w:val="424242"/>
          <w:sz w:val="22"/>
          <w:szCs w:val="22"/>
        </w:rPr>
        <w:t xml:space="preserve">Add an email sequence engine (e.g., loops of scheduled emails triggered by user events) — the existing email-service.ts and TrialNotifications pattern is excellent but only used for trials</w:t>
      </w:r>
    </w:p>
    <w:p>
      <w:pPr>
        <w:pStyle w:val="ListParagraph"/>
        <w:numPr>
          <w:ilvl w:val="0"/>
          <w:numId w:val="2"/>
        </w:numPr>
        <w:spacing w:before="40" w:after="60"/>
      </w:pPr>
      <w:r>
        <w:rPr>
          <w:rFonts w:ascii="Arial" w:cs="Arial" w:eastAsia="Arial" w:hAnsi="Arial"/>
          <w:b w:val="false"/>
          <w:bCs w:val="false"/>
          <w:color w:val="424242"/>
          <w:sz w:val="22"/>
          <w:szCs w:val="22"/>
        </w:rPr>
        <w:t xml:space="preserve">Build reusable email templates for: weekly digest, win-back, onboarding sequence, loyalty milestone — use the EmailTemplatesService pattern already in the mobile app</w:t>
      </w:r>
    </w:p>
    <w:p>
      <w:pPr>
        <w:pStyle w:val="ListParagraph"/>
        <w:numPr>
          <w:ilvl w:val="0"/>
          <w:numId w:val="2"/>
        </w:numPr>
        <w:spacing w:before="40" w:after="60"/>
      </w:pPr>
      <w:r>
        <w:rPr>
          <w:rFonts w:ascii="Arial" w:cs="Arial" w:eastAsia="Arial" w:hAnsi="Arial"/>
          <w:b w:val="false"/>
          <w:bCs w:val="false"/>
          <w:color w:val="424242"/>
          <w:sz w:val="22"/>
          <w:szCs w:val="22"/>
        </w:rPr>
        <w:t xml:space="preserve">Add email open and click tracking to measure campaign effectiveness — required for win-back campaign ROI measurement</w:t>
      </w:r>
    </w:p>
    <w:p>
      <w:pPr>
        <w:pStyle w:val="Heading1"/>
        <w:pageBreakBefore/>
        <w:shd w:fill="1B4F8A" w:val="clear"/>
        <w:spacing w:before="0" w:after="200"/>
        <w:ind w:left="120" w:right="120"/>
      </w:pPr>
      <w:r>
        <w:rPr>
          <w:rFonts w:ascii="Arial" w:cs="Arial" w:eastAsia="Arial" w:hAnsi="Arial"/>
          <w:b/>
          <w:bCs/>
          <w:color w:val="FFFFFF"/>
          <w:sz w:val="36"/>
          <w:szCs w:val="36"/>
        </w:rPr>
        <w:t xml:space="preserve">9. Conclusion &amp; Next Steps</w:t>
      </w:r>
    </w:p>
    <w:p>
      <w:pPr>
        <w:spacing w:before="60" w:after="120"/>
      </w:pPr>
      <w:r>
        <w:rPr>
          <w:rFonts w:ascii="Arial" w:cs="Arial" w:eastAsia="Arial" w:hAnsi="Arial"/>
          <w:color w:val="424242"/>
          <w:sz w:val="22"/>
          <w:szCs w:val="22"/>
        </w:rPr>
        <w:t xml:space="preserve">Mintenance is in a strong position. Its notification infrastructure, job lifecycle touchpoints, review system, and subscription email flows are production-grade. The ML-driven notification timing system is genuinely differentiated — few platforms at this stage have this capability.</w:t>
      </w:r>
    </w:p>
    <w:p>
      <w:pPr>
        <w:spacing w:before="100" w:after="0"/>
      </w:pPr>
      <w:r>
        <w:t xml:space="preserve"/>
      </w:r>
    </w:p>
    <w:p>
      <w:pPr>
        <w:spacing w:before="60" w:after="120"/>
      </w:pPr>
      <w:r>
        <w:rPr>
          <w:rFonts w:ascii="Arial" w:cs="Arial" w:eastAsia="Arial" w:hAnsi="Arial"/>
          <w:color w:val="424242"/>
          <w:sz w:val="22"/>
          <w:szCs w:val="22"/>
        </w:rPr>
        <w:t xml:space="preserve">The opportunity cost of inaction, however, is significant. Every month without a referral programme, a loyalty system, or a churn detection model is lost growth and lost retention at the margin. The good news is that the quick wins — surfacing recommendations, adding job digest emails, detecting dormant users — can be shipped in weeks using infrastructure that already exists.</w:t>
      </w:r>
    </w:p>
    <w:p>
      <w:pPr>
        <w:spacing w:before="100" w:after="0"/>
      </w:pPr>
      <w:r>
        <w:t xml:space="preserve"/>
      </w:r>
    </w:p>
    <w:p>
      <w:pPr>
        <w:pStyle w:val="Heading2"/>
        <w:pBdr>
          <w:bottom w:val="single" w:color="4A90C4" w:sz="8" w:space="4"/>
        </w:pBdr>
        <w:spacing w:before="280" w:after="120"/>
      </w:pPr>
      <w:r>
        <w:rPr>
          <w:rFonts w:ascii="Arial" w:cs="Arial" w:eastAsia="Arial" w:hAnsi="Arial"/>
          <w:b/>
          <w:bCs/>
          <w:color w:val="1B4F8A"/>
          <w:sz w:val="28"/>
          <w:szCs w:val="28"/>
        </w:rPr>
        <w:t xml:space="preserve">Recommended First Three Actions</w:t>
      </w:r>
    </w:p>
    <w:p>
      <w:pPr>
        <w:spacing w:before="80" w:after="0"/>
      </w:pPr>
      <w:r>
        <w:t xml:space="preserve"/>
      </w:r>
    </w:p>
    <w:p>
      <w:pPr>
        <w:pStyle w:val="ListParagraph"/>
        <w:numPr>
          <w:ilvl w:val="0"/>
          <w:numId w:val="3"/>
        </w:numPr>
        <w:spacing w:before="40" w:after="60"/>
      </w:pPr>
      <w:r>
        <w:rPr>
          <w:rFonts w:ascii="Arial" w:cs="Arial" w:eastAsia="Arial" w:hAnsi="Arial"/>
          <w:color w:val="424242"/>
          <w:sz w:val="22"/>
          <w:szCs w:val="22"/>
        </w:rPr>
        <w:t xml:space="preserve">Establish retention baselines: instrument Month-1 and Month-3 retention curves for both user types this sprint — you cannot improve what you do not measure</w:t>
      </w:r>
    </w:p>
    <w:p>
      <w:pPr>
        <w:pStyle w:val="ListParagraph"/>
        <w:numPr>
          <w:ilvl w:val="0"/>
          <w:numId w:val="3"/>
        </w:numPr>
        <w:spacing w:before="40" w:after="60"/>
      </w:pPr>
      <w:r>
        <w:rPr>
          <w:rFonts w:ascii="Arial" w:cs="Arial" w:eastAsia="Arial" w:hAnsi="Arial"/>
          <w:color w:val="424242"/>
          <w:sz w:val="22"/>
          <w:szCs w:val="22"/>
        </w:rPr>
        <w:t xml:space="preserve">Ship the Q1 Quick Wins in a two-week sprint: recommendations UI surface, contractor job digest email, low-activity nudge, and NPS survey — these four alone should move retention by 8–15 percentage points</w:t>
      </w:r>
    </w:p>
    <w:p>
      <w:pPr>
        <w:pStyle w:val="ListParagraph"/>
        <w:numPr>
          <w:ilvl w:val="0"/>
          <w:numId w:val="3"/>
        </w:numPr>
        <w:spacing w:before="40" w:after="60"/>
      </w:pPr>
      <w:r>
        <w:rPr>
          <w:rFonts w:ascii="Arial" w:cs="Arial" w:eastAsia="Arial" w:hAnsi="Arial"/>
          <w:color w:val="424242"/>
          <w:sz w:val="22"/>
          <w:szCs w:val="22"/>
        </w:rPr>
        <w:t xml:space="preserve">Kick off referral programme design: this is the single highest-ROI initiative and should begin product specification immediately, targeting a Q2 launch</w:t>
      </w:r>
    </w:p>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none" w:color="FFFFFF" w:sz="0"/>
              <w:left w:val="none" w:color="FFFFFF" w:sz="0"/>
              <w:bottom w:val="none" w:color="FFFFFF" w:sz="0"/>
              <w:right w:val="none" w:color="FFFFFF" w:sz="0"/>
            </w:tcBorders>
            <w:shd w:fill="D0E4F5" w:val="clear"/>
            <w:tcMar>
              <w:top w:type="dxa" w:w="100"/>
              <w:left w:type="dxa" w:w="160"/>
              <w:bottom w:type="dxa" w:w="60"/>
              <w:right w:type="dxa" w:w="160"/>
            </w:tcMar>
          </w:tcPr>
          <w:p>
            <w:r>
              <w:rPr>
                <w:rFonts w:ascii="Arial" w:cs="Arial" w:eastAsia="Arial" w:hAnsi="Arial"/>
                <w:b/>
                <w:bCs/>
                <w:color w:val="1B4F8A"/>
                <w:sz w:val="22"/>
                <w:szCs w:val="22"/>
              </w:rPr>
              <w:t xml:space="preserve">Key Takeaway</w:t>
            </w:r>
          </w:p>
        </w:tc>
      </w:tr>
      <w:tr>
        <w:tc>
          <w:tcPr>
            <w:tcBorders>
              <w:top w:val="none" w:color="FFFFFF" w:sz="0"/>
              <w:left w:val="none" w:color="FFFFFF" w:sz="0"/>
              <w:bottom w:val="none" w:color="FFFFFF" w:sz="0"/>
              <w:right w:val="none" w:color="FFFFFF" w:sz="0"/>
            </w:tcBorders>
            <w:shd w:fill="D0E4F5" w:val="clear"/>
            <w:tcMar>
              <w:top w:type="dxa" w:w="40"/>
              <w:left w:type="dxa" w:w="280"/>
              <w:bottom w:type="dxa" w:w="40"/>
              <w:right w:type="dxa" w:w="160"/>
            </w:tcMar>
          </w:tcPr>
          <w:p>
            <w:r>
              <w:rPr>
                <w:rFonts w:ascii="Arial" w:cs="Arial" w:eastAsia="Arial" w:hAnsi="Arial"/>
                <w:color w:val="424242"/>
                <w:sz w:val="21"/>
                <w:szCs w:val="21"/>
              </w:rPr>
              <w:t xml:space="preserve">• Mintenance has built 62% of a best-in-class retention system.</w:t>
            </w:r>
          </w:p>
        </w:tc>
      </w:tr>
      <w:tr>
        <w:tc>
          <w:tcPr>
            <w:tcBorders>
              <w:top w:val="none" w:color="FFFFFF" w:sz="0"/>
              <w:left w:val="none" w:color="FFFFFF" w:sz="0"/>
              <w:bottom w:val="none" w:color="FFFFFF" w:sz="0"/>
              <w:right w:val="none" w:color="FFFFFF" w:sz="0"/>
            </w:tcBorders>
            <w:shd w:fill="D0E4F5" w:val="clear"/>
            <w:tcMar>
              <w:top w:type="dxa" w:w="40"/>
              <w:left w:type="dxa" w:w="280"/>
              <w:bottom w:type="dxa" w:w="40"/>
              <w:right w:type="dxa" w:w="160"/>
            </w:tcMar>
          </w:tcPr>
          <w:p>
            <w:r>
              <w:rPr>
                <w:rFonts w:ascii="Arial" w:cs="Arial" w:eastAsia="Arial" w:hAnsi="Arial"/>
                <w:color w:val="424242"/>
                <w:sz w:val="21"/>
                <w:szCs w:val="21"/>
              </w:rPr>
              <w:t xml:space="preserve">• The remaining 38% — referrals, loyalty, churn prediction, email sequences — is where the next 2–4x retention improvement lies.</w:t>
            </w:r>
          </w:p>
        </w:tc>
      </w:tr>
      <w:tr>
        <w:tc>
          <w:tcPr>
            <w:tcBorders>
              <w:top w:val="none" w:color="FFFFFF" w:sz="0"/>
              <w:left w:val="none" w:color="FFFFFF" w:sz="0"/>
              <w:bottom w:val="none" w:color="FFFFFF" w:sz="0"/>
              <w:right w:val="none" w:color="FFFFFF" w:sz="0"/>
            </w:tcBorders>
            <w:shd w:fill="D0E4F5" w:val="clear"/>
            <w:tcMar>
              <w:top w:type="dxa" w:w="40"/>
              <w:left w:type="dxa" w:w="280"/>
              <w:bottom w:type="dxa" w:w="40"/>
              <w:right w:type="dxa" w:w="160"/>
            </w:tcMar>
          </w:tcPr>
          <w:p>
            <w:r>
              <w:rPr>
                <w:rFonts w:ascii="Arial" w:cs="Arial" w:eastAsia="Arial" w:hAnsi="Arial"/>
                <w:color w:val="424242"/>
                <w:sz w:val="21"/>
                <w:szCs w:val="21"/>
              </w:rPr>
              <w:t xml:space="preserve">• The codebase infrastructure is ready. The strategy is clear. The opportunity is now.</w:t>
            </w:r>
          </w:p>
        </w:tc>
      </w:tr>
    </w:tbl>
    <w:p>
      <w:pPr>
        <w:spacing w:before="200" w:after="0"/>
      </w:pPr>
      <w:r>
        <w:t xml:space="preserve"/>
      </w:r>
    </w:p>
    <w:p>
      <w:pPr>
        <w:spacing w:before="200"/>
        <w:jc w:val="center"/>
      </w:pPr>
      <w:r>
        <w:rPr>
          <w:rFonts w:ascii="Arial" w:cs="Arial" w:eastAsia="Arial" w:hAnsi="Arial"/>
          <w:i/>
          <w:iCs/>
          <w:color w:val="BDBDBD"/>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C4" w:sz="6" w:space="4"/>
      </w:pBdr>
      <w:jc w:val="center"/>
    </w:pPr>
    <w:r>
      <w:rPr>
        <w:rFonts w:ascii="Arial" w:cs="Arial" w:eastAsia="Arial" w:hAnsi="Arial"/>
        <w:color w:val="BDBDBD"/>
        <w:sz w:val="18"/>
        <w:szCs w:val="18"/>
      </w:rPr>
      <w:t xml:space="preserve">Mintenance Platform   |   User Retention Strategy   |   Confidential   |   Page </w:t>
    </w:r>
    <w:r>
      <w:rPr>
        <w:rFonts w:ascii="Arial" w:cs="Arial" w:eastAsia="Arial" w:hAnsi="Arial"/>
        <w:color w:val="BDBDBD"/>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C4" w:sz="6" w:space="4"/>
      </w:pBdr>
      <w:jc w:val="center"/>
    </w:pPr>
    <w:r>
      <w:rPr>
        <w:rFonts w:ascii="Arial" w:cs="Arial" w:eastAsia="Arial" w:hAnsi="Arial"/>
        <w:color w:val="BDBDBD"/>
        <w:sz w:val="18"/>
        <w:szCs w:val="18"/>
      </w:rPr>
      <w:t xml:space="preserve">Mintenance Platform  |  Confidential  |  Page </w:t>
    </w:r>
    <w:r>
      <w:rPr>
        <w:rFonts w:ascii="Arial" w:cs="Arial" w:eastAsia="Arial" w:hAnsi="Arial"/>
        <w:color w:val="BDBDB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6" w:space="4"/>
      </w:pBdr>
      <w:spacing w:after="80"/>
    </w:pPr>
    <w:r>
      <w:rPr>
        <w:rFonts w:ascii="Arial" w:cs="Arial" w:eastAsia="Arial" w:hAnsi="Arial"/>
        <w:b/>
        <w:bCs/>
        <w:color w:val="1B4F8A"/>
        <w:sz w:val="20"/>
        <w:szCs w:val="20"/>
      </w:rPr>
      <w:t xml:space="preserve">MINTENANCE  </w:t>
    </w:r>
    <w:r>
      <w:rPr>
        <w:rFonts w:ascii="Arial" w:cs="Arial" w:eastAsia="Arial" w:hAnsi="Arial"/>
        <w:color w:val="BDBDBD"/>
        <w:sz w:val="20"/>
        <w:szCs w:val="20"/>
      </w:rPr>
      <w:t xml:space="preserve">User Retention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242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4F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A90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2026-02-23T15:15:12.600Z</dcterms:created>
  <dcterms:modified xsi:type="dcterms:W3CDTF">2026-02-23T15:15:12.601Z</dcterms:modified>
</cp:coreProperties>
</file>

<file path=docProps/custom.xml><?xml version="1.0" encoding="utf-8"?>
<Properties xmlns="http://schemas.openxmlformats.org/officeDocument/2006/custom-properties" xmlns:vt="http://schemas.openxmlformats.org/officeDocument/2006/docPropsVTypes"/>
</file>