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7377"/>
          <w:sz w:val="64"/>
          <w:szCs w:val="64"/>
        </w:rPr>
        <w:t xml:space="preserve">MINTENANCE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323F5A"/>
          <w:sz w:val="40"/>
          <w:szCs w:val="40"/>
        </w:rPr>
        <w:t xml:space="preserve">Platform Expansion</w:t>
      </w:r>
    </w:p>
    <w:p>
      <w:pPr>
        <w:pBdr>
          <w:bottom w:val="single" w:color="0D7377" w:sz="12" w:space="1"/>
        </w:pBdr>
        <w:spacing w:after="360" w:before="0"/>
        <w:jc w:val="center"/>
      </w:pPr>
      <w:r>
        <w:t xml:space="preserve"/>
      </w:r>
    </w:p>
    <w:p>
      <w:pPr>
        <w:spacing w:after="140" w:before="36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Immediate Next Steps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23F5A"/>
          <w:sz w:val="28"/>
          <w:szCs w:val="28"/>
        </w:rPr>
        <w:t xml:space="preserve">Execution Plan: 5 Priority Actions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323F5A"/>
          <w:sz w:val="22"/>
          <w:szCs w:val="22"/>
        </w:rPr>
        <w:t xml:space="preserve">Derived from Market Gap Analysis — March 2026</w:t>
      </w:r>
    </w:p>
    <w:p>
      <w:pPr>
        <w:spacing w:after="6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CONFIDENTIAL — INTERNAL USE ONLY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323F5A"/>
          <w:sz w:val="20"/>
          <w:szCs w:val="20"/>
        </w:rPr>
        <w:t xml:space="preserve">Mintenance Technologies Ltd  |  gloire@mintenance.co.uk</w:t>
      </w:r>
    </w:p>
    <w:p>
      <w:r>
        <w:br w:type="page"/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How to Use This Plan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document translates the five immediate next steps identified in the Mintenance Market Gap Analysis into actionable execution plans. Each step has a defined owner, a week-by-week timeline, clear success metrics, a resource estimate, and an honest risk register.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five steps are not sequential — they run in parallel. Steps 1 and 2 are pure product/commercial execution. Steps 3, 4, and 5 are strategic positioning moves that open the highest-value future revenue streams. All five can and should begin within the same 30-day window.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32"/>
                <w:szCs w:val="3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23F5A"/>
                <w:sz w:val="18"/>
                <w:szCs w:val="18"/>
              </w:rPr>
              <w:t xml:space="preserve">Priority actions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32"/>
                <w:szCs w:val="32"/>
              </w:rPr>
              <w:t xml:space="preserve">8 wks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23F5A"/>
                <w:sz w:val="18"/>
                <w:szCs w:val="18"/>
              </w:rPr>
              <w:t xml:space="preserve">Sprint 1 target (Pre-Sale Report)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32"/>
                <w:szCs w:val="32"/>
              </w:rPr>
              <w:t xml:space="preserve">Q3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23F5A"/>
                <w:sz w:val="18"/>
                <w:szCs w:val="18"/>
              </w:rPr>
              <w:t xml:space="preserve">POC live target (Letting Agents)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32"/>
                <w:szCs w:val="32"/>
              </w:rPr>
              <w:t xml:space="preserve">6 mos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23F5A"/>
                <w:sz w:val="18"/>
                <w:szCs w:val="18"/>
              </w:rPr>
              <w:t xml:space="preserve">AI validation study duration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32"/>
                <w:szCs w:val="3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23F5A"/>
                <w:sz w:val="18"/>
                <w:szCs w:val="18"/>
              </w:rPr>
              <w:t xml:space="preserve">Industry bodies to engage (ARLA + RICS)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The diagram below shows how the five steps connect to the three revenue verticals they unlock:</w:t>
      </w:r>
    </w:p>
    <w:p>
      <w:pPr>
        <w:spacing w:after="120" w:before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2560"/>
        <w:gridCol w:w="17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Unlocks Vertical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Convert /try-mint-ai → paid Pre-Sale Report (£49)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Gap 08 — Pre-Sale Reports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 weeks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Prototype letting agent tripartite workflow with 3 agencies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Gap 01 — Letting Agents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weeks (POC live)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Commission MintAI vs. loss adjuster validation study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Gap 04 — Insurance Claims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months (study complete)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Engage ARLA Propertymark &amp; RICS as technology partners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Gaps 01, 03, 08 (distribution)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Ongoing from Week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NHBC &amp; Premier Guarantee snagging programmes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Gap 03 — New-Build Snagging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weeks (initial review)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30"/>
                <w:szCs w:val="30"/>
              </w:rPr>
              <w:t xml:space="preserve">Convert /try-mint-ai Into a Paid Pre-Sale Condition Report</w:t>
            </w:r>
          </w:p>
          <w:p>
            <w:r>
              <w:rPr>
                <w:rFonts w:ascii="Arial" w:cs="Arial" w:eastAsia="Arial" w:hAnsi="Arial"/>
                <w:i/>
                <w:iCs/>
                <w:color w:val="323F5A"/>
                <w:sz w:val="20"/>
                <w:szCs w:val="20"/>
              </w:rPr>
              <w:t xml:space="preserve">8-week sprint — immediate revenue with no new sales infrastructure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Why This Is Step 1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/try-mint-ai demo is already functioning as a free prototype of the Pre-Sale Condition Report product. Users upload photos, MintAI classifies defects, and the system returns confidence-scored results. Converting this into a £49 paid product requires no new AI development — only a payment layer, a PDF report generator, and a landing page. This is the fastest possible path to validating consumer willingness to pay for AI-powered property assessment.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NOW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UK residential transaction market processes 1.1M sales/year. 65% of buyers commission a survey. RICS surveys cost £400–1,500 and take 2–4 weeks. An AI report at £49 delivered in 15 minutes is a fundamentally disruptive alternative. There is no equivalent product in the UK market today.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Objectives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Measured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By When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 from paid 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£10,000 GMV in first 30 days post-launch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Stripe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 completion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&gt;70% of users who start a report complete and pay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Funnel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 quality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&gt;4.2/5.0 average user rating on report usefulness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rating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Organic traffic to /report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500+ unique visitors per week within 4 weeks of launch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Repair marketplace conversion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7%+ of report recipients click through to create a repair job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Mintenance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16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Team &amp;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Gloire / Founder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 sign-off on report format and pricing; defines what 'good' looks like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Senior Full-Stack Dev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integration (Stripe), PDF generation, /report route, auth wall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ML/VLM Specialist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 template population from MintAI output; confidence score display logic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UI/UX Lead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 PDF template design, landing page (/report), on-boarding flow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Copywriter / Marketing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Founder or contractor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Landing page copy, SEO content, launch email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Week-by-Week Plan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sprint runs 8 weeks from kick-off. Weeks 1–2 are discovery and design. Weeks 3–5 are core build. Weeks 6–7 are testing and soft-launch. Week 8 is full public launch.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W1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W2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W3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W4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W5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W6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W7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Define report template structure (defect list, severity, cost est., summary)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Product + AI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Design PDF report template (Mintenance branded, professional format)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Designer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Design /report landing page and upload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Designer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 Stripe payment wall (£49 upfront, £35 beta price)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Engineer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 PDF generation service (report template + MintAI output)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AI + Engineer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 /report route with auth, upload, payment, delivery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Engineer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Integrate report delivery (email + in-app download)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Engineer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Internal QA: 20 test reports on real properties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Whole team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Beta launch to 50 users (existing Mintenance homeowners)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Marketing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Collect feedback, iterate on report 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Product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SEO landing page live, Google Ads pilot (£500 budget)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Marketing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public launch — /report live, email to user 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Marketing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Technical Build Checklist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 Stripe PaymentIntent to the /try-mint-ai endpoint — gate report delivery behind £49 payment confirmation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Create PDF generation service: takes structured MintAI JSON output → renders into branded 8–12 page PDF with defect photos, severity rating, estimated repair costs from materials database, and action priority list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Build /report landing page: hero copy, 3-step explainer (upload → AI analyses → get report), sample report PDF download, Stripe checkout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 in-app report history for registered users: previous reports viewable, shareable link generation for solicitors/surveyors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 repair marketplace CTA inside each report: for each identified defect, 'Fix this — post a job on Mintenance' button with pre-filled job description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Set up conversion tracking: Stripe webhook → analytics event → Google Analytics goal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Pricing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260"/>
        <w:gridCol w:w="21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Includes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Buyer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Report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£35 (beta) → £49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defect classification, severity rating, estimated costs, PDF download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Buyers doing initial property check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Report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£79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above + prioritised action plan, contractor cost benchmarks, re-inspection credit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Buyers post-offer, before exchange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Seller's Pre-Listing Report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£49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Basic + 'issues to fix before listing' framing, suggested remediation timeline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Sellers preparing to list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Launch Channel Strategy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Email existing homeowner user base (announce new product — no referral incentive needed; framing is 'you asked for this')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Post to Manchester homeowner Facebook groups and Reddit (r/HousingUK, r/FirstTimeBuyer) — organic seeding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Google Ads: target 'house survey alternatives UK', 'snagging report cost', 'pre-purchase property check' — £500 test budget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Approach 3 estate agents in Manchester: offer to white-label the report at £29/report (agent keeps £10 margin) — creates channel distribution with no incremental CAC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60"/>
        <w:gridCol w:w="1160"/>
        <w:gridCol w:w="47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 expect RICS-level rigour from AI report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clear disclaimer: 'AI-generated assessment, not a substitute for a RICS survey'. Position as 'know before you offer' not 'full survey'.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conversion on initial launch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Offer first 100 reports at £19 (loss-leader). Use data to optimise pricing. A/B test copy.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MintAI accuracy concerns on interior photos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Pre-launch: manually QA 50 test reports. Add human review option for £15 add-on in post-MVP phase.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generation fails at scale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async generation queue. Deliver via email within 15 min, not real-time.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30"/>
                <w:szCs w:val="30"/>
              </w:rPr>
              <w:t xml:space="preserve">Letting Agent Tripartite Workflow Prototype</w:t>
            </w:r>
          </w:p>
          <w:p>
            <w:r>
              <w:rPr>
                <w:rFonts w:ascii="Arial" w:cs="Arial" w:eastAsia="Arial" w:hAnsi="Arial"/>
                <w:i/>
                <w:iCs/>
                <w:color w:val="323F5A"/>
                <w:sz w:val="20"/>
                <w:szCs w:val="20"/>
              </w:rPr>
              <w:t xml:space="preserve">10-week POC with 3 Greater Manchester agencies — builds the B2B case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Why This Is Step 2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letting agent vertical is the nearest adjacency to the current product and the fastest path to B2B SaaS revenue. The /app/landlord/ and /app/agency/ sections are already scaffolded in the codebase. What is missing is a structured POC with real agencies that proves the tripartite workflow (tenant reports → agent approves → contractor completes) works in practice and that agents will pay for it. A POC with 3 agencies is achievable in 10 weeks and generates the case study evidence needed to scale nationally.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TRIPARTITE PROBLEM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Current letting agent maintenance flow: tenant calls agent → agent WhatsApps a contractor → contractor invoices on paper → agent chases landlord for approval → average resolution: 11 days, 18% invoice dispute rate. Mintenance collapses this into a single digital workflow with photo proof and escrow payment — and produces the audit trail that the Renters' Rights Bill will soon require.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Objectives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Measured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By When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Agencies recruited for POC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agencies onboarded and using platform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 / onboarding 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Jobs processed through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50+ jobs completed through Mintenance per agency during POC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Time-to-completion improvement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&gt;30% reduction vs. agency's baseline (from their own data)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Pre/post comparison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Agency NPS (net promoter score)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&gt;50 NPS from agency contacts at end of POC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Survey (Typeform)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Conversion to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of 3 POC agencies convert to paid plan post-POC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Target Agency Profile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Not all letting agencies are equal POC candidates. The ideal profile for Phase 1: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Portfolio size: 80–200 managed properties (large enough to generate meaningful job volume; small enough for a principal to make fast decisions)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Location: Greater Manchester (Mintenance's existing contractor network coverage)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Technology attitude: already using digital tools (Reapit, Jupix, or similar PM software) — not a first-time-digital-adopter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Pain point explicit: has complained about contractor management, invoice disputes, or tenant complaint response times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Relationship: warm introduction preferred — through existing Mintenance users, contractor network, or Manchester property networks (NAEA/ARLA events)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POC Recruitment Plan (Weeks 1–3)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Map existing Mintenance homeowner/landlord users who live in Greater Manchester. Identify which are managed by letting agents — these are warm referrals to the agent.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Attend 2 Manchester property networking events (NAEA Propertymark, Manchester Property Meetup, Northern Landlords Association events) in Weeks 1–2. Target: 10 introductory conversations with letting agent principals.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Reach out to 20 agencies via LinkedIn/email with a specific, credible value proposition: 'We reduce your maintenance coordination time by 30% and generate a full audit trail for Renters' Rights Bill compliance — at no cost to you for the first 10 weeks.'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Screen applicants: prioritise agencies with &gt;80 managed properties and a willing principal contact. Sign a light POC agreement (no charge, but agency commits to 10+ jobs/week through platform).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Product Build Required for POC (Weeks 1–6)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New User Role: Tenant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Simple tenant portal (mobile-first): 'Report a problem' — photo upload + issue description + urgency select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login required for initial submission (magic link or SMS verification only)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Tenant receives status updates via SMS as job progresses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Enhanced Role: Letting Agent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Agent dashboard: incoming tenant reports, approve/reject action + set budget cap, assign to preferred contractor panel or open to marketplace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Notification when job is accepted, started (before photos received), and completed (after photos received)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One-click invoice generation for landlord with photo evidence pack attached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Batch view: all active jobs across all managed properties in one screen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Enhanced Role: Landlord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Read-only view: all properties, all active jobs, cost to date this month, approval-required queue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Approve/reject spend above a configurable threshold (e.g., agent can approve up to £500, landlord approval required above that)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Monthly maintenance summary report (auto-generated PDF)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Week-by-Week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W1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W2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W3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W4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W5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W6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W7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W8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W9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Map existing users for agency referrals; begin agency outreach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Founder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Attend property networking events; target 10 agency conversations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Founder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Sign 3 POC agency agreements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Founder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 tenant report portal (photo + description + urgency)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Engineer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 agent approval workflow (approve/reject, budget cap, panel assign)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Engineer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 landlord read-only view + spend threshold approval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Engineer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Onboard Agency 1 — configure properties, contractor panel,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Founder+Eng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Onboard Agencies 2 &amp;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Founder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POC live: 50+ jobs per agency processed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All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Weekly check-ins with agency contacts; collect feedback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Founder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Compile POC results: time savings, NPS, cost reduction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Product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Conversion conversations: propose paid plans to 3 agencies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Founder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Pricing for Post-POC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Properties Managed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Fee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Includes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 to 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£149/mo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tripartite workflow, 1 contractor panel, basic reporting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Growth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51–150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£299/mo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Starter + landlord dashboard, compliance report export, PPM reminders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Portfolio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151–500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£499/mo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Growth + API integration (Reapit/Jupix), account manager, SLA guarantee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60"/>
        <w:gridCol w:w="1160"/>
        <w:gridCol w:w="47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Agencies are too busy to engage with a new tool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Reduce friction to zero: Mintenance configures the platform for them. First job within 48 hours of onboarding.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Contractor network doesn't cover managed properties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Pre-POC: map contractor coverage in each agency's portfolio postcode area. Recruit 5 contractors per gap postcode before onboarding.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Tenants don't use the portal (revert to calling agent)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 agents with a pre-written SMS/letter template to send to all tenants before going live. Emphasise speed benefit.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Landlord approval step adds friction, slows response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 approval optional per landlord. Default: agent has full authority up to £500. Approval only for larger jobs.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30"/>
                <w:szCs w:val="30"/>
              </w:rPr>
              <w:t xml:space="preserve">Commission MintAI vs. Loss Adjuster Validation Study</w:t>
            </w:r>
          </w:p>
          <w:p>
            <w:r>
              <w:rPr>
                <w:rFonts w:ascii="Arial" w:cs="Arial" w:eastAsia="Arial" w:hAnsi="Arial"/>
                <w:i/>
                <w:iCs/>
                <w:color w:val="323F5A"/>
                <w:sz w:val="20"/>
                <w:szCs w:val="20"/>
              </w:rPr>
              <w:t xml:space="preserve">6-month study — the gateway item for the £22M insurance vertical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Why This Is Step 3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insurance vertical is the highest single-value opportunity in the entire market gap analysis — £22M ARR by Year 5. But it is also the most regulated and evidence-dependent. No insurer will buy an AI claims assessment tool without rigorous, independently validated proof that the AI's damage assessments are accurate, consistent, and legally defensible. This study is not optional — it is the critical path item that determines when the insurance vertical opens. Starting it now means it is complete in 6 months. Delaying it by 3 months delays the entire insurance revenue stream by the same amount.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GATEWAY LOGIC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Without this study: MintAI is a promising demo. With this study: MintAI is a validated claims assessment tool with a quantified accuracy rate against the industry gold standard. The study converts a sales objection ('how do we know it works?') into a sales asset ('independent validation shows 91% concordance with qualified loss adjusters on sub-£10,000 claims').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Study Design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Dataset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Source: 500 historical property insurance claims with settled outcomes (ideally from a willing insurer partner; alternatively, from public court records, industry data sources, or CILA case studies)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Claim type: domestic property damage — water damage, subsidence, storm damage, fire/smoke, impact damage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Claim value range: £500–£25,000 (excludes catastrophic claims where AI is not the right tool)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Ground truth: each claim has a final settled repair cost, original loss adjuster assessment, and photographic evidence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Protocol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Step A: Strip all financial data and loss adjuster reports from the 500 claim files. Retain only photos and claim description text.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Step B: Run each claim through MintAI — defect classification, severity scoring, cost estimation from materials database.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Step C: Compare MintAI output against the loss adjuster report and settled claim value on three dimensions: (1) damage classification accuracy, (2) severity rating concordance, (3) cost estimate variance (±20% is the industry acceptance threshold).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Step D: Independent statistician calculates concordance rates, confidence intervals, and identifies failure modes (claim types where MintAI underperforms).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Independence Requirement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study must be conducted by an independent third party to be credible with insurers and regulators. Options: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Academic partner: University of Manchester, UCL, or University of Edinburgh (actuarial/data science departments) — lowest cost, highest credibility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Commercial partner: Willis Towers Watson, Verisk, or LexisNexis Risk Solutions — faster, more expensive, directly connected to insurer procurement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Industry body: Chartered Institute of Loss Adjusters (CILA) — highest credibility for insurer sales, but requires CILA member introduction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Timelines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1700"/>
        <w:gridCol w:w="37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Identify independent validation partner; negotiate terms; sign agreement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Signed validation partnership agreement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 and anonymise 500 historical claim dataset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Engineer + Legal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Clean, anonymised dataset ready for study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full 500-claim MintAI batch assessment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Engineer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MintAI output file: 500 × {classification, severity, cost estimate}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2–4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Independent partner conducts concordance analysis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External partner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 validation report with concordance metrics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4–5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Mintenance reviews findings; addresses failure modes identified (model fine-tuning if needed)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Engineer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 updates; re-test on identified weak claim types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 validation report published; IP and usage rights confirmed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Founder + Legal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Publishable validation report — sales asset for insurer conversations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Budget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42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Item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Estimated Cost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Independent validation partner (academic)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£15,000–£25,000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University partnership; often funded via KTP or Innovate UK contribution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Independent validation partner (commercial)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£40,000–£80,000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Willis / Verisk — faster, more insurer-credible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Dataset sourcing (if not from insurer partner)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£5,000–£15,000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Industry data licences; may be £0 if insurer provides historical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Engineer time (batch processing + model tuning)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£8,000–£15,000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resource or contractor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Legal (IP agreement, data processing agreement)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£2,000–£4,000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 DPA and IP assignment for validation partnership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(academic route)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£30,000–£59,000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Lower cost; 12–18 month credibility build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(commercial route)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£55,000–£114,000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Higher cost; faster insurer sales cycle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Using the Study Results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Publish an executive summary of the validation findings on the Mintenance website — gated behind a business email form. This generates warm inbound from insurer innovation teams.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Brief 3 tier-2 insurers (NFU Mutual, Hastings Direct, Ageas) with the full report. Target: a paid 6-month pilot on sub-£5,000 domestic claims.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Submit findings to Insurance Age, Post Magazine, and Insurtech Insights — trade press coverage amplifies credibility.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Apply for CILA (Chartered Institute of Loss Adjusters) associate member or technology partner status — opens procurement relationships.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60"/>
        <w:gridCol w:w="1160"/>
        <w:gridCol w:w="47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Cannot source 500 historical claims with photos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Approach 2–3 loss adjusting firms (Crawford, McLarens) as data partners. Offer anonymised findings report in exchange for data access.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MintAI concordance rate below acceptance threshold (&lt;80%)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Study design should include a 'failure mode analysis' — identify which claim types need model improvement. Use findings to prioritise retraining rather than treating as failure.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Independent partner takes longer than 6 months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buffer into commercial agreements. Use academic route (faster iteration) if commercial partners prove slow.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Insurer data privacy requirements block dataset use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Engage DPO early. Structure as anonymised secondary research. ICO guidance on insurance data analytics is well-established.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7"/>
                <w:sz w:val="30"/>
                <w:szCs w:val="30"/>
              </w:rPr>
              <w:t xml:space="preserve">Engage ARLA Propertymark &amp; RICS as Technology Partners</w:t>
            </w:r>
          </w:p>
          <w:p>
            <w:r>
              <w:rPr>
                <w:rFonts w:ascii="Arial" w:cs="Arial" w:eastAsia="Arial" w:hAnsi="Arial"/>
                <w:i/>
                <w:iCs/>
                <w:color w:val="323F5A"/>
                <w:sz w:val="20"/>
                <w:szCs w:val="20"/>
              </w:rPr>
              <w:t xml:space="preserve">Distribution multipliers — open doors to thousands of professional members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Why This Is Step 4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ARLA Propertymark is the UK's largest professional body for letting agents, with 17,500+ members. RICS (Royal Institution of Chartered Surveyors) is the global standard-setting body for property professionals, with 134,000 qualified members in the UK. A technology partnership with either body does not just add credibility — it adds distribution. ARLA members trust ARLA-endorsed tools. A mention in the ARLA newsletter reaches more letting agents than a year of cold outreach. The goal of this step is not a commercial deal immediately — it is to open a dialogue, understand their technology partnership frameworks, and position Mintenance as the obvious property maintenance technology choice for their members.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32"/>
                <w:szCs w:val="32"/>
              </w:rPr>
              <w:t xml:space="preserve">17,500+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23F5A"/>
                <w:sz w:val="18"/>
                <w:szCs w:val="18"/>
              </w:rPr>
              <w:t xml:space="preserve">ARLA Propertymark members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32"/>
                <w:szCs w:val="32"/>
              </w:rPr>
              <w:t xml:space="preserve">134,000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23F5A"/>
                <w:sz w:val="18"/>
                <w:szCs w:val="18"/>
              </w:rPr>
              <w:t xml:space="preserve">RICS qualified members (UK)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32"/>
                <w:szCs w:val="32"/>
              </w:rPr>
              <w:t xml:space="preserve">£0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23F5A"/>
                <w:sz w:val="18"/>
                <w:szCs w:val="18"/>
              </w:rPr>
              <w:t xml:space="preserve">Cost of initial partnership conversations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32"/>
                <w:szCs w:val="32"/>
              </w:rPr>
              <w:t xml:space="preserve">100×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23F5A"/>
                <w:sz w:val="18"/>
                <w:szCs w:val="18"/>
              </w:rPr>
              <w:t xml:space="preserve">Distribution multiplier vs. direct sales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ARLA Propertymark — Strategy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What They Care About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Supporting member businesses with tools that reduce compliance risk (Renters' Rights Bill is dominating member conversations in 2026)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Revenue from technology partners (ARLA runs a supplier directory and partner programme — Mintenance would pay a listing or referral fee)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Demonstrating value to members — ARLA's primary function is member retention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Partnership Tiers to Propose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500"/>
        <w:gridCol w:w="31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Mintenance Gets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ARLA Gets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to Mintenance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Supplier Directory Listing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Listed on ARLA's preferred suppliers page; member trust signal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Annual listing fee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£1,200–£2,400/yr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Technology Partner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ARLA newsletter mention; co-branded 'ARLA member discount' landing page; joint webinar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 share on member sign-ups (5–10%)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 share + webinar hosting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Preferred Technology Partner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Exclusive category; ARLA conference presence; co-branded marketing materials; CPD credit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 share + conference sponsorship fee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£8,000–£15,000/yr + rev share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Outreach Approach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Identify the ARLA Head of Technology Partnerships and the ARLA Supplier Manager. LinkedIn connection + personalised message referencing the Renters' Rights Bill compliance angle.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Draft a 2-page 'Partnership Brief' — what Mintenance does, the specific problem it solves for ARLA members, why now (Renters' Rights Bill), and the proposed partnership structure.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Request a 30-minute introductory call. Objective: understand their partnership framework, timeline, and decision-making process.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If positive: prepare a formal proposal document with co-marketing plan and revenue share terms.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RICS — Strategy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What They Care About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Protecting the value of RICS qualifications — AI property tools must be positioned as complementary to, not competitive with, RICS surveyors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Innovation partnerships with PropTech companies (RICS has a formal programme: RICS Futures and the RICS PropTech Initiative)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Improving consumer access to property information — a stated RICS policy goal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Key Framing for RICS Conversations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RICS will NOT partner with a product that claims to replace RICS surveys. The MintAI report must always be positioned as 'pre-survey intelligence' or 'informed buyer tool' — not 'AI survey'. Every communication with RICS must reinforce that MintAI reports recommend a full RICS survey when issues are identified. This is also commercially smart: RICS surveyors are the upsell.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Partnership to Propose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RICS PropTech Innovation Programme: Mintenance applies as a participating company. Benefits: RICS network access, potential co-marketing, credibility signal.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AI Condition Report → RICS Surveyor referral scheme: Mintenance reports that flag significant issues automatically recommend a RICS HomeBuyer Report, with a RICS member directory link. RICS members gain referrals; Mintenance gains RICS endorsement.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Potential: RICS-accredited training module for MintAI — 'Understanding AI Property Assessment' CPD credit for RICS members. Positions Mintenance as the AI standard in property.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13"/>
        <w:gridCol w:w="413"/>
        <w:gridCol w:w="413"/>
        <w:gridCol w:w="413"/>
        <w:gridCol w:w="413"/>
        <w:gridCol w:w="413"/>
        <w:gridCol w:w="413"/>
        <w:gridCol w:w="413"/>
        <w:gridCol w:w="413"/>
        <w:gridCol w:w="413"/>
        <w:gridCol w:w="413"/>
        <w:gridCol w:w="413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W1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W2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W3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W4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W5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W6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W7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W8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W9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W10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W11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Research ARLA partner programme structure; identify decision-maker contact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Founder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Draft ARLA Partnership Brief (2-page)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Founder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Send ARLA outreach + request introductory call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Founder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ARLA introductory call (target: Week 4–5)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Founder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Research RICS PropTech programme; draft framing document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Founder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Send RICS outreach (Head of Innovation or PropTech Lead)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Founder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RICS introductory call (target: Week 7–8)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Founder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ARLA: negotiate and sign Supplier Directory or Partner agreement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Founder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RICS: apply to PropTech Innovation Programme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Founder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Launch ARLA member discount page (co-branded)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Marketing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Joint ARLA webinar: 'Compliance-ready maintenance in 2026'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23F5A"/>
                <w:sz w:val="19"/>
                <w:szCs w:val="19"/>
              </w:rPr>
              <w:t xml:space="preserve">Founder</w:t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▪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60"/>
        <w:gridCol w:w="1160"/>
        <w:gridCol w:w="47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ARLA partnership process takes longer than expected (6+ months)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Lower tier (Supplier Directory listing) can be live within 4 weeks. Start there, upgrade later.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RICS views AI reports as competitive threat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all RICS conversations with the referral angle. Position as RICS amplifier, not alternative. Bring data: 65% of buyers currently don't get any survey — AI reports grow the total market.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Partnership fee exceeds budget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with free options (RICS PropTech Programme application is free). ARLA Supplier Directory is low cost. No significant budget risk.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30"/>
                <w:szCs w:val="30"/>
              </w:rPr>
              <w:t xml:space="preserve">Review NHBC &amp; Premier Guarantee Warranty Programme Structures</w:t>
            </w:r>
          </w:p>
          <w:p>
            <w:r>
              <w:rPr>
                <w:rFonts w:ascii="Arial" w:cs="Arial" w:eastAsia="Arial" w:hAnsi="Arial"/>
                <w:i/>
                <w:iCs/>
                <w:color w:val="323F5A"/>
                <w:sz w:val="20"/>
                <w:szCs w:val="20"/>
              </w:rPr>
              <w:t xml:space="preserve">4-week intelligence-gathering exercise — positions Mintenance for the snagging vertical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Why This Is Step 5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new-build snagging market is a £210M+ opportunity with no dominant digital player. But the route into the market runs through NHBC (National House-Building Council) and Premier Guarantee — the two bodies that underwrite the majority of UK new-build warranties. They interact with both developers (who need to manage defect claims efficiently) and homebuyers (who need to understand their warranty rights). A technology partnership with either would provide Mintenance with data licensing opportunities, developer introductions, and consumer credibility. This step is a research and relationship-opening exercise — not a commercial negotiation at this stage.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NHBC CONTEXT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NHBC insures approximately 80% of UK new-builds. In 2024/25, NHBC received 130,000+ warranty claims from new homeowners. Their current tooling for defect management is paper and phone-based for most claims under £10,000. Mintenance's digital workflow (photo submission → AI classification → contractor dispatch → verified completion) is a direct solution to NHBC's operational pain.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What Needs to Be Understood (Research Objectives)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About NHBC Buildmark Warranty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What are the warranty claim submission requirements? (What evidence does NHBC require from a homeowner when filing a claim?)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What is NHBC's process for validating and approving a warranty claim? (Who authorises the repair? How is a contractor selected?)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Does NHBC have an approved contractor panel? (If yes, can Mintenance contractors join it?)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What is NHBC's current technology stack for claim management? (Is there an API or integration opportunity?)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What does a 'Buildmark accepted defect' look like in terms of data format and categorisation? (Maps directly to YOLO class training opportunity)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About Developer Warranty Obligations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How do developers currently manage the 2-year builder warranty period internally? (Internal team? Outsourced? Software tool?)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What is the typical cost per warranty claim for a mid-size housebuilder (500–2,000 homes/year)?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Are there standardised defect categorisation systems used by developers? (Would Mintenance's 71 YOLO classes map to these?)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What are the biggest operational pain points in developer warranty management? (Volume, evidence disputes, contractor quality, repeat defects?)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Research Methods (4-Week Plan)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200"/>
        <w:gridCol w:w="2160"/>
        <w:gridCol w:w="14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all public NHBC documentation: Buildmark warranty T&amp;Cs, claims process guide, developer guidance, NHBC annual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Desk research — NHBC website, Companies House, industry publications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Founder or researcher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1–2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Premier Guarantee and LABC warranty equivalents for comparison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Desk research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Founder or researcher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Identify 3–5 NHBC or developer contacts via LinkedIn. Target: NHBC Head of Claims, developer Customer Care Directors at top 5 housebuilders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LinkedIn + industry events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2–3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Conduct 3–5 discovery interviews with developer Customer Care managers: 'How do you manage warranty claims today? What's most painful?'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call — 30 min each, structured interview script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Reach out to NHBC Innovation team — initial contact to understand partnership and technology licensing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Email/LinkedIn outreach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Synthesise findings into a 'Snagging Market Intelligence Brief' — informs product spec for Gap 03 and prepares Mintenance for partnership conversations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document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Founder + Product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What a Good Outcome Looks Like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Minimum (4 weeks)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Full understanding of NHBC claim data format and categorisation — feeds into YOLO class extension planning for interior defects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3+ developer customer care manager conversations completed — confirms pain points and willingness to pilot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NHBC Innovation team contact established — introductory call scheduled for Month 2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Stretch (3 months)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NHBC data licensing discussion underway — access to historical defect photo data for model training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One housebuilder (top-20 UK developer) agrees to a snagging platform pilot on a specific site or development phase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Mintenance contractors added to developer's preferred snagging contractor panel for one region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Low-Effort Quick Win: Consumer Snagging Report Launch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Independently of the NHBC relationship, the fastest way to enter the snagging market is to launch a consumer-facing 'New Home Snagging Report' product. This requires minimal build (uses the same /report infrastructure as Step 1) and generates organic demand that creates leverage in subsequent developer and NHBC conversations.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URL: mintenance.co.uk/snag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Pricing: £49 (same as Pre-Sale Report, different framing)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Differentiation: snagging-specific prompt engineering — MintAI asked to focus on finish quality, jointery, tiling, HVAC commissioning, plasterboard rather than structural defects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SEO target: 'new build snagging report', 'NHBC warranty claim help', 'new home defects' — high intent, low competition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Launch timeline: can follow Step 1 launch by 4 weeks with minimal additional build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60"/>
        <w:gridCol w:w="1160"/>
        <w:gridCol w:w="47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NHBC not interested in external technology partnerships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NHBC has a formal innovation programme (NHBC Foundation). If the central team is unresponsive, approach via regional offices or through developer introductions.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Developer customer care contacts decline interviews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Position as independent market research, not a sales call. Offer to share anonymised findings. Most practitioners enjoy talking about their industry.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Snagging market dominated by specialist apps (SnagR, Buildbug) before Mintenance can enter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Mintenance's AI differentiation (automated defect classification + cost estimation) is not offered by any current snagging app. The competitive moat is clear — the risk is speed of execution.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Master Timeline &amp; Resource Summary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following view shows all five steps running in parallel across a 12-week horizon, with resource requirements and interdependencies highlighted.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12-Week Parallel Execution View</w:t>
      </w:r>
    </w:p>
    <w:p>
      <w:pPr>
        <w:spacing w:after="120" w:before="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93"/>
        <w:gridCol w:w="1393"/>
        <w:gridCol w:w="1393"/>
        <w:gridCol w:w="1393"/>
        <w:gridCol w:w="1394"/>
        <w:gridCol w:w="1394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Weeks 1–2</w:t>
            </w:r>
          </w:p>
        </w:tc>
        <w:tc>
          <w:tcPr>
            <w:tcW w:type="dxa" w:w="1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Weeks 3–4</w:t>
            </w:r>
          </w:p>
        </w:tc>
        <w:tc>
          <w:tcPr>
            <w:tcW w:type="dxa" w:w="1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Weeks 5–6</w:t>
            </w:r>
          </w:p>
        </w:tc>
        <w:tc>
          <w:tcPr>
            <w:tcW w:type="dxa" w:w="1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Weeks 7–8</w:t>
            </w:r>
          </w:p>
        </w:tc>
        <w:tc>
          <w:tcPr>
            <w:tcW w:type="dxa" w:w="1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Weeks 9–10</w:t>
            </w:r>
          </w:p>
        </w:tc>
        <w:tc>
          <w:tcPr>
            <w:tcW w:type="dxa" w:w="1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Weeks 11–12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01 Pre-Sale Report</w:t>
            </w:r>
          </w:p>
        </w:tc>
        <w:tc>
          <w:tcPr>
            <w:tcW w:type="dxa" w:w="1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 + Stripe</w:t>
            </w:r>
          </w:p>
        </w:tc>
        <w:tc>
          <w:tcPr>
            <w:tcW w:type="dxa" w:w="1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PDF + route</w:t>
            </w:r>
          </w:p>
        </w:tc>
        <w:tc>
          <w:tcPr>
            <w:tcW w:type="dxa" w:w="1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QA</w:t>
            </w:r>
          </w:p>
        </w:tc>
        <w:tc>
          <w:tcPr>
            <w:tcW w:type="dxa" w:w="1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Beta launch</w:t>
            </w:r>
          </w:p>
        </w:tc>
        <w:tc>
          <w:tcPr>
            <w:tcW w:type="dxa" w:w="1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Iterate + SEO</w:t>
            </w:r>
          </w:p>
        </w:tc>
        <w:tc>
          <w:tcPr>
            <w:tcW w:type="dxa" w:w="1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02 Letting Agents</w:t>
            </w:r>
          </w:p>
        </w:tc>
        <w:tc>
          <w:tcPr>
            <w:tcW w:type="dxa" w:w="1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Agency outreach</w:t>
            </w:r>
          </w:p>
        </w:tc>
        <w:tc>
          <w:tcPr>
            <w:tcW w:type="dxa" w:w="1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 3 POC agencies</w:t>
            </w:r>
          </w:p>
        </w:tc>
        <w:tc>
          <w:tcPr>
            <w:tcW w:type="dxa" w:w="1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tenant portal</w:t>
            </w:r>
          </w:p>
        </w:tc>
        <w:tc>
          <w:tcPr>
            <w:tcW w:type="dxa" w:w="1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agent workflow</w:t>
            </w:r>
          </w:p>
        </w:tc>
        <w:tc>
          <w:tcPr>
            <w:tcW w:type="dxa" w:w="1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POC live (3 agencies)</w:t>
            </w:r>
          </w:p>
        </w:tc>
        <w:tc>
          <w:tcPr>
            <w:tcW w:type="dxa" w:w="1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Conversion conversations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03 AI Validation</w:t>
            </w:r>
          </w:p>
        </w:tc>
        <w:tc>
          <w:tcPr>
            <w:tcW w:type="dxa" w:w="1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Identify partner</w:t>
            </w:r>
          </w:p>
        </w:tc>
        <w:tc>
          <w:tcPr>
            <w:tcW w:type="dxa" w:w="1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Negotiate + sign</w:t>
            </w:r>
          </w:p>
        </w:tc>
        <w:tc>
          <w:tcPr>
            <w:tcW w:type="dxa" w:w="1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 dataset</w:t>
            </w:r>
          </w:p>
        </w:tc>
        <w:tc>
          <w:tcPr>
            <w:tcW w:type="dxa" w:w="1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04 ARLA/RICS</w:t>
            </w:r>
          </w:p>
        </w:tc>
        <w:tc>
          <w:tcPr>
            <w:tcW w:type="dxa" w:w="1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Research + drafts</w:t>
            </w:r>
          </w:p>
        </w:tc>
        <w:tc>
          <w:tcPr>
            <w:tcW w:type="dxa" w:w="1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outreach</w:t>
            </w:r>
          </w:p>
        </w:tc>
        <w:tc>
          <w:tcPr>
            <w:tcW w:type="dxa" w:w="1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Intro calls</w:t>
            </w:r>
          </w:p>
        </w:tc>
        <w:tc>
          <w:tcPr>
            <w:tcW w:type="dxa" w:w="1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Negotiation</w:t>
            </w:r>
          </w:p>
        </w:tc>
        <w:tc>
          <w:tcPr>
            <w:tcW w:type="dxa" w:w="1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 agreements</w:t>
            </w:r>
          </w:p>
        </w:tc>
        <w:tc>
          <w:tcPr>
            <w:tcW w:type="dxa" w:w="1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Webinar +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05 NHBC/Snagging</w:t>
            </w:r>
          </w:p>
        </w:tc>
        <w:tc>
          <w:tcPr>
            <w:tcW w:type="dxa" w:w="1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Desk research</w:t>
            </w:r>
          </w:p>
        </w:tc>
        <w:tc>
          <w:tcPr>
            <w:tcW w:type="dxa" w:w="1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Developer interviews</w:t>
            </w:r>
          </w:p>
        </w:tc>
        <w:tc>
          <w:tcPr>
            <w:tcW w:type="dxa" w:w="1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NHBC outreach</w:t>
            </w:r>
          </w:p>
        </w:tc>
        <w:tc>
          <w:tcPr>
            <w:tcW w:type="dxa" w:w="1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Synthesise findings</w:t>
            </w:r>
          </w:p>
        </w:tc>
        <w:tc>
          <w:tcPr>
            <w:tcW w:type="dxa" w:w="1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Consumer snag launch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Resource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Hours/Week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Steps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Founder (Gloire)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10–15 hrs/wk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02, 04, 05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Agency outreach, partnership conversations, strategy decisions — cannot be delegated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Senior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30–40 hrs/wk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01, 02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Full-time on product build for Steps 1 and 2 for first 8 weeks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AI/ML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15–20 hrs/wk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01, 03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 PDF population (Step 1); dataset prep and batch run (Step 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hrs 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/report landing page, PDF template — concentrated in Weeks 2–4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External: Validation Partner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Negotiated in Month 1; active in Months 2–6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External: Legal (DPA)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hrs 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processing agreement for validation study dataset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Budget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Internal Cost (Est.)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External Cost (Est.)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01 Pre-Sale 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£8,000 (engineer + designer time)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£500 (Google Ads test)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£8,500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02 Letting Agent POC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£12,000 (engineer time, 6 weeks)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£12,000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03 AI Validation Study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£8,000–£15,000 (AI engineer time)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£30,000–£59,000 (academic) or £55,000–£114,000 (commercial)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£38,000–£74,000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04 ARLA/RICS Partnerships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£2,000 (founder time)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£1,200–£15,000 (membership/listing fees)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£3,200–£17,000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05 NHBC Research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£1,500 (founder time)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£1,500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(academic route)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£31,500–£38,500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£31,700–£74,500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£63,200–£113,000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Interdependencies &amp; Critical Path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Step 1 (Pre-Sale Report) and Step 2 (Letting Agents) are independent — they can run fully in parallel from Day 1.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Step 3 (AI Validation) must begin in Month 1 to be complete within 6 months. Every month of delay pushes the insurance vertical by one month.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Step 4 (ARLA/RICS) feeds Step 2 — ARLA partnership amplifies the letting agent sales channel. However, the letting agent POC should not wait for ARLA partnership; begin the POC directly and use ARLA as a scale-up tool.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Step 5 (NHBC Research) feeds the product specification for the consumer Snagging Report. Ideally, the NHBC research findings inform the snagging-specific prompt engineering before the consumer product launches. Target: consumer snag launch at Week 12.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Closing: The 90-Day Commitment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Executing all five steps in parallel over 12 weeks is achievable with the right focus and a clear division of responsibilities. The founder's time is the scarcest resource — the table below maps the weekly decision points that require founder attention only, so that engineering and external work can proceed unblocked.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3F5A"/>
          <w:sz w:val="28"/>
          <w:szCs w:val="28"/>
        </w:rPr>
        <w:t xml:space="preserve">Founder's Weekly Decision Commitments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800"/>
        <w:gridCol w:w="4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 / Action 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Kick off Step 1 design sprint with engineer; send 20 agency outreach messages; begin ARLA research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01, 02, 04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/report landing page design; attend property networking event; send ARLA partnership brief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01, 02, 04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 off on PDF report template; conduct first agency screening calls; send RICS outreach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01, 02, 04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Beta pricing decision (£35 or £49 launch price?); sign 3 agency POC agreements; complete NHBC desk research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01, 02, 05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ARLA introductory call; begin developer customer care interviews; review AI validation partner proposals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03, 04, 05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QA sign-off on first 20 Pre-Sale Reports; sign AI validation partnership agreement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01, 03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 beta launch (50 users); RICS introductory call; agency onboarding support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01, 02, 04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/report launch approval; ARLA negotiation; synthesise NHBC research findings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01, 04, 05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Weeks 9–10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Agency POC review call; ARLA agreement signing; review AI dataset prep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02, 03, 04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hours/week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Weeks 11–12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Agency conversion conversations; RICS PropTech application; consumer snagging launch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02, 04, 05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hours/week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PRINCIPLE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These five steps are not side projects — they are the company's primary growth engine for 2026. Steps 1 and 2 generate near-term revenue. Steps 3, 4, and 5 build the credibility and relationships that unlock the highest-value verticals. Done in parallel, they compound: a validated AI (Step 3) makes the Pre-Sale Report (Step 1) more credible; an ARLA partnership (Step 4) amplifies the letting agent POC (Step 2); the NHBC research (Step 5) shapes the snagging product that becomes a third revenue stream by Q4 2026.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D0EEEE" w:sz="4" w:space="1"/>
        </w:pBdr>
        <w:spacing w:after="120" w:before="12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323F5A"/>
          <w:sz w:val="22"/>
          <w:szCs w:val="22"/>
        </w:rPr>
        <w:t xml:space="preserve">MINTENANCE TECHNOLOGIES LTD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23F5A"/>
          <w:sz w:val="20"/>
          <w:szCs w:val="20"/>
        </w:rPr>
        <w:t xml:space="preserve">Immediate Next Steps Execution Plan  |  March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gloire@mintenance.co.uk  |  Confidential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EEEE" w:sz="4" w:space="1"/>
      </w:pBdr>
      <w:spacing w:after="0" w:before="0"/>
    </w:pPr>
    <w:r>
      <w:rPr>
        <w:rFonts w:ascii="Arial" w:cs="Arial" w:eastAsia="Arial" w:hAnsi="Arial"/>
        <w:color w:val="323F5A"/>
        <w:sz w:val="16"/>
        <w:szCs w:val="16"/>
      </w:rPr>
      <w:t xml:space="preserve">Mintenance Technologies Ltd  |  Page </w:t>
    </w:r>
    <w:r>
      <w:rPr>
        <w:rFonts w:ascii="Arial" w:cs="Arial" w:eastAsia="Arial" w:hAnsi="Arial"/>
        <w:color w:val="323F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23F5A"/>
        <w:sz w:val="16"/>
        <w:szCs w:val="16"/>
      </w:rPr>
      <w:t xml:space="preserve"> of </w:t>
    </w:r>
    <w:r>
      <w:rPr>
        <w:rFonts w:ascii="Arial" w:cs="Arial" w:eastAsia="Arial" w:hAnsi="Arial"/>
        <w:color w:val="323F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EEEE" w:sz="4" w:space="1"/>
      </w:pBdr>
      <w:spacing w:after="0" w:before="0"/>
    </w:pPr>
    <w:r>
      <w:rPr>
        <w:rFonts w:ascii="Arial" w:cs="Arial" w:eastAsia="Arial" w:hAnsi="Arial"/>
        <w:b/>
        <w:bCs/>
        <w:color w:val="0D7377"/>
        <w:sz w:val="18"/>
        <w:szCs w:val="18"/>
      </w:rPr>
      <w:t xml:space="preserve">MINTENANCE </w:t>
    </w:r>
    <w:r>
      <w:rPr>
        <w:rFonts w:ascii="Arial" w:cs="Arial" w:eastAsia="Arial" w:hAnsi="Arial"/>
        <w:color w:val="323F5A"/>
        <w:sz w:val="18"/>
        <w:szCs w:val="18"/>
      </w:rPr>
      <w:t xml:space="preserve"> | Immediate Next Steps Execution Plan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23F5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D73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2026-03-13T03:15:50.660Z</dcterms:created>
  <dcterms:modified xsi:type="dcterms:W3CDTF">2026-03-13T03:15:50.661Z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