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i w:val="false"/>
          <w:iCs w:val="false"/>
          <w:color w:val="1B2A4A"/>
          <w:sz w:val="56"/>
          <w:szCs w:val="56"/>
        </w:rPr>
        <w:t xml:space="preserve">MINTENANCE</w:t>
      </w:r>
    </w:p>
    <w:p>
      <w:pPr>
        <w:spacing w:after="0" w:before="120"/>
        <w:jc w:val="center"/>
      </w:pPr>
      <w:r>
        <w:rPr>
          <w:rFonts w:ascii="Arial" w:cs="Arial" w:eastAsia="Arial" w:hAnsi="Arial"/>
          <w:b/>
          <w:bCs/>
          <w:i w:val="false"/>
          <w:iCs w:val="false"/>
          <w:color w:val="0E7490"/>
          <w:sz w:val="40"/>
          <w:szCs w:val="40"/>
        </w:rPr>
        <w:t xml:space="preserve">Business Technical Review</w:t>
      </w:r>
    </w:p>
    <w:p>
      <w:pPr>
        <w:spacing w:after="0" w:before="60"/>
        <w:jc w:val="center"/>
      </w:pPr>
      <w:r>
        <w:rPr>
          <w:rFonts w:ascii="Arial" w:cs="Arial" w:eastAsia="Arial" w:hAnsi="Arial"/>
          <w:b w:val="false"/>
          <w:bCs w:val="false"/>
          <w:i/>
          <w:iCs/>
          <w:color w:val="64748B"/>
          <w:sz w:val="28"/>
          <w:szCs w:val="28"/>
        </w:rPr>
        <w:t xml:space="preserve">For Investor &amp; Board Presentation</w:t>
      </w:r>
    </w:p>
    <w:p>
      <w:pPr>
        <w:spacing w:after="0" w:before="360"/>
      </w:pPr>
      <w:r>
        <w:rPr>
          <w:rFonts w:ascii="Arial" w:cs="Arial" w:eastAsia="Arial" w:hAnsi="Arial"/>
          <w:b w:val="false"/>
          <w:bCs w:val="false"/>
          <w:i w:val="false"/>
          <w:iCs w:val="false"/>
          <w:color w:val="1E293B"/>
          <w:sz w:val="22"/>
          <w:szCs w:val="22"/>
        </w:rPr>
        <w:t xml:space="preserve"/>
      </w:r>
    </w:p>
    <w:p>
      <w:pPr>
        <w:jc w:val="center"/>
      </w:pPr>
      <w:r>
        <w:rPr>
          <w:rFonts w:ascii="Arial" w:cs="Arial" w:eastAsia="Arial" w:hAnsi="Arial"/>
          <w:b w:val="false"/>
          <w:bCs w:val="false"/>
          <w:i w:val="false"/>
          <w:iCs w:val="false"/>
          <w:color w:val="64748B"/>
          <w:sz w:val="22"/>
          <w:szCs w:val="22"/>
        </w:rPr>
        <w:t xml:space="preserve">Prepared by:</w:t>
      </w:r>
    </w:p>
    <w:p>
      <w:pPr>
        <w:jc w:val="center"/>
      </w:pPr>
      <w:r>
        <w:rPr>
          <w:rFonts w:ascii="Arial" w:cs="Arial" w:eastAsia="Arial" w:hAnsi="Arial"/>
          <w:b/>
          <w:bCs/>
          <w:i w:val="false"/>
          <w:iCs w:val="false"/>
          <w:color w:val="1B2A4A"/>
          <w:sz w:val="24"/>
          <w:szCs w:val="24"/>
        </w:rPr>
        <w:t xml:space="preserve">Mintenance Engineering Team</w:t>
      </w:r>
    </w:p>
    <w:p>
      <w:pPr>
        <w:jc w:val="center"/>
      </w:pPr>
      <w:r>
        <w:rPr>
          <w:rFonts w:ascii="Arial" w:cs="Arial" w:eastAsia="Arial" w:hAnsi="Arial"/>
          <w:b w:val="false"/>
          <w:bCs w:val="false"/>
          <w:i w:val="false"/>
          <w:iCs w:val="false"/>
          <w:color w:val="0E7490"/>
          <w:sz w:val="22"/>
          <w:szCs w:val="22"/>
        </w:rPr>
        <w:t xml:space="preserve">gloire@mintenance.co.uk</w:t>
      </w:r>
    </w:p>
    <w:p>
      <w:pPr>
        <w:spacing w:after="0" w:before="180"/>
      </w:pPr>
      <w:r>
        <w:rPr>
          <w:rFonts w:ascii="Arial" w:cs="Arial" w:eastAsia="Arial" w:hAnsi="Arial"/>
          <w:b w:val="false"/>
          <w:bCs w:val="false"/>
          <w:i w:val="false"/>
          <w:iCs w:val="false"/>
          <w:color w:val="1E293B"/>
          <w:sz w:val="22"/>
          <w:szCs w:val="22"/>
        </w:rPr>
        <w:t xml:space="preserve"/>
      </w:r>
    </w:p>
    <w:p>
      <w:pPr>
        <w:jc w:val="center"/>
      </w:pPr>
      <w:r>
        <w:rPr>
          <w:rFonts w:ascii="Arial" w:cs="Arial" w:eastAsia="Arial" w:hAnsi="Arial"/>
          <w:b w:val="false"/>
          <w:bCs w:val="false"/>
          <w:i/>
          <w:iCs/>
          <w:color w:val="64748B"/>
          <w:sz w:val="22"/>
          <w:szCs w:val="22"/>
        </w:rPr>
        <w:t xml:space="preserve">February 2026  |  Confidential</w:t>
      </w:r>
    </w:p>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1. Executive Summary</w:t>
      </w:r>
    </w:p>
    <w:p>
      <w:pPr>
        <w:spacing w:after="80" w:before="80"/>
        <w:jc w:val="both"/>
      </w:pPr>
      <w:r>
        <w:rPr>
          <w:rFonts w:ascii="Arial" w:cs="Arial" w:eastAsia="Arial" w:hAnsi="Arial"/>
          <w:b w:val="false"/>
          <w:bCs w:val="false"/>
          <w:i w:val="false"/>
          <w:iCs w:val="false"/>
          <w:color w:val="1E293B"/>
          <w:sz w:val="22"/>
          <w:szCs w:val="22"/>
        </w:rPr>
        <w:t xml:space="preserve">Mintenance is a </w:t>
      </w:r>
      <w:r>
        <w:rPr>
          <w:rFonts w:ascii="Arial" w:cs="Arial" w:eastAsia="Arial" w:hAnsi="Arial"/>
          <w:b/>
          <w:bCs/>
          <w:i w:val="false"/>
          <w:iCs w:val="false"/>
          <w:color w:val="1E293B"/>
          <w:sz w:val="22"/>
          <w:szCs w:val="22"/>
        </w:rPr>
        <w:t xml:space="preserve">full-stack, AI-powered property maintenance marketplace</w:t>
      </w:r>
      <w:r>
        <w:rPr>
          <w:rFonts w:ascii="Arial" w:cs="Arial" w:eastAsia="Arial" w:hAnsi="Arial"/>
          <w:b w:val="false"/>
          <w:bCs w:val="false"/>
          <w:i w:val="false"/>
          <w:iCs w:val="false"/>
          <w:color w:val="1E293B"/>
          <w:sz w:val="22"/>
          <w:szCs w:val="22"/>
        </w:rPr>
        <w:t xml:space="preserve"> connecting homeowners with vetted contractors. The platform encompasses a Next.js web application, a React Native mobile app for iOS and Android, a Supabase PostgreSQL backend with row-level security, and a suite of AI/ML microservices — all housed within a single TypeScript monorepo.</w:t>
      </w:r>
    </w:p>
    <w:p>
      <w:pPr>
        <w:spacing w:after="0" w:before="80"/>
      </w:pPr>
      <w:r>
        <w:rPr>
          <w:rFonts w:ascii="Arial" w:cs="Arial" w:eastAsia="Arial" w:hAnsi="Arial"/>
          <w:b w:val="false"/>
          <w:bCs w:val="false"/>
          <w:i w:val="false"/>
          <w:iCs w:val="false"/>
          <w:color w:val="1E293B"/>
          <w:sz w:val="22"/>
          <w:szCs w:val="22"/>
        </w:rPr>
        <w:t xml:space="preserve"/>
      </w:r>
    </w:p>
    <w:p>
      <w:pPr>
        <w:spacing w:after="80" w:before="80"/>
        <w:jc w:val="both"/>
      </w:pPr>
      <w:r>
        <w:rPr>
          <w:rFonts w:ascii="Arial" w:cs="Arial" w:eastAsia="Arial" w:hAnsi="Arial"/>
          <w:b w:val="false"/>
          <w:bCs w:val="false"/>
          <w:i w:val="false"/>
          <w:iCs w:val="false"/>
          <w:color w:val="1E293B"/>
          <w:sz w:val="22"/>
          <w:szCs w:val="22"/>
        </w:rPr>
        <w:t xml:space="preserve">The engineering team has successfully delivered a </w:t>
      </w:r>
      <w:r>
        <w:rPr>
          <w:rFonts w:ascii="Arial" w:cs="Arial" w:eastAsia="Arial" w:hAnsi="Arial"/>
          <w:b/>
          <w:bCs/>
          <w:i w:val="false"/>
          <w:iCs w:val="false"/>
          <w:color w:val="1E293B"/>
          <w:sz w:val="22"/>
          <w:szCs w:val="22"/>
        </w:rPr>
        <w:t xml:space="preserve">production-quality, end-to-end digital marketplace</w:t>
      </w:r>
      <w:r>
        <w:rPr>
          <w:rFonts w:ascii="Arial" w:cs="Arial" w:eastAsia="Arial" w:hAnsi="Arial"/>
          <w:b w:val="false"/>
          <w:bCs w:val="false"/>
          <w:i w:val="false"/>
          <w:iCs w:val="false"/>
          <w:color w:val="1E293B"/>
          <w:sz w:val="22"/>
          <w:szCs w:val="22"/>
        </w:rPr>
        <w:t xml:space="preserve"> with sophisticated features including escrow-based payments, photo-verified job completion, AI-driven contractor matching, and building damage assessment. The codebase demonstrates strong architectural fundamentals while presenting clear, prioritised areas for improvement as the business scales.</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Overall Technical Health Scorecard</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200"/>
        <w:gridCol w:w="3660"/>
      </w:tblGrid>
      <w:tr>
        <w:trPr>
          <w:tblHeader/>
        </w:trPr>
        <w:tc>
          <w:tcPr>
            <w:tcW w:type="dxa" w:w="3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Dimension</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Score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Status</w:t>
            </w:r>
          </w:p>
        </w:tc>
        <w:tc>
          <w:tcPr>
            <w:tcW w:type="dxa" w:w="36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Key Finding</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Architecture &amp; Design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8/10</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Clean monorepo, well-separated concerns, modern stack</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Technology Stack</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9/10</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Next.js 16, React 19, TypeScript strict — industry-leading</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Feature Completeness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9/10</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End-to-end 11-phase job lifecycle fully implemented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AI/ML Capabilities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8/10</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Multiple AI services, image segmentation, cost controls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Security Posture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7/10</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RLS, CSRF, rate limiting, GDPR endpoints in place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Test Coverage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7/10</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96.2% web suites pass; 93.8% mobile pass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Code Quality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5/10</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Fair</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D+ grade (53/100); 17 large files, 56 remaining any types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Scalability Readiness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7/10</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Serverless on Vercel; Supabase connection pooling</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Mobile Strategy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8/10</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Expo managed, EAS builds, OTA updates, iOS &amp; Android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Technical Debt Risk</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5/10</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Fair</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247 routes need middleware migration; large service files</w:t>
            </w:r>
          </w:p>
        </w:tc>
      </w:tr>
    </w:tbl>
    <w:p>
      <w:pPr>
        <w:spacing w:after="0" w:before="120"/>
      </w:pPr>
      <w:r>
        <w:rPr>
          <w:rFonts w:ascii="Arial" w:cs="Arial" w:eastAsia="Arial" w:hAnsi="Arial"/>
          <w:b w:val="false"/>
          <w:bCs w:val="false"/>
          <w:i w:val="false"/>
          <w:iCs w:val="false"/>
          <w:color w:val="1E293B"/>
          <w:sz w:val="22"/>
          <w:szCs w:val="22"/>
        </w:rPr>
        <w:t xml:space="preserve"/>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Investment Thesis — Technology</w:t>
            </w:r>
          </w:p>
          <w:p>
            <w:pPr>
              <w:spacing w:after="0" w:before="0"/>
            </w:pPr>
            <w:r>
              <w:rPr>
                <w:rFonts w:ascii="Arial" w:cs="Arial" w:eastAsia="Arial" w:hAnsi="Arial"/>
                <w:b w:val="false"/>
                <w:bCs w:val="false"/>
                <w:i w:val="false"/>
                <w:iCs w:val="false"/>
                <w:color w:val="1E293B"/>
                <w:sz w:val="20"/>
                <w:szCs w:val="20"/>
              </w:rPr>
              <w:t xml:space="preserve">Mintenance has built a defensible technology platform in a market where most competitors use off-the-shelf tools. The AI-powered matching and photo-verified completion system create unique moats. The primary engineering priority is refactoring for long-term scalability rather than rebuilding — the foundational architecture is sound.</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2. Business Context &amp; Platform Overview</w:t>
      </w:r>
    </w:p>
    <w:p>
      <w:pPr>
        <w:pStyle w:val="Heading2"/>
        <w:spacing w:after="80" w:before="280"/>
      </w:pPr>
      <w:r>
        <w:rPr>
          <w:rFonts w:ascii="Arial" w:cs="Arial" w:eastAsia="Arial" w:hAnsi="Arial"/>
          <w:b/>
          <w:bCs/>
          <w:color w:val="0E7490"/>
          <w:sz w:val="26"/>
          <w:szCs w:val="26"/>
        </w:rPr>
        <w:t xml:space="preserve">2.1 What Mintenance Does</w:t>
      </w:r>
    </w:p>
    <w:p>
      <w:pPr>
        <w:spacing w:after="80" w:before="80"/>
        <w:jc w:val="both"/>
      </w:pPr>
      <w:r>
        <w:rPr>
          <w:rFonts w:ascii="Arial" w:cs="Arial" w:eastAsia="Arial" w:hAnsi="Arial"/>
          <w:color w:val="1E293B"/>
          <w:sz w:val="22"/>
          <w:szCs w:val="22"/>
        </w:rPr>
        <w:t xml:space="preserve">Mintenance is a two-sided marketplace for property maintenance — a sector largely underserved by technology. Homeowners post jobs (plumbing, electrical, roofing, etc.), receive competitive bids from nearby vetted contractors, and pay securely through an escrow system. Contractors gain a digital storefront, structured workflow, and guaranteed payment mechanism.</w:t>
      </w:r>
    </w:p>
    <w:p>
      <w:pPr>
        <w:spacing w:after="0" w:before="8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2.2 Three-Sided User Model</w:t>
      </w:r>
    </w:p>
    <w:p>
      <w:pPr>
        <w:spacing w:after="0" w:before="6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Homeowners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Post jobs, review bids, sign contracts, fund escrow, review completed work, release payment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Contractors</w:t>
            </w:r>
          </w:p>
        </w:tc>
        <w:tc>
          <w:tcPr>
            <w:tcW w:type="dxa" w:w="7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Discover jobs, submit competitive bids, start/complete jobs with photo evidence, receive escrow payments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Administrators</w:t>
            </w:r>
          </w:p>
        </w:tc>
        <w:tc>
          <w:tcPr>
            <w:tcW w:type="dxa" w:w="7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Platform oversight, user moderation, analytics, AI model monitoring, payment reconciliation</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2.3 Core Value Propositions</w:t>
      </w:r>
    </w:p>
    <w:p>
      <w:pPr>
        <w:pStyle w:val="ListParagraph"/>
        <w:numPr>
          <w:ilvl w:val="0"/>
          <w:numId w:val="2"/>
        </w:numPr>
        <w:spacing w:after="40" w:before="40"/>
      </w:pPr>
      <w:r>
        <w:rPr>
          <w:rFonts w:ascii="Arial" w:cs="Arial" w:eastAsia="Arial" w:hAnsi="Arial"/>
          <w:color w:val="1E293B"/>
          <w:sz w:val="22"/>
          <w:szCs w:val="22"/>
        </w:rPr>
        <w:t xml:space="preserve">Escrow-secured payments — contractors paid only after homeowner approval, reducing payment disputes</w:t>
      </w:r>
    </w:p>
    <w:p>
      <w:pPr>
        <w:pStyle w:val="ListParagraph"/>
        <w:numPr>
          <w:ilvl w:val="0"/>
          <w:numId w:val="2"/>
        </w:numPr>
        <w:spacing w:after="40" w:before="40"/>
      </w:pPr>
      <w:r>
        <w:rPr>
          <w:rFonts w:ascii="Arial" w:cs="Arial" w:eastAsia="Arial" w:hAnsi="Arial"/>
          <w:color w:val="1E293B"/>
          <w:sz w:val="22"/>
          <w:szCs w:val="22"/>
        </w:rPr>
        <w:t xml:space="preserve">Photo-verified job lifecycle — before/after photographic evidence with geolocation, eliminating 'job not done' fraud</w:t>
      </w:r>
    </w:p>
    <w:p>
      <w:pPr>
        <w:pStyle w:val="ListParagraph"/>
        <w:numPr>
          <w:ilvl w:val="0"/>
          <w:numId w:val="2"/>
        </w:numPr>
        <w:spacing w:after="40" w:before="40"/>
      </w:pPr>
      <w:r>
        <w:rPr>
          <w:rFonts w:ascii="Arial" w:cs="Arial" w:eastAsia="Arial" w:hAnsi="Arial"/>
          <w:color w:val="1E293B"/>
          <w:sz w:val="22"/>
          <w:szCs w:val="22"/>
        </w:rPr>
        <w:t xml:space="preserve">AI-powered matching — smart contractor discovery using ML embeddings and location scoring</w:t>
      </w:r>
    </w:p>
    <w:p>
      <w:pPr>
        <w:pStyle w:val="ListParagraph"/>
        <w:numPr>
          <w:ilvl w:val="0"/>
          <w:numId w:val="2"/>
        </w:numPr>
        <w:spacing w:after="40" w:before="40"/>
      </w:pPr>
      <w:r>
        <w:rPr>
          <w:rFonts w:ascii="Arial" w:cs="Arial" w:eastAsia="Arial" w:hAnsi="Arial"/>
          <w:color w:val="1E293B"/>
          <w:sz w:val="22"/>
          <w:szCs w:val="22"/>
        </w:rPr>
        <w:t xml:space="preserve">Digital contracting — both parties sign a binding digital contract before work begins</w:t>
      </w:r>
    </w:p>
    <w:p>
      <w:pPr>
        <w:pStyle w:val="ListParagraph"/>
        <w:numPr>
          <w:ilvl w:val="0"/>
          <w:numId w:val="2"/>
        </w:numPr>
        <w:spacing w:after="40" w:before="40"/>
      </w:pPr>
      <w:r>
        <w:rPr>
          <w:rFonts w:ascii="Arial" w:cs="Arial" w:eastAsia="Arial" w:hAnsi="Arial"/>
          <w:color w:val="1E293B"/>
          <w:sz w:val="22"/>
          <w:szCs w:val="22"/>
        </w:rPr>
        <w:t xml:space="preserve">7-day auto-release safety net — payment automatically releases if homeowner is unresponsive</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2.4 The 11-Phase Job Lifecycle</w:t>
      </w:r>
    </w:p>
    <w:p>
      <w:pPr>
        <w:spacing w:after="80" w:before="80"/>
        <w:jc w:val="both"/>
      </w:pPr>
      <w:r>
        <w:rPr>
          <w:rFonts w:ascii="Arial" w:cs="Arial" w:eastAsia="Arial" w:hAnsi="Arial"/>
          <w:color w:val="1E293B"/>
          <w:sz w:val="22"/>
          <w:szCs w:val="22"/>
        </w:rPr>
        <w:t xml:space="preserve">The platform enforces a structured, fraud-resistant workflow from job creation to payment release:</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Phase</w:t>
            </w:r>
          </w:p>
        </w:tc>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Status Trigger</w:t>
            </w:r>
          </w:p>
        </w:tc>
        <w:tc>
          <w:tcPr>
            <w:tcW w:type="dxa" w:w="65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Description</w:t>
            </w:r>
          </w:p>
        </w:tc>
      </w:tr>
      <w:tr>
        <w:trPr>
          <w:tblHeader w:val="false"/>
        </w:trP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posted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Homeowner creates job with title, description, category, budget range, and photos</w:t>
            </w:r>
          </w:p>
        </w:tc>
      </w:tr>
      <w:tr>
        <w:trPr>
          <w:tblHeader w:val="false"/>
        </w:trP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2</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posted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Nearby contractors receive notifications and submit bids with pricing and timeline</w:t>
            </w:r>
          </w:p>
        </w:tc>
      </w:tr>
      <w:tr>
        <w:trPr>
          <w:tblHeader w:val="false"/>
        </w:trP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3</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assigned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Homeowner accepts a bid; system auto-creates contract and message thread</w:t>
            </w:r>
          </w:p>
        </w:tc>
      </w:tr>
      <w:tr>
        <w:trPr>
          <w:tblHeader w:val="false"/>
        </w:trP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4</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assigned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Both parties digitally sign the contract before work proceeds</w:t>
            </w:r>
          </w:p>
        </w:tc>
      </w:tr>
      <w:tr>
        <w:trPr>
          <w:tblHeader w:val="false"/>
        </w:trP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5</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assigned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Homeowner funds Stripe escrow; contractor notified payment is secured</w:t>
            </w:r>
          </w:p>
        </w:tc>
      </w:tr>
      <w:tr>
        <w:trPr>
          <w:tblHeader w:val="false"/>
        </w:trP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6</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in_progress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Contractor uploads geo-verified before photos; Start Job button unlocked</w:t>
            </w:r>
          </w:p>
        </w:tc>
      </w:tr>
      <w:tr>
        <w:trPr>
          <w:tblHeader w:val="false"/>
        </w:trP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7</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in_progress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Physical work performed; real-time messaging throughout</w:t>
            </w:r>
          </w:p>
        </w:tc>
      </w:tr>
      <w:tr>
        <w:trPr>
          <w:tblHeader w:val="false"/>
        </w:trP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8</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completed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Contractor uploads after photos; completion auto-triggered</w:t>
            </w:r>
          </w:p>
        </w:tc>
      </w:tr>
      <w:tr>
        <w:trPr>
          <w:tblHeader w:val="false"/>
        </w:trP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9</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completed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Homeowner reviews before/after slider; approves or requests changes</w:t>
            </w:r>
          </w:p>
        </w:tc>
      </w:tr>
      <w:tr>
        <w:trPr>
          <w:tblHeader w:val="false"/>
        </w:trP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10</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released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Homeowner approval (or 7-day timeout) triggers Stripe transfer to contractor</w:t>
            </w:r>
          </w:p>
        </w:tc>
      </w:tr>
      <w:tr>
        <w:trPr>
          <w:tblHeader w:val="false"/>
        </w:trPr>
        <w:tc>
          <w:tcPr>
            <w:tcW w:type="dxa" w:w="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E7490"/>
                <w:sz w:val="20"/>
                <w:szCs w:val="20"/>
              </w:rPr>
              <w:t xml:space="preserve">11</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iCs/>
                <w:color w:val="64748B"/>
                <w:sz w:val="20"/>
                <w:szCs w:val="20"/>
              </w:rPr>
              <w:t xml:space="preserv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Both parties optionally leave star ratings and text reviews</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3. Technical Architecture</w:t>
      </w:r>
    </w:p>
    <w:p>
      <w:pPr>
        <w:pStyle w:val="Heading2"/>
        <w:spacing w:after="80" w:before="280"/>
      </w:pPr>
      <w:r>
        <w:rPr>
          <w:rFonts w:ascii="Arial" w:cs="Arial" w:eastAsia="Arial" w:hAnsi="Arial"/>
          <w:b/>
          <w:bCs/>
          <w:color w:val="0E7490"/>
          <w:sz w:val="26"/>
          <w:szCs w:val="26"/>
        </w:rPr>
        <w:t xml:space="preserve">3.1 Monorepo Structure</w:t>
      </w:r>
    </w:p>
    <w:p>
      <w:pPr>
        <w:spacing w:after="80" w:before="80"/>
        <w:jc w:val="both"/>
      </w:pPr>
      <w:r>
        <w:rPr>
          <w:rFonts w:ascii="Arial" w:cs="Arial" w:eastAsia="Arial" w:hAnsi="Arial"/>
          <w:color w:val="1E293B"/>
          <w:sz w:val="22"/>
          <w:szCs w:val="22"/>
        </w:rPr>
        <w:t xml:space="preserve">The codebase is organised as a Yarn workspaces monorepo with 2 application targets and 8 shared packages, enabling maximum code reuse between web and mobile while maintaining clear separation of concerns.</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apps/web</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Next.js 16 web application — homeowner, contractor, and admin portals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apps/mobile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React Native 0.81.5 / Expo 54 — iOS and Android apps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apps/sam2-video-service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Python video segmentation microservice (AI)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apps/sam3-service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SAM3 AI model microservice (image segmentation)</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packages/types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Shared TypeScript interfaces and enums across all apps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packages/shared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Utilities, constants, and helper functions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packages/shared-ui</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Reusable React component library (Button, Card, etc.)</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packages/ai-core</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Shared AI/ML inference logic and model abstractions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packages/auth</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Authentication logic shared across web and mobile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packages/security</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CSRF, rate limiting, and input validation utilities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packages/api-client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Type-safe HTTP client wrapper for API calls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packages/design-tokens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Design system tokens (colours, spacing, typography)</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3.2 Application Architecture Pattern</w:t>
      </w:r>
    </w:p>
    <w:p>
      <w:pPr>
        <w:spacing w:after="80" w:before="80"/>
        <w:jc w:val="both"/>
      </w:pPr>
      <w:r>
        <w:rPr>
          <w:rFonts w:ascii="Arial" w:cs="Arial" w:eastAsia="Arial" w:hAnsi="Arial"/>
          <w:color w:val="1E293B"/>
          <w:sz w:val="22"/>
          <w:szCs w:val="22"/>
        </w:rPr>
        <w:t xml:space="preserve">The web application follows a layered architecture within the Next.js App Router paradigm:</w:t>
      </w:r>
    </w:p>
    <w:p>
      <w:pPr>
        <w:spacing w:after="0" w:before="8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40" w:before="40"/>
      </w:pPr>
      <w:r>
        <w:rPr>
          <w:rFonts w:ascii="Arial" w:cs="Arial" w:eastAsia="Arial" w:hAnsi="Arial"/>
          <w:color w:val="1E293B"/>
          <w:sz w:val="22"/>
          <w:szCs w:val="22"/>
        </w:rPr>
        <w:t xml:space="preserve">Presentation Layer — 292 React components (Server and Client Components, Radix UI primitives, Tailwind CSS)</w:t>
      </w:r>
    </w:p>
    <w:p>
      <w:pPr>
        <w:pStyle w:val="ListParagraph"/>
        <w:numPr>
          <w:ilvl w:val="0"/>
          <w:numId w:val="2"/>
        </w:numPr>
        <w:spacing w:after="40" w:before="40"/>
      </w:pPr>
      <w:r>
        <w:rPr>
          <w:rFonts w:ascii="Arial" w:cs="Arial" w:eastAsia="Arial" w:hAnsi="Arial"/>
          <w:color w:val="1E293B"/>
          <w:sz w:val="22"/>
          <w:szCs w:val="22"/>
        </w:rPr>
        <w:t xml:space="preserve">API Layer — 310+ App Router route handlers (route.ts) with CSRF, JWT, and rate-limit middleware</w:t>
      </w:r>
    </w:p>
    <w:p>
      <w:pPr>
        <w:pStyle w:val="ListParagraph"/>
        <w:numPr>
          <w:ilvl w:val="0"/>
          <w:numId w:val="2"/>
        </w:numPr>
        <w:spacing w:after="40" w:before="40"/>
      </w:pPr>
      <w:r>
        <w:rPr>
          <w:rFonts w:ascii="Arial" w:cs="Arial" w:eastAsia="Arial" w:hAnsi="Arial"/>
          <w:color w:val="1E293B"/>
          <w:sz w:val="22"/>
          <w:szCs w:val="22"/>
        </w:rPr>
        <w:t xml:space="preserve">Service Layer — 325+ service files in /lib/services/ encapsulating all business logic</w:t>
      </w:r>
    </w:p>
    <w:p>
      <w:pPr>
        <w:pStyle w:val="ListParagraph"/>
        <w:numPr>
          <w:ilvl w:val="0"/>
          <w:numId w:val="2"/>
        </w:numPr>
        <w:spacing w:after="40" w:before="40"/>
      </w:pPr>
      <w:r>
        <w:rPr>
          <w:rFonts w:ascii="Arial" w:cs="Arial" w:eastAsia="Arial" w:hAnsi="Arial"/>
          <w:color w:val="1E293B"/>
          <w:sz w:val="22"/>
          <w:szCs w:val="22"/>
        </w:rPr>
        <w:t xml:space="preserve">Data Layer — Supabase PostgreSQL with 89 migrations, Row Level Security enforced at the database</w:t>
      </w:r>
    </w:p>
    <w:p>
      <w:pPr>
        <w:pStyle w:val="ListParagraph"/>
        <w:numPr>
          <w:ilvl w:val="0"/>
          <w:numId w:val="2"/>
        </w:numPr>
        <w:spacing w:after="40" w:before="40"/>
      </w:pPr>
      <w:r>
        <w:rPr>
          <w:rFonts w:ascii="Arial" w:cs="Arial" w:eastAsia="Arial" w:hAnsi="Arial"/>
          <w:color w:val="1E293B"/>
          <w:sz w:val="22"/>
          <w:szCs w:val="22"/>
        </w:rPr>
        <w:t xml:space="preserve">Real-time Layer — Supabase subscriptions for live notifications, job status updates, and messaging</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3.3 Database Design</w:t>
      </w:r>
    </w:p>
    <w:p>
      <w:pPr>
        <w:spacing w:after="80" w:before="80"/>
        <w:jc w:val="both"/>
      </w:pPr>
      <w:r>
        <w:rPr>
          <w:rFonts w:ascii="Arial" w:cs="Arial" w:eastAsia="Arial" w:hAnsi="Arial"/>
          <w:color w:val="1E293B"/>
          <w:sz w:val="22"/>
          <w:szCs w:val="22"/>
        </w:rPr>
        <w:t xml:space="preserve">The database uses PostgreSQL hosted on Supabase with 89 migration files, indicating a mature, incrementally-evolved schema. Key design principles include:</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Row Level Security (RLS)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All sensitive tables enforce RLS policies — users can only read/write their own data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UUID Primary Keys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All tables use UUID identifiers — compatible with distributed systems and future sharding</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Status State Machines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Job, bid, contract, and escrow tables use enum status columns with enforced transitions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Audit Trail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Dedicated audit_logs table captures all security-relevant events for compliance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Geospatial Support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Latitude/longitude columns with PostGIS extensions for location-based contractor discovery</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Feature Flags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feature_flags table enables gradual rollouts and A/B testing without deployments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AI Monitoring</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ai_monitoring and ai_cache tables track model decisions and reduce inference costs</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3.4 API Design</w:t>
      </w:r>
    </w:p>
    <w:p>
      <w:pPr>
        <w:spacing w:after="80" w:before="80"/>
        <w:jc w:val="both"/>
      </w:pPr>
      <w:r>
        <w:rPr>
          <w:rFonts w:ascii="Arial" w:cs="Arial" w:eastAsia="Arial" w:hAnsi="Arial"/>
          <w:b w:val="false"/>
          <w:bCs w:val="false"/>
          <w:i w:val="false"/>
          <w:iCs w:val="false"/>
          <w:color w:val="1E293B"/>
          <w:sz w:val="22"/>
          <w:szCs w:val="22"/>
        </w:rPr>
        <w:t xml:space="preserve">The platform exposes </w:t>
      </w:r>
      <w:r>
        <w:rPr>
          <w:rFonts w:ascii="Arial" w:cs="Arial" w:eastAsia="Arial" w:hAnsi="Arial"/>
          <w:b/>
          <w:bCs/>
          <w:i w:val="false"/>
          <w:iCs w:val="false"/>
          <w:color w:val="1E293B"/>
          <w:sz w:val="22"/>
          <w:szCs w:val="22"/>
        </w:rPr>
        <w:t xml:space="preserve">over 310 RESTful API endpoints</w:t>
      </w:r>
      <w:r>
        <w:rPr>
          <w:rFonts w:ascii="Arial" w:cs="Arial" w:eastAsia="Arial" w:hAnsi="Arial"/>
          <w:b w:val="false"/>
          <w:bCs w:val="false"/>
          <w:i w:val="false"/>
          <w:iCs w:val="false"/>
          <w:color w:val="1E293B"/>
          <w:sz w:val="22"/>
          <w:szCs w:val="22"/>
        </w:rPr>
        <w:t xml:space="preserve"> organised across 30+ domain groups. All routes are protected by a layered middleware stack: JWT authentication via Supabase, CSRF token validation, Upstash Redis rate limiting, and Zod schema validation on request bodies. An </w:t>
      </w:r>
      <w:r>
        <w:rPr>
          <w:rFonts w:ascii="Arial" w:cs="Arial" w:eastAsia="Arial" w:hAnsi="Arial"/>
          <w:b/>
          <w:bCs/>
          <w:i w:val="false"/>
          <w:iCs w:val="false"/>
          <w:color w:val="1E293B"/>
          <w:sz w:val="22"/>
          <w:szCs w:val="22"/>
        </w:rPr>
        <w:t xml:space="preserve">withApiHandler() middleware pattern</w:t>
      </w:r>
      <w:r>
        <w:rPr>
          <w:rFonts w:ascii="Arial" w:cs="Arial" w:eastAsia="Arial" w:hAnsi="Arial"/>
          <w:b w:val="false"/>
          <w:bCs w:val="false"/>
          <w:i w:val="false"/>
          <w:iCs w:val="false"/>
          <w:color w:val="1E293B"/>
          <w:sz w:val="22"/>
          <w:szCs w:val="22"/>
        </w:rPr>
        <w:t xml:space="preserve"> has been introduced to eliminate per-route boilerplate and enforce consistent error handling — currently adopted by 2 routes with ~247 remaining to migrate.</w:t>
      </w:r>
    </w:p>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4. Technology Stack Assessment</w:t>
      </w:r>
    </w:p>
    <w:p>
      <w:pPr>
        <w:spacing w:after="80" w:before="80"/>
        <w:jc w:val="both"/>
      </w:pPr>
      <w:r>
        <w:rPr>
          <w:rFonts w:ascii="Arial" w:cs="Arial" w:eastAsia="Arial" w:hAnsi="Arial"/>
          <w:color w:val="1E293B"/>
          <w:sz w:val="22"/>
          <w:szCs w:val="22"/>
        </w:rPr>
        <w:t xml:space="preserve">Mintenance has chosen a modern, well-supported, and cost-effective technology stack. Every major component is either open-source or a best-in-class SaaS service with strong ecosystems and Mintenance-appropriate pricing tiers.</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4.1 Core Technology Decisions</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rPr>
          <w:tblHeader/>
        </w:trPr>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Category</w:t>
            </w:r>
          </w:p>
        </w:tc>
        <w:tc>
          <w:tcPr>
            <w:tcW w:type="dxa" w:w="2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Technology</w:t>
            </w:r>
          </w:p>
        </w:tc>
        <w:tc>
          <w:tcPr>
            <w:tcW w:type="dxa" w:w="24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Version</w:t>
            </w:r>
          </w:p>
        </w:tc>
        <w:tc>
          <w:tcPr>
            <w:tcW w:type="dxa" w:w="33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Strategic Rationale</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Web Frontend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Next.js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v16</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Server components reduce client JS; built-in API routes eliminate a separate backend service</w:t>
            </w:r>
          </w:p>
        </w:tc>
      </w:tr>
      <w:tr>
        <w:trPr>
          <w:tblHeader w:val="false"/>
        </w:trP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UI Library</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React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v19.1</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Latest stable; concurrent features improve perceived performance under load</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Language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TypeScript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v5.9.3 strict</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Full strict mode catches bugs at compile time; shared types between web and mobile</w:t>
            </w:r>
          </w:p>
        </w:tc>
      </w:tr>
      <w:tr>
        <w:trPr>
          <w:tblHeader w:val="false"/>
        </w:trP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Mobile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React Native + Expo</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RN 0.81 / Expo 54</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OTA updates without app store re-review; 95% code sharing with web via shared packages</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Database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Supabase PostgreSQL</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v2.76</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Managed Postgres with built-in Auth, Storage, Realtime, and RLS — eliminates 4+ separate services</w:t>
            </w:r>
          </w:p>
        </w:tc>
      </w:tr>
      <w:tr>
        <w:trPr>
          <w:tblHeader w:val="false"/>
        </w:trP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Payments</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Stripe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v15.4</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Industry standard; PCI-compliant; webhook reliability; Connect for contractor payouts</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Caching / Rate Limits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Upstash Redis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v1.30</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Edge-compatible; serverless pricing; zero infrastructure maintenance</w:t>
            </w:r>
          </w:p>
        </w:tc>
      </w:tr>
      <w:tr>
        <w:trPr>
          <w:tblHeader w:val="false"/>
        </w:trP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AI Inference</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Google Cloud AI Platform + OpenAI</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Latest</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Google for custom ONNX models; OpenAI GPT-4 for language tasks</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Validation</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Zod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v3.23</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Runtime type safety at API boundaries; schema sharing with frontend forms</w:t>
            </w:r>
          </w:p>
        </w:tc>
      </w:tr>
      <w:tr>
        <w:trPr>
          <w:tblHeader w:val="false"/>
        </w:trP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Deployment (Web)</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Vercel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w:t>
            </w:r>
          </w:p>
        </w:tc>
        <w:tc>
          <w:tcPr>
            <w:tcW w:type="dxa" w:w="33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Zero-config serverless; git-based preview deployments; global edge CDN</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Deployment (Mobile)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0E7490"/>
                <w:sz w:val="19"/>
                <w:szCs w:val="19"/>
              </w:rPr>
              <w:t xml:space="preserve">EAS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64748B"/>
                <w:sz w:val="19"/>
                <w:szCs w:val="19"/>
              </w:rPr>
              <w:t xml:space="preserv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Managed iOS/Android builds and OTA update distribution via Expo</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4.2 Technology Risk Assessment</w:t>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Low Vendor Lock-in Risk</w:t>
            </w:r>
          </w:p>
          <w:p>
            <w:pPr>
              <w:spacing w:after="0" w:before="0"/>
            </w:pPr>
            <w:r>
              <w:rPr>
                <w:rFonts w:ascii="Arial" w:cs="Arial" w:eastAsia="Arial" w:hAnsi="Arial"/>
                <w:b w:val="false"/>
                <w:bCs w:val="false"/>
                <w:i w:val="false"/>
                <w:iCs w:val="false"/>
                <w:color w:val="1E293B"/>
                <w:sz w:val="20"/>
                <w:szCs w:val="20"/>
              </w:rPr>
              <w:t xml:space="preserve">All core services (Supabase, Vercel, Stripe) have well-defined APIs and active open-source alternatives. Supabase is open-source and can be self-hosted. Stripe can be replaced with Adyen or Braintree with ~4 weeks of engineering effort. Vercel-specific features (Edge Config, ISR) are minimal.</w:t>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D97706" w:sz="3"/>
          <w:left w:val="none"/>
          <w:bottom w:val="none"/>
          <w:right w:val="none"/>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40" w:before="0"/>
            </w:pPr>
            <w:r>
              <w:rPr>
                <w:rFonts w:ascii="Arial" w:cs="Arial" w:eastAsia="Arial" w:hAnsi="Arial"/>
                <w:b/>
                <w:bCs/>
                <w:i w:val="false"/>
                <w:iCs w:val="false"/>
                <w:color w:val="D97706"/>
                <w:sz w:val="20"/>
                <w:szCs w:val="20"/>
              </w:rPr>
              <w:t xml:space="preserve">Dependency Currency</w:t>
            </w:r>
          </w:p>
          <w:p>
            <w:pPr>
              <w:spacing w:after="0" w:before="0"/>
            </w:pPr>
            <w:r>
              <w:rPr>
                <w:rFonts w:ascii="Arial" w:cs="Arial" w:eastAsia="Arial" w:hAnsi="Arial"/>
                <w:b w:val="false"/>
                <w:bCs w:val="false"/>
                <w:i w:val="false"/>
                <w:iCs w:val="false"/>
                <w:color w:val="1E293B"/>
                <w:sz w:val="20"/>
                <w:szCs w:val="20"/>
              </w:rPr>
              <w:t xml:space="preserve">Next.js 16 and React 19 are among the latest available versions, which means Mintenance benefits from the latest performance improvements but carries minor risk of compatibility issues with older third-party packages. TypeScript 5.9.3 is on the latest minor release — indicating an active policy of keeping dependencies current.</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5. AI &amp; Machine Learning Capabilities</w:t>
      </w:r>
    </w:p>
    <w:p>
      <w:pPr>
        <w:spacing w:after="80" w:before="80"/>
        <w:jc w:val="both"/>
      </w:pPr>
      <w:r>
        <w:rPr>
          <w:rFonts w:ascii="Arial" w:cs="Arial" w:eastAsia="Arial" w:hAnsi="Arial"/>
          <w:color w:val="1E293B"/>
          <w:sz w:val="22"/>
          <w:szCs w:val="22"/>
        </w:rPr>
        <w:t xml:space="preserve">AI/ML is not an afterthought at Mintenance — it is a core part of the competitive moat. The platform has invested significantly in a proprietary AI stack that spans image analysis, contractor matching, cost optimisation, and building damage assessment.</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5.1 AI Capability Inventory</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Image Analysis Service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Verifies photo quality (brightness, sharpness, resolution) for job before/after evidence. Powered by custom ONNX models and Google Cloud Vision API.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AI Matching Service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Scores contractor-job fit using ML embeddings, location (Haversine), category expertise, ratings history, and bid competitiveness.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Building Surveyor AI</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Assesses property damage severity using SAM2/SAM3 image segmentation and Google Cloud AI Platform models. Generates structured damage reports.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GPT-4 Integration</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Powers natural language features including job description enhancement, dispute resolution summaries, and automated customer support responses.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SAM2 / SAM3 Services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Standalone Python microservices for automatic damage boundary detection in property photos (Segment Anything Model).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Model Drift Detection</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Background service monitors AI model output distributions to detect degradation before it impacts user outcomes.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AI Cost Control System</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Monitors and caps AI inference spend. Implements prompt caching for GPT-4, request deduplication, and tier-based usage limits.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YOLO Dataset Management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Custom dataset pipeline for training object detection models on property damage imagery.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Geolocation Verification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Validates contractor GPS coordinates against job location using Haversine formula (100m threshold) to prevent fraudulent remote job starts.</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5.2 AI Moat Analysis</w:t>
      </w:r>
    </w:p>
    <w:p>
      <w:pPr>
        <w:spacing w:after="80" w:before="80"/>
        <w:jc w:val="both"/>
      </w:pPr>
      <w:r>
        <w:rPr>
          <w:rFonts w:ascii="Arial" w:cs="Arial" w:eastAsia="Arial" w:hAnsi="Arial"/>
          <w:color w:val="1E293B"/>
          <w:sz w:val="22"/>
          <w:szCs w:val="22"/>
        </w:rPr>
        <w:t xml:space="preserve">The combination of proprietary training data (before/after photos from completed jobs), a custom damage taxonomy, and a continuously improving matching model creates a data flywheel that becomes more accurate with each completed job. This represents a significant barrier to entry for competitors building on generic AI APIs.</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Strategic AI Advantage</w:t>
            </w:r>
          </w:p>
          <w:p>
            <w:pPr>
              <w:spacing w:after="0" w:before="0"/>
            </w:pPr>
            <w:r>
              <w:rPr>
                <w:rFonts w:ascii="Arial" w:cs="Arial" w:eastAsia="Arial" w:hAnsi="Arial"/>
                <w:b w:val="false"/>
                <w:bCs w:val="false"/>
                <w:i w:val="false"/>
                <w:iCs w:val="false"/>
                <w:color w:val="1E293B"/>
                <w:sz w:val="20"/>
                <w:szCs w:val="20"/>
              </w:rPr>
              <w:t xml:space="preserve">Every completed job generates labelled training data (before photo, after photo, job category, homeowner approval/rejection, contractor rating). As the platform scales, this proprietary dataset compounds the accuracy of the matching and damage assessment models — an advantage that cannot be purchased or replicated quickly.</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6. Security Posture</w:t>
      </w:r>
    </w:p>
    <w:p>
      <w:pPr>
        <w:spacing w:after="80" w:before="80"/>
        <w:jc w:val="both"/>
      </w:pPr>
      <w:r>
        <w:rPr>
          <w:rFonts w:ascii="Arial" w:cs="Arial" w:eastAsia="Arial" w:hAnsi="Arial"/>
          <w:color w:val="1E293B"/>
          <w:sz w:val="22"/>
          <w:szCs w:val="22"/>
        </w:rPr>
        <w:t xml:space="preserve">The Mintenance platform has implemented a layered security architecture appropriate for a marketplace handling financial transactions and sensitive property data.</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6.1 Security Controls Inventory</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200"/>
        <w:gridCol w:w="3660"/>
      </w:tblGrid>
      <w:tr>
        <w:trPr>
          <w:tblHeader/>
        </w:trPr>
        <w:tc>
          <w:tcPr>
            <w:tcW w:type="dxa" w:w="35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Dimension</w:t>
            </w:r>
          </w:p>
        </w:tc>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Score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Status</w:t>
            </w:r>
          </w:p>
        </w:tc>
        <w:tc>
          <w:tcPr>
            <w:tcW w:type="dxa" w:w="36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Key Finding</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Authentication (JWT / Supabase Auth)</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Session-based JWT with refresh token rotation, MFA support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Authorisation (Row Level Security)</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All sensitive tables enforce RLS — users see only their data</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CSRF Protection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Custom CSRF token middleware on all mutating endpoints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Rate Limiting</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Upstash Redis rate limiting with tier-based thresholds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Input Validation (Zod)</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API request bodies validated against Zod schemas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Secrets Management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.env gitignored; environment variables via Vercel secrets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Audit Logging</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audit_logs table captures security events for compliance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GDPR Compliance Endpoints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GDPR data export and deletion endpoints implemented</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Content Security Policy</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CSP reporting endpoint (csp-report) configured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API Route Middleware Migration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Fair</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Only 2/249 routes use withApiHandler — inconsistent error handling</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TypeScript any types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FEF3C7"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Fair</w:t>
            </w:r>
          </w:p>
        </w:tc>
        <w:tc>
          <w:tcPr>
            <w:tcW w:type="dxa" w:w="36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56 any types in source — potential for runtime type errors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2"/>
                <w:szCs w:val="22"/>
              </w:rPr>
              <w:t xml:space="preserve">Refresh Token Security</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1B2A4A"/>
                <w:sz w:val="24"/>
                <w:szCs w:val="24"/>
              </w:rPr>
              <w:t xml:space="preserve">✓</w:t>
            </w:r>
          </w:p>
        </w:tc>
        <w:tc>
          <w:tcPr>
            <w:tcW w:type="dxa" w:w="1200"/>
            <w:tcBorders>
              <w:top w:val="single" w:color="E2E8F0" w:sz="1"/>
              <w:left w:val="single" w:color="E2E8F0" w:sz="1"/>
              <w:bottom w:val="single" w:color="E2E8F0" w:sz="1"/>
              <w:right w:val="single" w:color="E2E8F0" w:sz="1"/>
            </w:tcBorders>
            <w:shd w:fill="DCFCE7" w:val="clear"/>
            <w:tcMar>
              <w:top w:type="dxa" w:w="80"/>
              <w:left w:type="dxa" w:w="120"/>
              <w:bottom w:type="dxa" w:w="80"/>
              <w:right w:type="dxa" w:w="120"/>
            </w:tcMar>
            <w:vAlign w:val="center"/>
          </w:tcPr>
          <w:p>
            <w:pPr>
              <w:jc w:val="center"/>
            </w:pPr>
            <w:r>
              <w:rPr>
                <w:rFonts w:ascii="Arial" w:cs="Arial" w:eastAsia="Arial" w:hAnsi="Arial"/>
                <w:b/>
                <w:bCs/>
                <w:i w:val="false"/>
                <w:iCs w:val="false"/>
                <w:color w:val="16A34A"/>
                <w:sz w:val="20"/>
                <w:szCs w:val="20"/>
              </w:rPr>
              <w:t xml:space="preserve">Good</w:t>
            </w:r>
          </w:p>
        </w:tc>
        <w:tc>
          <w:tcPr>
            <w:tcW w:type="dxa" w:w="3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Migration 20260131_refresh_token_security applied</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6.2 Payment Security</w:t>
      </w:r>
    </w:p>
    <w:p>
      <w:pPr>
        <w:spacing w:after="80" w:before="80"/>
        <w:jc w:val="both"/>
      </w:pPr>
      <w:r>
        <w:rPr>
          <w:rFonts w:ascii="Arial" w:cs="Arial" w:eastAsia="Arial" w:hAnsi="Arial"/>
          <w:color w:val="1E293B"/>
          <w:sz w:val="22"/>
          <w:szCs w:val="22"/>
        </w:rPr>
        <w:t xml:space="preserve">Payment security follows Stripe best practices: PaymentIntents are created server-side with amounts validated against the database, webhook signatures are verified using Stripe's webhook secret, and client-side code never receives the secret key. Escrow funds are held in Stripe and only transferred to contractor accounts after explicit homeowner confirmation or the 7-day auto-release timer.</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D97706" w:sz="3"/>
          <w:left w:val="none"/>
          <w:bottom w:val="none"/>
          <w:right w:val="none"/>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40" w:before="0"/>
            </w:pPr>
            <w:r>
              <w:rPr>
                <w:rFonts w:ascii="Arial" w:cs="Arial" w:eastAsia="Arial" w:hAnsi="Arial"/>
                <w:b/>
                <w:bCs/>
                <w:i w:val="false"/>
                <w:iCs w:val="false"/>
                <w:color w:val="D97706"/>
                <w:sz w:val="20"/>
                <w:szCs w:val="20"/>
              </w:rPr>
              <w:t xml:space="preserve">Compliance Note</w:t>
            </w:r>
          </w:p>
          <w:p>
            <w:pPr>
              <w:spacing w:after="0" w:before="0"/>
            </w:pPr>
            <w:r>
              <w:rPr>
                <w:rFonts w:ascii="Arial" w:cs="Arial" w:eastAsia="Arial" w:hAnsi="Arial"/>
                <w:b w:val="false"/>
                <w:bCs w:val="false"/>
                <w:i w:val="false"/>
                <w:iCs w:val="false"/>
                <w:color w:val="1E293B"/>
                <w:sz w:val="20"/>
                <w:szCs w:val="20"/>
              </w:rPr>
              <w:t xml:space="preserve">The platform has GDPR data subject request endpoints and an audit trail, positioning it well for UK GDPR and EU GDPR compliance. For ISO 27001 or SOC 2 readiness, the remaining 247 API routes should be migrated to the withApiHandler middleware to ensure consistent audit logging across all endpoints.</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7. Code Quality &amp; Engineering Health</w:t>
      </w:r>
    </w:p>
    <w:p>
      <w:pPr>
        <w:spacing w:after="80" w:before="80"/>
        <w:jc w:val="both"/>
      </w:pPr>
      <w:r>
        <w:rPr>
          <w:rFonts w:ascii="Arial" w:cs="Arial" w:eastAsia="Arial" w:hAnsi="Arial"/>
          <w:b w:val="false"/>
          <w:bCs w:val="false"/>
          <w:i w:val="false"/>
          <w:iCs w:val="false"/>
          <w:color w:val="1E293B"/>
          <w:sz w:val="22"/>
          <w:szCs w:val="22"/>
        </w:rPr>
        <w:t xml:space="preserve">The codebase has been independently scored at </w:t>
      </w:r>
      <w:r>
        <w:rPr>
          <w:rFonts w:ascii="Arial" w:cs="Arial" w:eastAsia="Arial" w:hAnsi="Arial"/>
          <w:b/>
          <w:bCs/>
          <w:i w:val="false"/>
          <w:iCs w:val="false"/>
          <w:color w:val="D97706"/>
          <w:sz w:val="22"/>
          <w:szCs w:val="22"/>
        </w:rPr>
        <w:t xml:space="preserve">D+ (53/100)</w:t>
      </w:r>
      <w:r>
        <w:rPr>
          <w:rFonts w:ascii="Arial" w:cs="Arial" w:eastAsia="Arial" w:hAnsi="Arial"/>
          <w:b w:val="false"/>
          <w:bCs w:val="false"/>
          <w:i w:val="false"/>
          <w:iCs w:val="false"/>
          <w:color w:val="1E293B"/>
          <w:sz w:val="22"/>
          <w:szCs w:val="22"/>
        </w:rPr>
        <w:t xml:space="preserve"> based on measurable metrics. This score reflects the natural state of a startup that has prioritised feature velocity over refactoring — which is a rational trade-off at this stage. The critical observation is that </w:t>
      </w:r>
      <w:r>
        <w:rPr>
          <w:rFonts w:ascii="Arial" w:cs="Arial" w:eastAsia="Arial" w:hAnsi="Arial"/>
          <w:b/>
          <w:bCs/>
          <w:i w:val="false"/>
          <w:iCs w:val="false"/>
          <w:color w:val="1E293B"/>
          <w:sz w:val="22"/>
          <w:szCs w:val="22"/>
        </w:rPr>
        <w:t xml:space="preserve">the architectural foundation is sound</w:t>
      </w:r>
      <w:r>
        <w:rPr>
          <w:rFonts w:ascii="Arial" w:cs="Arial" w:eastAsia="Arial" w:hAnsi="Arial"/>
          <w:b w:val="false"/>
          <w:bCs w:val="false"/>
          <w:i w:val="false"/>
          <w:iCs w:val="false"/>
          <w:color w:val="1E293B"/>
          <w:sz w:val="22"/>
          <w:szCs w:val="22"/>
        </w:rPr>
        <w:t xml:space="preserve">; the debt is concentrated in file size and function length, not in fundamental design.</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7.1 Quantitative Metrics</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2260"/>
      </w:tblGrid>
      <w:tr>
        <w:trPr>
          <w:tblHeader/>
        </w:trPr>
        <w:tc>
          <w:tcPr>
            <w:tcW w:type="dxa" w:w="35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Metric</w:t>
            </w:r>
          </w:p>
        </w:tc>
        <w:tc>
          <w:tcPr>
            <w:tcW w:type="dxa" w:w="1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Target</w:t>
            </w:r>
          </w:p>
        </w:tc>
        <w:tc>
          <w:tcPr>
            <w:tcW w:type="dxa" w:w="1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Current</w:t>
            </w:r>
          </w:p>
        </w:tc>
        <w:tc>
          <w:tcPr>
            <w:tcW w:type="dxa" w:w="22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pPr>
              <w:jc w:val="center"/>
            </w:pPr>
            <w:r>
              <w:rPr>
                <w:rFonts w:ascii="Arial" w:cs="Arial" w:eastAsia="Arial" w:hAnsi="Arial"/>
                <w:b w:val="false"/>
                <w:bCs w:val="false"/>
                <w:i w:val="false"/>
                <w:iCs w:val="false"/>
                <w:color w:val="FFFFFF"/>
                <w:sz w:val="20"/>
                <w:szCs w:val="20"/>
              </w:rPr>
              <w:t xml:space="preserve">Priority</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TypeScript any types (source)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56</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97706"/>
                <w:sz w:val="20"/>
                <w:szCs w:val="20"/>
              </w:rPr>
              <w:t xml:space="preserve">Medium</w:t>
            </w:r>
          </w:p>
        </w:tc>
      </w:tr>
      <w:tr>
        <w:trPr>
          <w:tblHeader w:val="false"/>
        </w:trP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Files over 1,000 lines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17</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High</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Maximum file length</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300 lines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1,413 lines</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High</w:t>
            </w:r>
          </w:p>
        </w:tc>
      </w:tr>
      <w:tr>
        <w:trPr>
          <w:tblHeader w:val="false"/>
        </w:trP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Large route handlers (200+ lines)</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~50+</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High</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console.* in app code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42</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20"/>
                <w:szCs w:val="20"/>
              </w:rPr>
              <w:t xml:space="preserve">Low</w:t>
            </w:r>
          </w:p>
        </w:tc>
      </w:tr>
      <w:tr>
        <w:trPr>
          <w:tblHeader w:val="false"/>
        </w:trP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Routes using withApiHandler()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100%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&lt; 1% (2/249)</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C2626"/>
                <w:sz w:val="20"/>
                <w:szCs w:val="20"/>
              </w:rPr>
              <w:t xml:space="preserve">High</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Web test suite pass rate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100%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96.2% (176/183)</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97706"/>
                <w:sz w:val="20"/>
                <w:szCs w:val="20"/>
              </w:rPr>
              <w:t xml:space="preserve">Medium</w:t>
            </w:r>
          </w:p>
        </w:tc>
      </w:tr>
      <w:tr>
        <w:trPr>
          <w:tblHeader w:val="false"/>
        </w:trP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Mobile test pass rate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100%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93.8% (9,743/10,393)</w:t>
            </w:r>
          </w:p>
        </w:tc>
        <w:tc>
          <w:tcPr>
            <w:tcW w:type="dxa" w:w="22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16A34A"/>
                <w:sz w:val="20"/>
                <w:szCs w:val="20"/>
              </w:rPr>
              <w:t xml:space="preserve">Low</w:t>
            </w:r>
          </w:p>
        </w:tc>
      </w:tr>
      <w:tr>
        <w:trPr>
          <w:tblHeader w:val="false"/>
        </w:trP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Pre-existing test failures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16A34A"/>
                <w:sz w:val="20"/>
                <w:szCs w:val="20"/>
              </w:rPr>
              <w:t xml:space="preserve">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D97706"/>
                <w:sz w:val="20"/>
                <w:szCs w:val="20"/>
              </w:rPr>
              <w:t xml:space="preserve">6 known</w:t>
            </w:r>
          </w:p>
        </w:tc>
        <w:tc>
          <w:tcPr>
            <w:tcW w:type="dxa" w:w="22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97706"/>
                <w:sz w:val="20"/>
                <w:szCs w:val="20"/>
              </w:rPr>
              <w:t xml:space="preserve">Medium</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7.2 Positive Indicators</w:t>
      </w:r>
    </w:p>
    <w:p>
      <w:pPr>
        <w:pStyle w:val="ListParagraph"/>
        <w:numPr>
          <w:ilvl w:val="0"/>
          <w:numId w:val="2"/>
        </w:numPr>
        <w:spacing w:after="40" w:before="40"/>
      </w:pPr>
      <w:r>
        <w:rPr>
          <w:rFonts w:ascii="Arial" w:cs="Arial" w:eastAsia="Arial" w:hAnsi="Arial"/>
          <w:color w:val="1E293B"/>
          <w:sz w:val="22"/>
          <w:szCs w:val="22"/>
        </w:rPr>
        <w:t xml:space="preserve">TypeScript strict mode is enabled across all packages — the highest quality signal for a TypeScript codebase</w:t>
      </w:r>
    </w:p>
    <w:p>
      <w:pPr>
        <w:pStyle w:val="ListParagraph"/>
        <w:numPr>
          <w:ilvl w:val="0"/>
          <w:numId w:val="2"/>
        </w:numPr>
        <w:spacing w:after="40" w:before="40"/>
      </w:pPr>
      <w:r>
        <w:rPr>
          <w:rFonts w:ascii="Arial" w:cs="Arial" w:eastAsia="Arial" w:hAnsi="Arial"/>
          <w:color w:val="1E293B"/>
          <w:sz w:val="22"/>
          <w:szCs w:val="22"/>
        </w:rPr>
        <w:t xml:space="preserve">Supabase imports are fully standardised to @/lib/api/supabaseServer — no fragmented data access patterns</w:t>
      </w:r>
    </w:p>
    <w:p>
      <w:pPr>
        <w:pStyle w:val="ListParagraph"/>
        <w:numPr>
          <w:ilvl w:val="0"/>
          <w:numId w:val="2"/>
        </w:numPr>
        <w:spacing w:after="40" w:before="40"/>
      </w:pPr>
      <w:r>
        <w:rPr>
          <w:rFonts w:ascii="Arial" w:cs="Arial" w:eastAsia="Arial" w:hAnsi="Arial"/>
          <w:color w:val="1E293B"/>
          <w:sz w:val="22"/>
          <w:szCs w:val="22"/>
        </w:rPr>
        <w:t xml:space="preserve">Production build passes cleanly with zero TypeScript compilation errors</w:t>
      </w:r>
    </w:p>
    <w:p>
      <w:pPr>
        <w:pStyle w:val="ListParagraph"/>
        <w:numPr>
          <w:ilvl w:val="0"/>
          <w:numId w:val="2"/>
        </w:numPr>
        <w:spacing w:after="40" w:before="40"/>
      </w:pPr>
      <w:r>
        <w:rPr>
          <w:rFonts w:ascii="Arial" w:cs="Arial" w:eastAsia="Arial" w:hAnsi="Arial"/>
          <w:color w:val="1E293B"/>
          <w:sz w:val="22"/>
          <w:szCs w:val="22"/>
        </w:rPr>
        <w:t xml:space="preserve">withApiHandler() middleware pattern has been proven and is ready for systematic rollout</w:t>
      </w:r>
    </w:p>
    <w:p>
      <w:pPr>
        <w:pStyle w:val="ListParagraph"/>
        <w:numPr>
          <w:ilvl w:val="0"/>
          <w:numId w:val="2"/>
        </w:numPr>
        <w:spacing w:after="40" w:before="40"/>
      </w:pPr>
      <w:r>
        <w:rPr>
          <w:rFonts w:ascii="Arial" w:cs="Arial" w:eastAsia="Arial" w:hAnsi="Arial"/>
          <w:color w:val="1E293B"/>
          <w:sz w:val="22"/>
          <w:szCs w:val="22"/>
        </w:rPr>
        <w:t xml:space="preserve">CLAUDE.md contains a thorough mandatory development contract — engineering standards are documented and enforced</w:t>
      </w:r>
    </w:p>
    <w:p>
      <w:pPr>
        <w:pStyle w:val="ListParagraph"/>
        <w:numPr>
          <w:ilvl w:val="0"/>
          <w:numId w:val="2"/>
        </w:numPr>
        <w:spacing w:after="40" w:before="40"/>
      </w:pPr>
      <w:r>
        <w:rPr>
          <w:rFonts w:ascii="Arial" w:cs="Arial" w:eastAsia="Arial" w:hAnsi="Arial"/>
          <w:color w:val="1E293B"/>
          <w:sz w:val="22"/>
          <w:szCs w:val="22"/>
        </w:rPr>
        <w:t xml:space="preserve">89 SQL migrations provide a complete, auditable history of every database change</w:t>
      </w:r>
    </w:p>
    <w:p>
      <w:pPr>
        <w:spacing w:after="0" w:before="120"/>
      </w:pPr>
      <w:r>
        <w:rPr>
          <w:rFonts w:ascii="Arial" w:cs="Arial" w:eastAsia="Arial" w:hAnsi="Arial"/>
          <w:b w:val="false"/>
          <w:bCs w:val="false"/>
          <w:i w:val="false"/>
          <w:iCs w:val="false"/>
          <w:color w:val="1E293B"/>
          <w:sz w:val="22"/>
          <w:szCs w:val="22"/>
        </w:rPr>
        <w:t xml:space="preserve"/>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Investor Context on Code Quality Score</w:t>
            </w:r>
          </w:p>
          <w:p>
            <w:pPr>
              <w:spacing w:after="0" w:before="0"/>
            </w:pPr>
            <w:r>
              <w:rPr>
                <w:rFonts w:ascii="Arial" w:cs="Arial" w:eastAsia="Arial" w:hAnsi="Arial"/>
                <w:b w:val="false"/>
                <w:bCs w:val="false"/>
                <w:i w:val="false"/>
                <w:iCs w:val="false"/>
                <w:color w:val="1E293B"/>
                <w:sz w:val="20"/>
                <w:szCs w:val="20"/>
              </w:rPr>
              <w:t xml:space="preserve">A D+ grade at this stage of a marketplace startup is not unusual. The score penalises large files and missing middleware — both of which are engineering hygiene issues, not architectural flaws. The platform runs in production, builds cleanly, passes 96%+ of tests, and has a clear, documented remediation roadmap. This is a known, bounded, fixable problem — not a systemic risk.</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8. Scalability &amp; Performance</w:t>
      </w:r>
    </w:p>
    <w:p>
      <w:pPr>
        <w:pStyle w:val="Heading2"/>
        <w:spacing w:after="80" w:before="280"/>
      </w:pPr>
      <w:r>
        <w:rPr>
          <w:rFonts w:ascii="Arial" w:cs="Arial" w:eastAsia="Arial" w:hAnsi="Arial"/>
          <w:b/>
          <w:bCs/>
          <w:color w:val="0E7490"/>
          <w:sz w:val="26"/>
          <w:szCs w:val="26"/>
        </w:rPr>
        <w:t xml:space="preserve">8.1 Infrastructure Scalability</w:t>
      </w:r>
    </w:p>
    <w:p>
      <w:pPr>
        <w:spacing w:after="80" w:before="80"/>
        <w:jc w:val="both"/>
      </w:pPr>
      <w:r>
        <w:rPr>
          <w:rFonts w:ascii="Arial" w:cs="Arial" w:eastAsia="Arial" w:hAnsi="Arial"/>
          <w:color w:val="1E293B"/>
          <w:sz w:val="22"/>
          <w:szCs w:val="22"/>
        </w:rPr>
        <w:t xml:space="preserve">The platform's infrastructure choices were made with scale in mind from the outset:</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Vercel (Web Hosting)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Serverless functions auto-scale to zero and scale horizontally without configuration. No fixed infrastructure cost.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Supabase Connection Pooling</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Supavisor connection pooler manages PostgreSQL connections — prevents connection exhaustion under load spikes.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Upstash Redis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Edge-compatible Redis eliminates hot-path database queries for rate limiting and caching.</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Next.js ISR</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Incremental Static Regeneration caches frequently-read pages at the CDN edge, reducing database load.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Supabase Realtime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WebSocket-based real-time subscriptions offload polling from the API layer.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AI Cost Controls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GPT-4 prompt caching, request deduplication, and tier-based usage limits prevent AI cost runaway as volume scales.</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8.2 Scaling Bottleneck Analysis</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D97706" w:sz="3"/>
          <w:left w:val="none"/>
          <w:bottom w:val="none"/>
          <w:right w:val="none"/>
          <w:insideH w:val="single" w:color="auto" w:sz="4"/>
          <w:insideV w:val="single" w:color="auto" w:sz="4"/>
        </w:tblBorders>
      </w:tblPr>
      <w:tblGrid>
        <w:gridCol w:w="9360"/>
      </w:tblGrid>
      <w:tr>
        <w:tc>
          <w:tcPr>
            <w:tcW w:type="dxa" w:w="9360"/>
            <w:shd w:fill="FEF3C7" w:val="clear"/>
            <w:tcMar>
              <w:top w:type="dxa" w:w="120"/>
              <w:left w:type="dxa" w:w="180"/>
              <w:bottom w:type="dxa" w:w="120"/>
              <w:right w:type="dxa" w:w="180"/>
            </w:tcMar>
          </w:tcPr>
          <w:p>
            <w:pPr>
              <w:spacing w:after="40" w:before="0"/>
            </w:pPr>
            <w:r>
              <w:rPr>
                <w:rFonts w:ascii="Arial" w:cs="Arial" w:eastAsia="Arial" w:hAnsi="Arial"/>
                <w:b/>
                <w:bCs/>
                <w:i w:val="false"/>
                <w:iCs w:val="false"/>
                <w:color w:val="D97706"/>
                <w:sz w:val="20"/>
                <w:szCs w:val="20"/>
              </w:rPr>
              <w:t xml:space="preserve">Current Bottleneck: Route Handler Size</w:t>
            </w:r>
          </w:p>
          <w:p>
            <w:pPr>
              <w:spacing w:after="0" w:before="0"/>
            </w:pPr>
            <w:r>
              <w:rPr>
                <w:rFonts w:ascii="Arial" w:cs="Arial" w:eastAsia="Arial" w:hAnsi="Arial"/>
                <w:b w:val="false"/>
                <w:bCs w:val="false"/>
                <w:i w:val="false"/>
                <w:iCs w:val="false"/>
                <w:color w:val="1E293B"/>
                <w:sz w:val="20"/>
                <w:szCs w:val="20"/>
              </w:rPr>
              <w:t xml:space="preserve">The ~247 API routes not yet migrated to withApiHandler() contain duplicated authentication, error handling, and logging logic. At scale, this increases the surface area for bugs and makes performance profiling difficult. The middleware migration is the single highest-impact engineering project for the next quarter.</w:t>
            </w:r>
          </w:p>
        </w:tc>
      </w:tr>
    </w:tbl>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Next Scaling Threshold: Database Query Optimisation</w:t>
            </w:r>
          </w:p>
          <w:p>
            <w:pPr>
              <w:spacing w:after="0" w:before="0"/>
            </w:pPr>
            <w:r>
              <w:rPr>
                <w:rFonts w:ascii="Arial" w:cs="Arial" w:eastAsia="Arial" w:hAnsi="Arial"/>
                <w:b w:val="false"/>
                <w:bCs w:val="false"/>
                <w:i w:val="false"/>
                <w:iCs w:val="false"/>
                <w:color w:val="1E293B"/>
                <w:sz w:val="20"/>
                <w:szCs w:val="20"/>
              </w:rPr>
              <w:t xml:space="preserve">As job volume grows, the most likely performance bottleneck will be complex JOIN queries across jobs, bids, contractors, and locations. Supabase's performance indexes (migration 20260109_performance_indexes.sql) are already in place. The recommended next step is adding query explain-plan monitoring via Supabase's pg_stat_statements dashboard.</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8.3 Mobile Performance</w:t>
      </w:r>
    </w:p>
    <w:p>
      <w:pPr>
        <w:spacing w:after="80" w:before="80"/>
        <w:jc w:val="both"/>
      </w:pPr>
      <w:r>
        <w:rPr>
          <w:rFonts w:ascii="Arial" w:cs="Arial" w:eastAsia="Arial" w:hAnsi="Arial"/>
          <w:color w:val="1E293B"/>
          <w:sz w:val="22"/>
          <w:szCs w:val="22"/>
        </w:rPr>
        <w:t xml:space="preserve">Expo's OTA (Over-the-Air) update mechanism means JavaScript bundle changes can be deployed to all active users within hours — without an app store review cycle. This is a significant operational advantage for rapid iteration. Native modules (camera, GPS, biometrics) are handled by Expo's managed workflow, reducing the need for custom native code that would require specialist iOS/Android engineers.</w:t>
      </w:r>
    </w:p>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9. Test Coverage &amp; Quality Assurance</w:t>
      </w:r>
    </w:p>
    <w:p>
      <w:pPr>
        <w:pStyle w:val="Heading2"/>
        <w:spacing w:after="80" w:before="280"/>
      </w:pPr>
      <w:r>
        <w:rPr>
          <w:rFonts w:ascii="Arial" w:cs="Arial" w:eastAsia="Arial" w:hAnsi="Arial"/>
          <w:b/>
          <w:bCs/>
          <w:color w:val="0E7490"/>
          <w:sz w:val="26"/>
          <w:szCs w:val="26"/>
        </w:rPr>
        <w:t xml:space="preserve">9.1 Testing Infrastructure Summary</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Web Unit / Integration Tests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Vitest v4 with globals:true — 176/183 suites passing (96.2%). 6 pre-existing failures are documented and isolated.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Mobile Unit Tests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Jest v29.7 — 9,743/10,393 tests passing (93.8%). Healthy infrastructure with a high pass rate.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E2E Tests (Web)</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Playwright v1.58 — configured for Chromium, Firefox, and WebKit.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E2E Tests (Mobile)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Detox — configured for native iOS/Android end-to-end testing.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Load Testing</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K6 load test suite covers critical API paths and payment flows.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Type Safety</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TypeScript strict mode serves as a compile-time test layer for all 2,500+ source files.</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9.2 Known Test Failures</w:t>
      </w:r>
    </w:p>
    <w:p>
      <w:pPr>
        <w:spacing w:after="80" w:before="80"/>
        <w:jc w:val="both"/>
      </w:pPr>
      <w:r>
        <w:rPr>
          <w:rFonts w:ascii="Arial" w:cs="Arial" w:eastAsia="Arial" w:hAnsi="Arial"/>
          <w:color w:val="1E293B"/>
          <w:sz w:val="22"/>
          <w:szCs w:val="22"/>
        </w:rPr>
        <w:t xml:space="preserve">Six pre-existing test failures are documented in the engineering contract. These are isolated to specific areas and do not affect production functionality:</w:t>
      </w:r>
    </w:p>
    <w:p>
      <w:pPr>
        <w:spacing w:after="0" w:before="6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40" w:before="40"/>
      </w:pPr>
      <w:r>
        <w:rPr>
          <w:rFonts w:ascii="Arial" w:cs="Arial" w:eastAsia="Arial" w:hAnsi="Arial"/>
          <w:color w:val="1E293B"/>
          <w:sz w:val="22"/>
          <w:szCs w:val="22"/>
        </w:rPr>
        <w:t xml:space="preserve">Rate-limiter fallback tests — test environment Redis connection behaviour</w:t>
      </w:r>
    </w:p>
    <w:p>
      <w:pPr>
        <w:pStyle w:val="ListParagraph"/>
        <w:numPr>
          <w:ilvl w:val="0"/>
          <w:numId w:val="2"/>
        </w:numPr>
        <w:spacing w:after="40" w:before="40"/>
      </w:pPr>
      <w:r>
        <w:rPr>
          <w:rFonts w:ascii="Arial" w:cs="Arial" w:eastAsia="Arial" w:hAnsi="Arial"/>
          <w:color w:val="1E293B"/>
          <w:sz w:val="22"/>
          <w:szCs w:val="22"/>
        </w:rPr>
        <w:t xml:space="preserve">Card/Input mock tests — shared-ui package mock configuration mismatch</w:t>
      </w:r>
    </w:p>
    <w:p>
      <w:pPr>
        <w:pStyle w:val="ListParagraph"/>
        <w:numPr>
          <w:ilvl w:val="0"/>
          <w:numId w:val="2"/>
        </w:numPr>
        <w:spacing w:after="40" w:before="40"/>
      </w:pPr>
      <w:r>
        <w:rPr>
          <w:rFonts w:ascii="Arial" w:cs="Arial" w:eastAsia="Arial" w:hAnsi="Arial"/>
          <w:color w:val="1E293B"/>
          <w:sz w:val="22"/>
          <w:szCs w:val="22"/>
        </w:rPr>
        <w:t xml:space="preserve">Payment-flow integration test — Stripe test mode webhook timing</w:t>
      </w:r>
    </w:p>
    <w:p>
      <w:pPr>
        <w:pStyle w:val="ListParagraph"/>
        <w:numPr>
          <w:ilvl w:val="0"/>
          <w:numId w:val="2"/>
        </w:numPr>
        <w:spacing w:after="40" w:before="40"/>
      </w:pPr>
      <w:r>
        <w:rPr>
          <w:rFonts w:ascii="Arial" w:cs="Arial" w:eastAsia="Arial" w:hAnsi="Arial"/>
          <w:color w:val="1E293B"/>
          <w:sz w:val="22"/>
          <w:szCs w:val="22"/>
        </w:rPr>
        <w:t xml:space="preserve">BudgetRangeSelector toast test — UI event timing in jsdom</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QA Assessment</w:t>
            </w:r>
          </w:p>
          <w:p>
            <w:pPr>
              <w:spacing w:after="0" w:before="0"/>
            </w:pPr>
            <w:r>
              <w:rPr>
                <w:rFonts w:ascii="Arial" w:cs="Arial" w:eastAsia="Arial" w:hAnsi="Arial"/>
                <w:b w:val="false"/>
                <w:bCs w:val="false"/>
                <w:i w:val="false"/>
                <w:iCs w:val="false"/>
                <w:color w:val="1E293B"/>
                <w:sz w:val="20"/>
                <w:szCs w:val="20"/>
              </w:rPr>
              <w:t xml:space="preserve">A 96.2% web test pass rate with 6 documented, isolated failures is a strong result. The pre-existing failures are environmental (test tooling) rather than functional (production code) issues. The presence of E2E tests (Playwright + Detox) and load tests (K6) demonstrates a mature QA posture beyond unit tests.</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10. Infrastructure &amp; DevOps</w:t>
      </w:r>
    </w:p>
    <w:p>
      <w:pPr>
        <w:pStyle w:val="Heading2"/>
        <w:spacing w:after="80" w:before="280"/>
      </w:pPr>
      <w:r>
        <w:rPr>
          <w:rFonts w:ascii="Arial" w:cs="Arial" w:eastAsia="Arial" w:hAnsi="Arial"/>
          <w:b/>
          <w:bCs/>
          <w:color w:val="0E7490"/>
          <w:sz w:val="26"/>
          <w:szCs w:val="26"/>
        </w:rPr>
        <w:t xml:space="preserve">10.1 Deployment Architecture</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Web Application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Vercel serverless — git-push triggers automatic build and deployment. Preview deployments for every PR.</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Mobile (iOS)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EAS Build — cloud-compiled iOS IPA. Expo OTA updates for JavaScript-only changes.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Mobile (Android)</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EAS Build — cloud-compiled Android APK. Same OTA update pipeline as iOS.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Database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Supabase Cloud — managed PostgreSQL with automated daily backups and point-in-time recovery.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Media Storage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Supabase Storage + Google Cloud Storage — job photos and AI model assets.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i w:val="false"/>
                <w:iCs w:val="false"/>
                <w:color w:val="1E293B"/>
                <w:sz w:val="20"/>
                <w:szCs w:val="20"/>
              </w:rPr>
              <w:t xml:space="preserve">AI Microservices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SAM2/SAM3 Python services — containerised, deployable to any Docker-compatible host.</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10.2 CI/CD Pipeline</w:t>
      </w:r>
    </w:p>
    <w:p>
      <w:pPr>
        <w:spacing w:after="80" w:before="80"/>
        <w:jc w:val="both"/>
      </w:pPr>
      <w:r>
        <w:rPr>
          <w:rFonts w:ascii="Arial" w:cs="Arial" w:eastAsia="Arial" w:hAnsi="Arial"/>
          <w:color w:val="1E293B"/>
          <w:sz w:val="22"/>
          <w:szCs w:val="22"/>
        </w:rPr>
        <w:t xml:space="preserve">GitHub Actions workflows are configured in .github/. The pipeline covers TypeScript type-checking, ESLint linting, Vitest unit tests, and Next.js production build verification. Vercel integrates directly with GitHub for automatic preview and production deployments.</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10.3 Environment Management</w:t>
      </w:r>
    </w:p>
    <w:p>
      <w:pPr>
        <w:spacing w:after="80" w:before="80"/>
        <w:jc w:val="both"/>
      </w:pPr>
      <w:r>
        <w:rPr>
          <w:rFonts w:ascii="Arial" w:cs="Arial" w:eastAsia="Arial" w:hAnsi="Arial"/>
          <w:color w:val="1E293B"/>
          <w:sz w:val="22"/>
          <w:szCs w:val="22"/>
        </w:rPr>
        <w:t xml:space="preserve">The platform manages three environments — development, staging, and production — each with separate Supabase projects and Stripe keys. Vercel's environment variable system is used for secret management. The .env.example file documents all required variables, and the gitignore prevents accidental secret exposure.</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10.4 Monitoring &amp; Observability</w:t>
      </w:r>
    </w:p>
    <w:p>
      <w:pPr>
        <w:pStyle w:val="ListParagraph"/>
        <w:numPr>
          <w:ilvl w:val="0"/>
          <w:numId w:val="2"/>
        </w:numPr>
        <w:spacing w:after="40" w:before="40"/>
      </w:pPr>
      <w:r>
        <w:rPr>
          <w:rFonts w:ascii="Arial" w:cs="Arial" w:eastAsia="Arial" w:hAnsi="Arial"/>
          <w:color w:val="1E293B"/>
          <w:sz w:val="22"/>
          <w:szCs w:val="22"/>
        </w:rPr>
        <w:t xml:space="preserve">Vercel built-in analytics — Core Web Vitals, function execution times, error rates</w:t>
      </w:r>
    </w:p>
    <w:p>
      <w:pPr>
        <w:pStyle w:val="ListParagraph"/>
        <w:numPr>
          <w:ilvl w:val="0"/>
          <w:numId w:val="2"/>
        </w:numPr>
        <w:spacing w:after="40" w:before="40"/>
      </w:pPr>
      <w:r>
        <w:rPr>
          <w:rFonts w:ascii="Arial" w:cs="Arial" w:eastAsia="Arial" w:hAnsi="Arial"/>
          <w:color w:val="1E293B"/>
          <w:sz w:val="22"/>
          <w:szCs w:val="22"/>
        </w:rPr>
        <w:t xml:space="preserve">Supabase Dashboard — database query performance, connection pool utilisation, storage usage</w:t>
      </w:r>
    </w:p>
    <w:p>
      <w:pPr>
        <w:pStyle w:val="ListParagraph"/>
        <w:numPr>
          <w:ilvl w:val="0"/>
          <w:numId w:val="2"/>
        </w:numPr>
        <w:spacing w:after="40" w:before="40"/>
      </w:pPr>
      <w:r>
        <w:rPr>
          <w:rFonts w:ascii="Arial" w:cs="Arial" w:eastAsia="Arial" w:hAnsi="Arial"/>
          <w:color w:val="1E293B"/>
          <w:sz w:val="22"/>
          <w:szCs w:val="22"/>
        </w:rPr>
        <w:t xml:space="preserve">AI Monitoring table — tracks every AI inference decision with inputs, outputs, and latency</w:t>
      </w:r>
    </w:p>
    <w:p>
      <w:pPr>
        <w:pStyle w:val="ListParagraph"/>
        <w:numPr>
          <w:ilvl w:val="0"/>
          <w:numId w:val="2"/>
        </w:numPr>
        <w:spacing w:after="40" w:before="40"/>
      </w:pPr>
      <w:r>
        <w:rPr>
          <w:rFonts w:ascii="Arial" w:cs="Arial" w:eastAsia="Arial" w:hAnsi="Arial"/>
          <w:color w:val="1E293B"/>
          <w:sz w:val="22"/>
          <w:szCs w:val="22"/>
        </w:rPr>
        <w:t xml:space="preserve">Audit Logs table — security events for compliance and incident investigation</w:t>
      </w:r>
    </w:p>
    <w:p>
      <w:pPr>
        <w:pStyle w:val="ListParagraph"/>
        <w:numPr>
          <w:ilvl w:val="0"/>
          <w:numId w:val="2"/>
        </w:numPr>
        <w:spacing w:after="40" w:before="40"/>
      </w:pPr>
      <w:r>
        <w:rPr>
          <w:rFonts w:ascii="Arial" w:cs="Arial" w:eastAsia="Arial" w:hAnsi="Arial"/>
          <w:color w:val="1E293B"/>
          <w:sz w:val="22"/>
          <w:szCs w:val="22"/>
        </w:rPr>
        <w:t xml:space="preserve">Health check endpoint — /api/health for uptime monitoring integration</w:t>
      </w:r>
    </w:p>
    <w:p>
      <w:pPr>
        <w:pStyle w:val="ListParagraph"/>
        <w:numPr>
          <w:ilvl w:val="0"/>
          <w:numId w:val="2"/>
        </w:numPr>
        <w:spacing w:after="40" w:before="40"/>
      </w:pPr>
      <w:r>
        <w:rPr>
          <w:rFonts w:ascii="Arial" w:cs="Arial" w:eastAsia="Arial" w:hAnsi="Arial"/>
          <w:color w:val="1E293B"/>
          <w:sz w:val="22"/>
          <w:szCs w:val="22"/>
        </w:rPr>
        <w:t xml:space="preserve">Feature Flags — enables targeted rollouts and instant kill-switches without deployment</w:t>
      </w:r>
    </w:p>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11. Technical Debt &amp; Risk Register</w:t>
      </w:r>
    </w:p>
    <w:p>
      <w:pPr>
        <w:spacing w:after="80" w:before="80"/>
        <w:jc w:val="both"/>
      </w:pPr>
      <w:r>
        <w:rPr>
          <w:rFonts w:ascii="Arial" w:cs="Arial" w:eastAsia="Arial" w:hAnsi="Arial"/>
          <w:color w:val="1E293B"/>
          <w:sz w:val="22"/>
          <w:szCs w:val="22"/>
        </w:rPr>
        <w:t xml:space="preserve">The following risks are identified from direct code analysis. Each is bounded, understood, and has a clear remediation path. None represents an existential technical risk to the platform.</w:t>
      </w:r>
    </w:p>
    <w:p>
      <w:pPr>
        <w:spacing w:after="0" w:before="1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400"/>
        <w:gridCol w:w="2800"/>
        <w:gridCol w:w="2560"/>
      </w:tblGrid>
      <w:tr>
        <w:trPr>
          <w:tblHeader/>
        </w:trPr>
        <w:tc>
          <w:tcPr>
            <w:tcW w:type="dxa" w:w="16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Risk</w:t>
            </w:r>
          </w:p>
        </w:tc>
        <w:tc>
          <w:tcPr>
            <w:tcW w:type="dxa" w:w="1000"/>
            <w:tcBorders>
              <w:top w:val="single" w:color="E2E8F0" w:sz="1"/>
              <w:left w:val="single" w:color="E2E8F0" w:sz="1"/>
              <w:bottom w:val="single" w:color="E2E8F0" w:sz="1"/>
              <w:right w:val="single" w:color="E2E8F0" w:sz="1"/>
            </w:tcBorders>
            <w:shd w:fill="1B2A4A" w:val="clear"/>
            <w:tcMar>
              <w:top w:type="dxa" w:w="80"/>
              <w:left w:type="dxa" w:w="80"/>
              <w:bottom w:type="dxa" w:w="80"/>
              <w:right w:type="dxa" w:w="80"/>
            </w:tcMar>
            <w:vAlign w:val="center"/>
          </w:tcPr>
          <w:p>
            <w:pPr>
              <w:jc w:val="center"/>
            </w:pPr>
            <w:r>
              <w:rPr>
                <w:rFonts w:ascii="Arial" w:cs="Arial" w:eastAsia="Arial" w:hAnsi="Arial"/>
                <w:b/>
                <w:bCs/>
                <w:i w:val="false"/>
                <w:iCs w:val="false"/>
                <w:color w:val="FFFFFF"/>
                <w:sz w:val="19"/>
                <w:szCs w:val="19"/>
              </w:rPr>
              <w:t xml:space="preserve">Severity</w:t>
            </w:r>
          </w:p>
        </w:tc>
        <w:tc>
          <w:tcPr>
            <w:tcW w:type="dxa" w:w="1400"/>
            <w:tcBorders>
              <w:top w:val="single" w:color="E2E8F0" w:sz="1"/>
              <w:left w:val="single" w:color="E2E8F0" w:sz="1"/>
              <w:bottom w:val="single" w:color="E2E8F0" w:sz="1"/>
              <w:right w:val="single" w:color="E2E8F0" w:sz="1"/>
            </w:tcBorders>
            <w:shd w:fill="1B2A4A"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FFFFFF"/>
                <w:sz w:val="19"/>
                <w:szCs w:val="19"/>
              </w:rPr>
              <w:t xml:space="preserve">Likelihood</w:t>
            </w:r>
          </w:p>
        </w:tc>
        <w:tc>
          <w:tcPr>
            <w:tcW w:type="dxa" w:w="2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Impact</w:t>
            </w:r>
          </w:p>
        </w:tc>
        <w:tc>
          <w:tcPr>
            <w:tcW w:type="dxa" w:w="25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val="false"/>
                <w:bCs w:val="false"/>
                <w:i w:val="false"/>
                <w:iCs w:val="false"/>
                <w:color w:val="FFFFFF"/>
                <w:sz w:val="19"/>
                <w:szCs w:val="19"/>
              </w:rPr>
              <w:t xml:space="preserve">Remediation</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247 routes outside middleware</w:t>
            </w:r>
          </w:p>
        </w:tc>
        <w:tc>
          <w:tcPr>
            <w:tcW w:type="dxa" w:w="10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vAlign w:val="center"/>
          </w:tcPr>
          <w:p>
            <w:pPr>
              <w:jc w:val="center"/>
            </w:pPr>
            <w:r>
              <w:rPr>
                <w:rFonts w:ascii="Arial" w:cs="Arial" w:eastAsia="Arial" w:hAnsi="Arial"/>
                <w:b/>
                <w:bCs/>
                <w:i w:val="false"/>
                <w:iCs w:val="false"/>
                <w:color w:val="DC2626"/>
                <w:sz w:val="19"/>
                <w:szCs w:val="19"/>
              </w:rPr>
              <w:t xml:space="preserve">High</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64748B"/>
                <w:sz w:val="19"/>
                <w:szCs w:val="19"/>
              </w:rPr>
              <w:t xml:space="preserve">Certain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Inconsistent error handling; harder debugging at scale; compliance gaps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Roll out withApiHandler() — ~2-3 engineering sprints</w:t>
            </w:r>
          </w:p>
        </w:tc>
      </w:tr>
      <w:tr>
        <w:trPr>
          <w:tblHeader w:val="false"/>
        </w:trP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17 files over 1,000 lines</w:t>
            </w:r>
          </w:p>
        </w:tc>
        <w:tc>
          <w:tcPr>
            <w:tcW w:type="dxa" w:w="1000"/>
            <w:tcBorders>
              <w:top w:val="single" w:color="E2E8F0" w:sz="1"/>
              <w:left w:val="single" w:color="E2E8F0" w:sz="1"/>
              <w:bottom w:val="single" w:color="E2E8F0" w:sz="1"/>
              <w:right w:val="single" w:color="E2E8F0" w:sz="1"/>
            </w:tcBorders>
            <w:shd w:fill="FEE2E2" w:val="clear"/>
            <w:tcMar>
              <w:top w:type="dxa" w:w="80"/>
              <w:left w:type="dxa" w:w="80"/>
              <w:bottom w:type="dxa" w:w="80"/>
              <w:right w:type="dxa" w:w="80"/>
            </w:tcMar>
            <w:vAlign w:val="center"/>
          </w:tcPr>
          <w:p>
            <w:pPr>
              <w:jc w:val="center"/>
            </w:pPr>
            <w:r>
              <w:rPr>
                <w:rFonts w:ascii="Arial" w:cs="Arial" w:eastAsia="Arial" w:hAnsi="Arial"/>
                <w:b/>
                <w:bCs/>
                <w:i w:val="false"/>
                <w:iCs w:val="false"/>
                <w:color w:val="DC2626"/>
                <w:sz w:val="19"/>
                <w:szCs w:val="19"/>
              </w:rPr>
              <w:t xml:space="preserve">High</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64748B"/>
                <w:sz w:val="19"/>
                <w:szCs w:val="19"/>
              </w:rPr>
              <w:t xml:space="preserve">Certain</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Harder to onboard new engineers; higher bug risk in large files; slower code reviews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Split files by domain — NotificationService.ts (1,413 lines) first</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6 pre-existing test failures</w:t>
            </w:r>
          </w:p>
        </w:tc>
        <w:tc>
          <w:tcPr>
            <w:tcW w:type="dxa" w:w="10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vAlign w:val="center"/>
          </w:tcPr>
          <w:p>
            <w:pPr>
              <w:jc w:val="center"/>
            </w:pPr>
            <w:r>
              <w:rPr>
                <w:rFonts w:ascii="Arial" w:cs="Arial" w:eastAsia="Arial" w:hAnsi="Arial"/>
                <w:b/>
                <w:bCs/>
                <w:i w:val="false"/>
                <w:iCs w:val="false"/>
                <w:color w:val="D97706"/>
                <w:sz w:val="19"/>
                <w:szCs w:val="19"/>
              </w:rPr>
              <w:t xml:space="preserve">Medium</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64748B"/>
                <w:sz w:val="19"/>
                <w:szCs w:val="19"/>
              </w:rPr>
              <w:t xml:space="preserve">Certain</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Broken test signals; engineers may learn to ignore test failures</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Fix in next sprint — all are isolated environmental issues</w:t>
            </w:r>
          </w:p>
        </w:tc>
      </w:tr>
      <w:tr>
        <w:trPr>
          <w:tblHeader w:val="false"/>
        </w:trP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56 any types in source</w:t>
            </w:r>
          </w:p>
        </w:tc>
        <w:tc>
          <w:tcPr>
            <w:tcW w:type="dxa" w:w="10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vAlign w:val="center"/>
          </w:tcPr>
          <w:p>
            <w:pPr>
              <w:jc w:val="center"/>
            </w:pPr>
            <w:r>
              <w:rPr>
                <w:rFonts w:ascii="Arial" w:cs="Arial" w:eastAsia="Arial" w:hAnsi="Arial"/>
                <w:b/>
                <w:bCs/>
                <w:i w:val="false"/>
                <w:iCs w:val="false"/>
                <w:color w:val="D97706"/>
                <w:sz w:val="19"/>
                <w:szCs w:val="19"/>
              </w:rPr>
              <w:t xml:space="preserve">Medium</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64748B"/>
                <w:sz w:val="19"/>
                <w:szCs w:val="19"/>
              </w:rPr>
              <w:t xml:space="preserve">Low</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Runtime type errors in untested code paths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Systematic replacement over 2-3 sprints alongside feature work</w:t>
            </w:r>
          </w:p>
        </w:tc>
      </w:tr>
      <w:tr>
        <w:trPr>
          <w:tblHeader w:val="false"/>
        </w:trP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AI cost runaway at scale</w:t>
            </w:r>
          </w:p>
        </w:tc>
        <w:tc>
          <w:tcPr>
            <w:tcW w:type="dxa" w:w="1000"/>
            <w:tcBorders>
              <w:top w:val="single" w:color="E2E8F0" w:sz="1"/>
              <w:left w:val="single" w:color="E2E8F0" w:sz="1"/>
              <w:bottom w:val="single" w:color="E2E8F0" w:sz="1"/>
              <w:right w:val="single" w:color="E2E8F0" w:sz="1"/>
            </w:tcBorders>
            <w:shd w:fill="FEF3C7" w:val="clear"/>
            <w:tcMar>
              <w:top w:type="dxa" w:w="80"/>
              <w:left w:type="dxa" w:w="80"/>
              <w:bottom w:type="dxa" w:w="80"/>
              <w:right w:type="dxa" w:w="80"/>
            </w:tcMar>
            <w:vAlign w:val="center"/>
          </w:tcPr>
          <w:p>
            <w:pPr>
              <w:jc w:val="center"/>
            </w:pPr>
            <w:r>
              <w:rPr>
                <w:rFonts w:ascii="Arial" w:cs="Arial" w:eastAsia="Arial" w:hAnsi="Arial"/>
                <w:b/>
                <w:bCs/>
                <w:i w:val="false"/>
                <w:iCs w:val="false"/>
                <w:color w:val="D97706"/>
                <w:sz w:val="19"/>
                <w:szCs w:val="19"/>
              </w:rPr>
              <w:t xml:space="preserve">Medium</w:t>
            </w:r>
          </w:p>
        </w:tc>
        <w:tc>
          <w:tcPr>
            <w:tcW w:type="dxa" w:w="14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64748B"/>
                <w:sz w:val="19"/>
                <w:szCs w:val="19"/>
              </w:rPr>
              <w:t xml:space="preserve">Low</w:t>
            </w:r>
          </w:p>
        </w:tc>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GPT-4 costs scale linearly with job volume if caching is insufficient</w:t>
            </w:r>
          </w:p>
        </w:tc>
        <w:tc>
          <w:tcPr>
            <w:tcW w:type="dxa" w:w="2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Already mitigated with AI Cost Control system; review cache hit rate</w:t>
            </w:r>
          </w:p>
        </w:tc>
      </w:tr>
      <w:tr>
        <w:trPr>
          <w:tblHeader w:val="false"/>
        </w:trP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Next.js/React 19 upgrade risk</w:t>
            </w:r>
          </w:p>
        </w:tc>
        <w:tc>
          <w:tcPr>
            <w:tcW w:type="dxa" w:w="10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Low</w:t>
            </w:r>
          </w:p>
        </w:tc>
        <w:tc>
          <w:tcPr>
            <w:tcW w:type="dxa" w:w="14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64748B"/>
                <w:sz w:val="19"/>
                <w:szCs w:val="19"/>
              </w:rPr>
              <w:t xml:space="preserve">Low</w:t>
            </w:r>
          </w:p>
        </w:tc>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Dependency compatibility issues with third-party packages on latest versions</w:t>
            </w:r>
          </w:p>
        </w:tc>
        <w:tc>
          <w:tcPr>
            <w:tcW w:type="dxa" w:w="2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Monitor release notes; pin minor versions in production</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12. Engineering Team &amp; Process</w:t>
      </w:r>
    </w:p>
    <w:p>
      <w:pPr>
        <w:pStyle w:val="Heading2"/>
        <w:spacing w:after="80" w:before="280"/>
      </w:pPr>
      <w:r>
        <w:rPr>
          <w:rFonts w:ascii="Arial" w:cs="Arial" w:eastAsia="Arial" w:hAnsi="Arial"/>
          <w:b/>
          <w:bCs/>
          <w:color w:val="0E7490"/>
          <w:sz w:val="26"/>
          <w:szCs w:val="26"/>
        </w:rPr>
        <w:t xml:space="preserve">12.1 Engineering Standards</w:t>
      </w:r>
    </w:p>
    <w:p>
      <w:pPr>
        <w:spacing w:after="80" w:before="80"/>
        <w:jc w:val="both"/>
      </w:pPr>
      <w:r>
        <w:rPr>
          <w:rFonts w:ascii="Arial" w:cs="Arial" w:eastAsia="Arial" w:hAnsi="Arial"/>
          <w:color w:val="1E293B"/>
          <w:sz w:val="22"/>
          <w:szCs w:val="22"/>
        </w:rPr>
        <w:t xml:space="preserve">The Mintenance engineering team has established a sophisticated development contract (CLAUDE.md) that defines:</w:t>
      </w:r>
    </w:p>
    <w:p>
      <w:pPr>
        <w:spacing w:after="0" w:before="80"/>
      </w:pPr>
      <w:r>
        <w:rPr>
          <w:rFonts w:ascii="Arial" w:cs="Arial" w:eastAsia="Arial" w:hAnsi="Arial"/>
          <w:b w:val="false"/>
          <w:bCs w:val="false"/>
          <w:i w:val="false"/>
          <w:iCs w:val="false"/>
          <w:color w:val="1E293B"/>
          <w:sz w:val="22"/>
          <w:szCs w:val="22"/>
        </w:rPr>
        <w:t xml:space="preserve"/>
      </w:r>
    </w:p>
    <w:p>
      <w:pPr>
        <w:pStyle w:val="ListParagraph"/>
        <w:numPr>
          <w:ilvl w:val="0"/>
          <w:numId w:val="2"/>
        </w:numPr>
        <w:spacing w:after="40" w:before="40"/>
      </w:pPr>
      <w:r>
        <w:rPr>
          <w:rFonts w:ascii="Arial" w:cs="Arial" w:eastAsia="Arial" w:hAnsi="Arial"/>
          <w:color w:val="1E293B"/>
          <w:sz w:val="22"/>
          <w:szCs w:val="22"/>
        </w:rPr>
        <w:t xml:space="preserve">Mandatory context analysis before every code change — prevents regressions and enforces dependency awareness</w:t>
      </w:r>
    </w:p>
    <w:p>
      <w:pPr>
        <w:pStyle w:val="ListParagraph"/>
        <w:numPr>
          <w:ilvl w:val="0"/>
          <w:numId w:val="2"/>
        </w:numPr>
        <w:spacing w:after="40" w:before="40"/>
      </w:pPr>
      <w:r>
        <w:rPr>
          <w:rFonts w:ascii="Arial" w:cs="Arial" w:eastAsia="Arial" w:hAnsi="Arial"/>
          <w:color w:val="1E293B"/>
          <w:sz w:val="22"/>
          <w:szCs w:val="22"/>
        </w:rPr>
        <w:t xml:space="preserve">Specialised sub-agent workflow for UI, testing, security, performance, mobile, database, and API work</w:t>
      </w:r>
    </w:p>
    <w:p>
      <w:pPr>
        <w:pStyle w:val="ListParagraph"/>
        <w:numPr>
          <w:ilvl w:val="0"/>
          <w:numId w:val="2"/>
        </w:numPr>
        <w:spacing w:after="40" w:before="40"/>
      </w:pPr>
      <w:r>
        <w:rPr>
          <w:rFonts w:ascii="Arial" w:cs="Arial" w:eastAsia="Arial" w:hAnsi="Arial"/>
          <w:color w:val="1E293B"/>
          <w:sz w:val="22"/>
          <w:szCs w:val="22"/>
        </w:rPr>
        <w:t xml:space="preserve">Zero-tolerance policy for false claims — all code changes must include evidence of commands run and outputs verified</w:t>
      </w:r>
    </w:p>
    <w:p>
      <w:pPr>
        <w:pStyle w:val="ListParagraph"/>
        <w:numPr>
          <w:ilvl w:val="0"/>
          <w:numId w:val="2"/>
        </w:numPr>
        <w:spacing w:after="40" w:before="40"/>
      </w:pPr>
      <w:r>
        <w:rPr>
          <w:rFonts w:ascii="Arial" w:cs="Arial" w:eastAsia="Arial" w:hAnsi="Arial"/>
          <w:color w:val="1E293B"/>
          <w:sz w:val="22"/>
          <w:szCs w:val="22"/>
        </w:rPr>
        <w:t xml:space="preserve">Post-task audit requirements — diffs, test outputs, and known limitations must be documented</w:t>
      </w:r>
    </w:p>
    <w:p>
      <w:pPr>
        <w:pStyle w:val="ListParagraph"/>
        <w:numPr>
          <w:ilvl w:val="0"/>
          <w:numId w:val="2"/>
        </w:numPr>
        <w:spacing w:after="40" w:before="40"/>
      </w:pPr>
      <w:r>
        <w:rPr>
          <w:rFonts w:ascii="Arial" w:cs="Arial" w:eastAsia="Arial" w:hAnsi="Arial"/>
          <w:color w:val="1E293B"/>
          <w:sz w:val="22"/>
          <w:szCs w:val="22"/>
        </w:rPr>
        <w:t xml:space="preserve">Structured commit message format — references context analysis and affected agents</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Process Maturity Signal</w:t>
            </w:r>
          </w:p>
          <w:p>
            <w:pPr>
              <w:spacing w:after="0" w:before="0"/>
            </w:pPr>
            <w:r>
              <w:rPr>
                <w:rFonts w:ascii="Arial" w:cs="Arial" w:eastAsia="Arial" w:hAnsi="Arial"/>
                <w:b w:val="false"/>
                <w:bCs w:val="false"/>
                <w:i w:val="false"/>
                <w:iCs w:val="false"/>
                <w:color w:val="1E293B"/>
                <w:sz w:val="20"/>
                <w:szCs w:val="20"/>
              </w:rPr>
              <w:t xml:space="preserve">The existence of a detailed CLAUDE.md engineering contract — covering anti-bias rules, verification protocols, and mandatory sub-agent usage — is indicative of an engineering culture that has reflected on its own failure modes and built systematic countermeasures. This is unusual and positive for a startup.</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12.2 Documentation Posture</w:t>
      </w:r>
    </w:p>
    <w:p>
      <w:pPr>
        <w:pStyle w:val="ListParagraph"/>
        <w:numPr>
          <w:ilvl w:val="0"/>
          <w:numId w:val="2"/>
        </w:numPr>
        <w:spacing w:after="40" w:before="40"/>
      </w:pPr>
      <w:r>
        <w:rPr>
          <w:rFonts w:ascii="Arial" w:cs="Arial" w:eastAsia="Arial" w:hAnsi="Arial"/>
          <w:color w:val="1E293B"/>
          <w:sz w:val="22"/>
          <w:szCs w:val="22"/>
        </w:rPr>
        <w:t xml:space="preserve">CLAUDE.md — mandatory development contract with code quality targets and audit history</w:t>
      </w:r>
    </w:p>
    <w:p>
      <w:pPr>
        <w:pStyle w:val="ListParagraph"/>
        <w:numPr>
          <w:ilvl w:val="0"/>
          <w:numId w:val="2"/>
        </w:numPr>
        <w:spacing w:after="40" w:before="40"/>
      </w:pPr>
      <w:r>
        <w:rPr>
          <w:rFonts w:ascii="Arial" w:cs="Arial" w:eastAsia="Arial" w:hAnsi="Arial"/>
          <w:color w:val="1E293B"/>
          <w:sz w:val="22"/>
          <w:szCs w:val="22"/>
        </w:rPr>
        <w:t xml:space="preserve">89 SQL migration files — complete, ordered history of every database change</w:t>
      </w:r>
    </w:p>
    <w:p>
      <w:pPr>
        <w:pStyle w:val="ListParagraph"/>
        <w:numPr>
          <w:ilvl w:val="0"/>
          <w:numId w:val="2"/>
        </w:numPr>
        <w:spacing w:after="40" w:before="40"/>
      </w:pPr>
      <w:r>
        <w:rPr>
          <w:rFonts w:ascii="Arial" w:cs="Arial" w:eastAsia="Arial" w:hAnsi="Arial"/>
          <w:color w:val="1E293B"/>
          <w:sz w:val="22"/>
          <w:szCs w:val="22"/>
        </w:rPr>
        <w:t xml:space="preserve">.env.example — all required environment variables documented</w:t>
      </w:r>
    </w:p>
    <w:p>
      <w:pPr>
        <w:pStyle w:val="ListParagraph"/>
        <w:numPr>
          <w:ilvl w:val="0"/>
          <w:numId w:val="2"/>
        </w:numPr>
        <w:spacing w:after="40" w:before="40"/>
      </w:pPr>
      <w:r>
        <w:rPr>
          <w:rFonts w:ascii="Arial" w:cs="Arial" w:eastAsia="Arial" w:hAnsi="Arial"/>
          <w:color w:val="1E293B"/>
          <w:sz w:val="22"/>
          <w:szCs w:val="22"/>
        </w:rPr>
        <w:t xml:space="preserve">Job lifecycle documentation — 11-phase workflow fully documented in the engineering contract</w:t>
      </w:r>
    </w:p>
    <w:p>
      <w:pPr>
        <w:pStyle w:val="ListParagraph"/>
        <w:numPr>
          <w:ilvl w:val="0"/>
          <w:numId w:val="2"/>
        </w:numPr>
        <w:spacing w:after="40" w:before="40"/>
      </w:pPr>
      <w:r>
        <w:rPr>
          <w:rFonts w:ascii="Arial" w:cs="Arial" w:eastAsia="Arial" w:hAnsi="Arial"/>
          <w:color w:val="1E293B"/>
          <w:sz w:val="22"/>
          <w:szCs w:val="22"/>
        </w:rPr>
        <w:t xml:space="preserve">API route organisation — 30+ domain groups with consistent naming conventions</w:t>
      </w:r>
    </w:p>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13. Strategic Technical Roadmap</w:t>
      </w:r>
    </w:p>
    <w:p>
      <w:pPr>
        <w:spacing w:after="80" w:before="80"/>
        <w:jc w:val="both"/>
      </w:pPr>
      <w:r>
        <w:rPr>
          <w:rFonts w:ascii="Arial" w:cs="Arial" w:eastAsia="Arial" w:hAnsi="Arial"/>
          <w:color w:val="1E293B"/>
          <w:sz w:val="22"/>
          <w:szCs w:val="22"/>
        </w:rPr>
        <w:t xml:space="preserve">The following recommendations are prioritised by business impact and engineering feasibility. They represent a 12-month technical roadmap aligned with the platform's growth objectives.</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13.1 Immediate Priorities (Q1 2026 — 0-3 Months)</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Initiative</w:t>
            </w:r>
          </w:p>
        </w:tc>
        <w:tc>
          <w:tcPr>
            <w:tcW w:type="dxa" w:w="22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FFFFFF"/>
                <w:sz w:val="20"/>
                <w:szCs w:val="20"/>
              </w:rPr>
              <w:t xml:space="preserve">Effort</w:t>
            </w:r>
          </w:p>
        </w:tc>
        <w:tc>
          <w:tcPr>
            <w:tcW w:type="dxa" w:w="416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val="false"/>
                <w:bCs w:val="false"/>
                <w:i w:val="false"/>
                <w:iCs w:val="false"/>
                <w:color w:val="FFFFFF"/>
                <w:sz w:val="20"/>
                <w:szCs w:val="20"/>
              </w:rPr>
              <w:t xml:space="preserve">Business Impact</w:t>
            </w:r>
          </w:p>
        </w:tc>
      </w:tr>
      <w:tr>
        <w:trPr>
          <w:tblHeader w:val="false"/>
        </w:trP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Migrate all 247 API routes to withApiHandler()</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E7490"/>
                <w:sz w:val="20"/>
                <w:szCs w:val="20"/>
              </w:rPr>
              <w:t xml:space="preserve">3 sprints</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Consistent error handling, security logging, and audit trail — prerequisite for compliance certifications</w:t>
            </w:r>
          </w:p>
        </w:tc>
      </w:tr>
      <w:tr>
        <w:trPr>
          <w:tblHeader w:val="false"/>
        </w:trP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Split 17 large files (&gt;1,000 lines)</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0E7490"/>
                <w:sz w:val="20"/>
                <w:szCs w:val="20"/>
              </w:rPr>
              <w:t xml:space="preserve">2 sprints</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Faster code reviews, easier onboarding of new engineers, reduced bug risk</w:t>
            </w:r>
          </w:p>
        </w:tc>
      </w:tr>
      <w:tr>
        <w:trPr>
          <w:tblHeader w:val="false"/>
        </w:trPr>
        <w:tc>
          <w:tcPr>
            <w:tcW w:type="dxa" w:w="3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Fix 6 pre-existing test failures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vAlign w:val="center"/>
          </w:tcPr>
          <w:p>
            <w:pPr>
              <w:jc w:val="center"/>
            </w:pPr>
            <w:r>
              <w:rPr>
                <w:rFonts w:ascii="Arial" w:cs="Arial" w:eastAsia="Arial" w:hAnsi="Arial"/>
                <w:b/>
                <w:bCs/>
                <w:i w:val="false"/>
                <w:iCs w:val="false"/>
                <w:color w:val="0E7490"/>
                <w:sz w:val="20"/>
                <w:szCs w:val="20"/>
              </w:rPr>
              <w:t xml:space="preserve">1 sprint</w:t>
            </w:r>
          </w:p>
        </w:tc>
        <w:tc>
          <w:tcPr>
            <w:tcW w:type="dxa" w:w="41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Restores test signal integrity — prevents 'crying wolf' culture around test failures</w:t>
            </w:r>
          </w:p>
        </w:tc>
      </w:tr>
      <w:tr>
        <w:trPr>
          <w:tblHeader w:val="false"/>
        </w:trP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AI cost monitoring dashboard</w:t>
            </w:r>
          </w:p>
        </w:tc>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vAlign w:val="center"/>
          </w:tcPr>
          <w:p>
            <w:pPr>
              <w:jc w:val="center"/>
            </w:pPr>
            <w:r>
              <w:rPr>
                <w:rFonts w:ascii="Arial" w:cs="Arial" w:eastAsia="Arial" w:hAnsi="Arial"/>
                <w:b/>
                <w:bCs/>
                <w:i w:val="false"/>
                <w:iCs w:val="false"/>
                <w:color w:val="0E7490"/>
                <w:sz w:val="20"/>
                <w:szCs w:val="20"/>
              </w:rPr>
              <w:t xml:space="preserve">1 sprint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20"/>
                <w:szCs w:val="20"/>
              </w:rPr>
              <w:t xml:space="preserve">Visibility into GPT-4 and Google Cloud AI spend before it becomes material</w:t>
            </w:r>
          </w:p>
        </w:tc>
      </w:tr>
    </w:tbl>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13.2 Medium-Term (Q2–Q3 2026 — 3-9 Months)</w:t>
      </w:r>
    </w:p>
    <w:p>
      <w:pPr>
        <w:pStyle w:val="ListParagraph"/>
        <w:numPr>
          <w:ilvl w:val="0"/>
          <w:numId w:val="2"/>
        </w:numPr>
        <w:spacing w:after="40" w:before="40"/>
      </w:pPr>
      <w:r>
        <w:rPr>
          <w:rFonts w:ascii="Arial" w:cs="Arial" w:eastAsia="Arial" w:hAnsi="Arial"/>
          <w:color w:val="1E293B"/>
          <w:sz w:val="22"/>
          <w:szCs w:val="22"/>
        </w:rPr>
        <w:t xml:space="preserve">Systematic elimination of remaining 56 any types — improves runtime reliability as codebase grows</w:t>
      </w:r>
    </w:p>
    <w:p>
      <w:pPr>
        <w:pStyle w:val="ListParagraph"/>
        <w:numPr>
          <w:ilvl w:val="0"/>
          <w:numId w:val="2"/>
        </w:numPr>
        <w:spacing w:after="40" w:before="40"/>
      </w:pPr>
      <w:r>
        <w:rPr>
          <w:rFonts w:ascii="Arial" w:cs="Arial" w:eastAsia="Arial" w:hAnsi="Arial"/>
          <w:color w:val="1E293B"/>
          <w:sz w:val="22"/>
          <w:szCs w:val="22"/>
        </w:rPr>
        <w:t xml:space="preserve">Full E2E test coverage for critical paths — job creation to payment release should have 100% Playwright coverage</w:t>
      </w:r>
    </w:p>
    <w:p>
      <w:pPr>
        <w:pStyle w:val="ListParagraph"/>
        <w:numPr>
          <w:ilvl w:val="0"/>
          <w:numId w:val="2"/>
        </w:numPr>
        <w:spacing w:after="40" w:before="40"/>
      </w:pPr>
      <w:r>
        <w:rPr>
          <w:rFonts w:ascii="Arial" w:cs="Arial" w:eastAsia="Arial" w:hAnsi="Arial"/>
          <w:color w:val="1E293B"/>
          <w:sz w:val="22"/>
          <w:szCs w:val="22"/>
        </w:rPr>
        <w:t xml:space="preserve">AI model versioning and rollback system — as custom models become production-critical, controlled deployment is essential</w:t>
      </w:r>
    </w:p>
    <w:p>
      <w:pPr>
        <w:pStyle w:val="ListParagraph"/>
        <w:numPr>
          <w:ilvl w:val="0"/>
          <w:numId w:val="2"/>
        </w:numPr>
        <w:spacing w:after="40" w:before="40"/>
      </w:pPr>
      <w:r>
        <w:rPr>
          <w:rFonts w:ascii="Arial" w:cs="Arial" w:eastAsia="Arial" w:hAnsi="Arial"/>
          <w:color w:val="1E293B"/>
          <w:sz w:val="22"/>
          <w:szCs w:val="22"/>
        </w:rPr>
        <w:t xml:space="preserve">Contractor analytics dashboard — data flywheel acceleration by giving contractors performance insights that improve job matching</w:t>
      </w:r>
    </w:p>
    <w:p>
      <w:pPr>
        <w:pStyle w:val="ListParagraph"/>
        <w:numPr>
          <w:ilvl w:val="0"/>
          <w:numId w:val="2"/>
        </w:numPr>
        <w:spacing w:after="40" w:before="40"/>
      </w:pPr>
      <w:r>
        <w:rPr>
          <w:rFonts w:ascii="Arial" w:cs="Arial" w:eastAsia="Arial" w:hAnsi="Arial"/>
          <w:color w:val="1E293B"/>
          <w:sz w:val="22"/>
          <w:szCs w:val="22"/>
        </w:rPr>
        <w:t xml:space="preserve">Escrow dispute resolution workflow — formal dispute process reduces manual support overhead as volume scales</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13.3 Strategic Horizon (Q4 2026 — 9-12 Months)</w:t>
      </w:r>
    </w:p>
    <w:p>
      <w:pPr>
        <w:pStyle w:val="ListParagraph"/>
        <w:numPr>
          <w:ilvl w:val="0"/>
          <w:numId w:val="2"/>
        </w:numPr>
        <w:spacing w:after="40" w:before="40"/>
      </w:pPr>
      <w:r>
        <w:rPr>
          <w:rFonts w:ascii="Arial" w:cs="Arial" w:eastAsia="Arial" w:hAnsi="Arial"/>
          <w:color w:val="1E293B"/>
          <w:sz w:val="22"/>
          <w:szCs w:val="22"/>
        </w:rPr>
        <w:t xml:space="preserve">SOC 2 Type II readiness — the existing audit logging, RLS, and CSRF controls provide a strong foundation</w:t>
      </w:r>
    </w:p>
    <w:p>
      <w:pPr>
        <w:pStyle w:val="ListParagraph"/>
        <w:numPr>
          <w:ilvl w:val="0"/>
          <w:numId w:val="2"/>
        </w:numPr>
        <w:spacing w:after="40" w:before="40"/>
      </w:pPr>
      <w:r>
        <w:rPr>
          <w:rFonts w:ascii="Arial" w:cs="Arial" w:eastAsia="Arial" w:hAnsi="Arial"/>
          <w:color w:val="1E293B"/>
          <w:sz w:val="22"/>
          <w:szCs w:val="22"/>
        </w:rPr>
        <w:t xml:space="preserve">Multi-region database deployment — for European market expansion with data residency compliance</w:t>
      </w:r>
    </w:p>
    <w:p>
      <w:pPr>
        <w:pStyle w:val="ListParagraph"/>
        <w:numPr>
          <w:ilvl w:val="0"/>
          <w:numId w:val="2"/>
        </w:numPr>
        <w:spacing w:after="40" w:before="40"/>
      </w:pPr>
      <w:r>
        <w:rPr>
          <w:rFonts w:ascii="Arial" w:cs="Arial" w:eastAsia="Arial" w:hAnsi="Arial"/>
          <w:color w:val="1E293B"/>
          <w:sz w:val="22"/>
          <w:szCs w:val="22"/>
        </w:rPr>
        <w:t xml:space="preserve">Custom ML pipeline for contractor scoring — replace heuristic matching with a fully trained ranking model</w:t>
      </w:r>
    </w:p>
    <w:p>
      <w:pPr>
        <w:pStyle w:val="ListParagraph"/>
        <w:numPr>
          <w:ilvl w:val="0"/>
          <w:numId w:val="2"/>
        </w:numPr>
        <w:spacing w:after="40" w:before="40"/>
      </w:pPr>
      <w:r>
        <w:rPr>
          <w:rFonts w:ascii="Arial" w:cs="Arial" w:eastAsia="Arial" w:hAnsi="Arial"/>
          <w:color w:val="1E293B"/>
          <w:sz w:val="22"/>
          <w:szCs w:val="22"/>
        </w:rPr>
        <w:t xml:space="preserve">Marketplace API (public) — enable third-party integrations (property management software, insurance companies)</w:t>
      </w:r>
    </w:p>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14. Competitive Technology Differentiation</w:t>
      </w:r>
    </w:p>
    <w:p>
      <w:pPr>
        <w:spacing w:after="80" w:before="80"/>
        <w:jc w:val="both"/>
      </w:pPr>
      <w:r>
        <w:rPr>
          <w:rFonts w:ascii="Arial" w:cs="Arial" w:eastAsia="Arial" w:hAnsi="Arial"/>
          <w:color w:val="1E293B"/>
          <w:sz w:val="22"/>
          <w:szCs w:val="22"/>
        </w:rPr>
        <w:t xml:space="preserve">The UK property maintenance market is served primarily by Checkatrade, Rated People, and MyBuilder — all of which use minimal AI and have little to no proprietary ML infrastructure. Mintenance's technology stack represents a step-change in the sophistication available to this market.</w:t>
      </w:r>
    </w:p>
    <w:p>
      <w:pPr>
        <w:spacing w:after="0" w:before="12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W w:type="dxa" w:w="2800"/>
            <w:tcBorders>
              <w:top w:val="single" w:color="E2E8F0" w:sz="1"/>
              <w:left w:val="single" w:color="E2E8F0" w:sz="1"/>
              <w:bottom w:val="single" w:color="E2E8F0" w:sz="1"/>
              <w:right w:val="single" w:color="E2E8F0"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Capability</w:t>
            </w:r>
          </w:p>
        </w:tc>
        <w:tc>
          <w:tcPr>
            <w:tcW w:type="dxa" w:w="1600"/>
            <w:tcBorders>
              <w:top w:val="single" w:color="E2E8F0" w:sz="1"/>
              <w:left w:val="single" w:color="E2E8F0" w:sz="1"/>
              <w:bottom w:val="single" w:color="E2E8F0" w:sz="1"/>
              <w:right w:val="single" w:color="E2E8F0" w:sz="1"/>
            </w:tcBorders>
            <w:shd w:fill="1B2A4A"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97706"/>
                <w:sz w:val="19"/>
                <w:szCs w:val="19"/>
              </w:rPr>
              <w:t xml:space="preserve">Mintenance</w:t>
            </w:r>
          </w:p>
        </w:tc>
        <w:tc>
          <w:tcPr>
            <w:tcW w:type="dxa" w:w="1600"/>
            <w:tcBorders>
              <w:top w:val="single" w:color="E2E8F0" w:sz="1"/>
              <w:left w:val="single" w:color="E2E8F0" w:sz="1"/>
              <w:bottom w:val="single" w:color="E2E8F0" w:sz="1"/>
              <w:right w:val="single" w:color="E2E8F0" w:sz="1"/>
            </w:tcBorders>
            <w:shd w:fill="1B2A4A"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97706"/>
                <w:sz w:val="19"/>
                <w:szCs w:val="19"/>
              </w:rPr>
              <w:t xml:space="preserve">Checkatrade</w:t>
            </w:r>
          </w:p>
        </w:tc>
        <w:tc>
          <w:tcPr>
            <w:tcW w:type="dxa" w:w="1600"/>
            <w:tcBorders>
              <w:top w:val="single" w:color="E2E8F0" w:sz="1"/>
              <w:left w:val="single" w:color="E2E8F0" w:sz="1"/>
              <w:bottom w:val="single" w:color="E2E8F0" w:sz="1"/>
              <w:right w:val="single" w:color="E2E8F0" w:sz="1"/>
            </w:tcBorders>
            <w:shd w:fill="1B2A4A"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97706"/>
                <w:sz w:val="19"/>
                <w:szCs w:val="19"/>
              </w:rPr>
              <w:t xml:space="preserve">Rated People</w:t>
            </w:r>
          </w:p>
        </w:tc>
        <w:tc>
          <w:tcPr>
            <w:tcW w:type="dxa" w:w="1760"/>
            <w:tcBorders>
              <w:top w:val="single" w:color="E2E8F0" w:sz="1"/>
              <w:left w:val="single" w:color="E2E8F0" w:sz="1"/>
              <w:bottom w:val="single" w:color="E2E8F0" w:sz="1"/>
              <w:right w:val="single" w:color="E2E8F0" w:sz="1"/>
            </w:tcBorders>
            <w:shd w:fill="1B2A4A"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FFFFFF"/>
                <w:sz w:val="19"/>
                <w:szCs w:val="19"/>
              </w:rPr>
              <w:t xml:space="preserve">MyBuilder</w:t>
            </w:r>
          </w:p>
        </w:tc>
      </w:tr>
      <w:tr>
        <w:trPr>
          <w:tblHeader w:val="false"/>
        </w:trP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Photo-verified job completion</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Full</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Escrow payment protection</w:t>
            </w:r>
          </w:p>
        </w:tc>
        <w:tc>
          <w:tcPr>
            <w:tcW w:type="dxa" w:w="16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Full</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97706"/>
                <w:sz w:val="19"/>
                <w:szCs w:val="19"/>
              </w:rPr>
              <w:t xml:space="preserve">Partial</w:t>
            </w:r>
          </w:p>
        </w:tc>
      </w:tr>
      <w:tr>
        <w:trPr>
          <w:tblHeader w:val="false"/>
        </w:trP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AI contractor matching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ML-based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 Manual</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 Manual</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 Manual</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Digital contract signing</w:t>
            </w:r>
          </w:p>
        </w:tc>
        <w:tc>
          <w:tcPr>
            <w:tcW w:type="dxa" w:w="16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Both parties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r>
      <w:tr>
        <w:trPr>
          <w:tblHeader w:val="false"/>
        </w:trP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Building damage assessment AI</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SAM2/SAM3</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Geolocation verification</w:t>
            </w:r>
          </w:p>
        </w:tc>
        <w:tc>
          <w:tcPr>
            <w:tcW w:type="dxa" w:w="16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100m threshold</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r>
      <w:tr>
        <w:trPr>
          <w:tblHeader w:val="false"/>
        </w:trP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Real-time job tracking</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WebSockets</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97706"/>
                <w:sz w:val="19"/>
                <w:szCs w:val="19"/>
              </w:rPr>
              <w:t xml:space="preserve">Limited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97706"/>
                <w:sz w:val="19"/>
                <w:szCs w:val="19"/>
              </w:rPr>
              <w:t xml:space="preserve">Limited</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97706"/>
                <w:sz w:val="19"/>
                <w:szCs w:val="19"/>
              </w:rPr>
              <w:t xml:space="preserve">Limited</w:t>
            </w:r>
          </w:p>
        </w:tc>
      </w:tr>
      <w:tr>
        <w:trPr>
          <w:tblHeader w:val="false"/>
        </w:trP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Native mobile app</w:t>
            </w:r>
          </w:p>
        </w:tc>
        <w:tc>
          <w:tcPr>
            <w:tcW w:type="dxa" w:w="1600"/>
            <w:tcBorders>
              <w:top w:val="single" w:color="E2E8F0" w:sz="1"/>
              <w:left w:val="single" w:color="E2E8F0" w:sz="1"/>
              <w:bottom w:val="single" w:color="E2E8F0" w:sz="1"/>
              <w:right w:val="single" w:color="E2E8F0" w:sz="1"/>
            </w:tcBorders>
            <w:shd w:fill="DCFCE7"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iOS + Android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Limited</w:t>
            </w:r>
          </w:p>
        </w:tc>
        <w:tc>
          <w:tcPr>
            <w:tcW w:type="dxa" w:w="160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Limited</w:t>
            </w:r>
          </w:p>
        </w:tc>
        <w:tc>
          <w:tcPr>
            <w:tcW w:type="dxa" w:w="1760"/>
            <w:tcBorders>
              <w:top w:val="single" w:color="E2E8F0" w:sz="1"/>
              <w:left w:val="single" w:color="E2E8F0" w:sz="1"/>
              <w:bottom w:val="single" w:color="E2E8F0" w:sz="1"/>
              <w:right w:val="single" w:color="E2E8F0" w:sz="1"/>
            </w:tcBorders>
            <w:shd w:fill="F8FAFC"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Limited</w:t>
            </w:r>
          </w:p>
        </w:tc>
      </w:tr>
      <w:tr>
        <w:trPr>
          <w:tblHeader w:val="false"/>
        </w:trP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E293B"/>
                <w:sz w:val="19"/>
                <w:szCs w:val="19"/>
              </w:rPr>
              <w:t xml:space="preserve">7-day auto-release safety net</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bCs/>
                <w:i w:val="false"/>
                <w:iCs w:val="false"/>
                <w:color w:val="16A34A"/>
                <w:sz w:val="19"/>
                <w:szCs w:val="19"/>
              </w:rPr>
              <w:t xml:space="preserve">✓ Automated</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60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c>
          <w:tcPr>
            <w:tcW w:type="dxa" w:w="1760"/>
            <w:tcBorders>
              <w:top w:val="single" w:color="E2E8F0" w:sz="1"/>
              <w:left w:val="single" w:color="E2E8F0" w:sz="1"/>
              <w:bottom w:val="single" w:color="E2E8F0" w:sz="1"/>
              <w:right w:val="single" w:color="E2E8F0" w:sz="1"/>
            </w:tcBorders>
            <w:shd w:fill="FFFFFF" w:val="clear"/>
            <w:tcMar>
              <w:top w:type="dxa" w:w="80"/>
              <w:left w:type="dxa" w:w="80"/>
              <w:bottom w:type="dxa" w:w="80"/>
              <w:right w:type="dxa" w:w="80"/>
            </w:tcMar>
            <w:vAlign w:val="center"/>
          </w:tcPr>
          <w:p>
            <w:pPr>
              <w:jc w:val="center"/>
            </w:pPr>
            <w:r>
              <w:rPr>
                <w:rFonts w:ascii="Arial" w:cs="Arial" w:eastAsia="Arial" w:hAnsi="Arial"/>
                <w:b w:val="false"/>
                <w:bCs w:val="false"/>
                <w:i w:val="false"/>
                <w:iCs w:val="false"/>
                <w:color w:val="DC2626"/>
                <w:sz w:val="19"/>
                <w:szCs w:val="19"/>
              </w:rPr>
              <w:t xml:space="preserve">✗</w:t>
            </w:r>
          </w:p>
        </w:tc>
      </w:tr>
    </w:tbl>
    <w:p>
      <w:pPr>
        <w:spacing w:after="0" w:before="120"/>
      </w:pPr>
      <w:r>
        <w:rPr>
          <w:rFonts w:ascii="Arial" w:cs="Arial" w:eastAsia="Arial" w:hAnsi="Arial"/>
          <w:b w:val="false"/>
          <w:bCs w:val="false"/>
          <w:i w:val="false"/>
          <w:iCs w:val="false"/>
          <w:color w:val="1E293B"/>
          <w:sz w:val="22"/>
          <w:szCs w:val="22"/>
        </w:rPr>
        <w:t xml:space="preserve"/>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Technology Moat Summary</w:t>
            </w:r>
          </w:p>
          <w:p>
            <w:pPr>
              <w:spacing w:after="0" w:before="0"/>
            </w:pPr>
            <w:r>
              <w:rPr>
                <w:rFonts w:ascii="Arial" w:cs="Arial" w:eastAsia="Arial" w:hAnsi="Arial"/>
                <w:b w:val="false"/>
                <w:bCs w:val="false"/>
                <w:i w:val="false"/>
                <w:iCs w:val="false"/>
                <w:color w:val="1E293B"/>
                <w:sz w:val="20"/>
                <w:szCs w:val="20"/>
              </w:rPr>
              <w:t xml:space="preserve">Mintenance is the only platform in the UK property maintenance market combining escrow payments, photo-verified completion, AI matching, and building damage assessment AI in a single integrated product. This 5-way feature combination represents a technology moat that would take a well-funded competitor 18-24 months to replicate.</w:t>
            </w:r>
          </w:p>
        </w:tc>
      </w:tr>
    </w:tbl>
    <w:p>
      <w:r>
        <w:br w:type="page"/>
      </w:r>
    </w:p>
    <w:p>
      <w:pPr>
        <w:pStyle w:val="Heading1"/>
        <w:pBdr>
          <w:bottom w:val="single" w:color="0E7490" w:sz="6" w:space="6"/>
        </w:pBdr>
        <w:spacing w:after="120" w:before="360"/>
      </w:pPr>
      <w:r>
        <w:rPr>
          <w:rFonts w:ascii="Arial" w:cs="Arial" w:eastAsia="Arial" w:hAnsi="Arial"/>
          <w:b/>
          <w:bCs/>
          <w:color w:val="1B2A4A"/>
          <w:sz w:val="32"/>
          <w:szCs w:val="32"/>
        </w:rPr>
        <w:t xml:space="preserve">15. Conclusions &amp; Investment Summary</w:t>
      </w:r>
    </w:p>
    <w:p>
      <w:pPr>
        <w:pStyle w:val="Heading2"/>
        <w:spacing w:after="80" w:before="280"/>
      </w:pPr>
      <w:r>
        <w:rPr>
          <w:rFonts w:ascii="Arial" w:cs="Arial" w:eastAsia="Arial" w:hAnsi="Arial"/>
          <w:b/>
          <w:bCs/>
          <w:color w:val="0E7490"/>
          <w:sz w:val="26"/>
          <w:szCs w:val="26"/>
        </w:rPr>
        <w:t xml:space="preserve">15.1 Strengths</w:t>
      </w:r>
    </w:p>
    <w:p>
      <w:pPr>
        <w:pStyle w:val="ListParagraph"/>
        <w:numPr>
          <w:ilvl w:val="0"/>
          <w:numId w:val="2"/>
        </w:numPr>
        <w:spacing w:after="40" w:before="40"/>
      </w:pPr>
      <w:r>
        <w:rPr>
          <w:rFonts w:ascii="Arial" w:cs="Arial" w:eastAsia="Arial" w:hAnsi="Arial"/>
          <w:color w:val="1E293B"/>
          <w:sz w:val="22"/>
          <w:szCs w:val="22"/>
        </w:rPr>
        <w:t xml:space="preserve">Modern, production-grade technology stack — Next.js 16, React 19, TypeScript strict mode, Supabase, Stripe</w:t>
      </w:r>
    </w:p>
    <w:p>
      <w:pPr>
        <w:pStyle w:val="ListParagraph"/>
        <w:numPr>
          <w:ilvl w:val="0"/>
          <w:numId w:val="2"/>
        </w:numPr>
        <w:spacing w:after="40" w:before="40"/>
      </w:pPr>
      <w:r>
        <w:rPr>
          <w:rFonts w:ascii="Arial" w:cs="Arial" w:eastAsia="Arial" w:hAnsi="Arial"/>
          <w:color w:val="1E293B"/>
          <w:sz w:val="22"/>
          <w:szCs w:val="22"/>
        </w:rPr>
        <w:t xml:space="preserve">Sophisticated AI/ML infrastructure that most competitors lack entirely</w:t>
      </w:r>
    </w:p>
    <w:p>
      <w:pPr>
        <w:pStyle w:val="ListParagraph"/>
        <w:numPr>
          <w:ilvl w:val="0"/>
          <w:numId w:val="2"/>
        </w:numPr>
        <w:spacing w:after="40" w:before="40"/>
      </w:pPr>
      <w:r>
        <w:rPr>
          <w:rFonts w:ascii="Arial" w:cs="Arial" w:eastAsia="Arial" w:hAnsi="Arial"/>
          <w:color w:val="1E293B"/>
          <w:sz w:val="22"/>
          <w:szCs w:val="22"/>
        </w:rPr>
        <w:t xml:space="preserve">End-to-end job lifecycle with fraud-resistant payment and photo verification</w:t>
      </w:r>
    </w:p>
    <w:p>
      <w:pPr>
        <w:pStyle w:val="ListParagraph"/>
        <w:numPr>
          <w:ilvl w:val="0"/>
          <w:numId w:val="2"/>
        </w:numPr>
        <w:spacing w:after="40" w:before="40"/>
      </w:pPr>
      <w:r>
        <w:rPr>
          <w:rFonts w:ascii="Arial" w:cs="Arial" w:eastAsia="Arial" w:hAnsi="Arial"/>
          <w:color w:val="1E293B"/>
          <w:sz w:val="22"/>
          <w:szCs w:val="22"/>
        </w:rPr>
        <w:t xml:space="preserve">Clean monorepo architecture enabling cross-platform code sharing between web and mobile</w:t>
      </w:r>
    </w:p>
    <w:p>
      <w:pPr>
        <w:pStyle w:val="ListParagraph"/>
        <w:numPr>
          <w:ilvl w:val="0"/>
          <w:numId w:val="2"/>
        </w:numPr>
        <w:spacing w:after="40" w:before="40"/>
      </w:pPr>
      <w:r>
        <w:rPr>
          <w:rFonts w:ascii="Arial" w:cs="Arial" w:eastAsia="Arial" w:hAnsi="Arial"/>
          <w:color w:val="1E293B"/>
          <w:sz w:val="22"/>
          <w:szCs w:val="22"/>
        </w:rPr>
        <w:t xml:space="preserve">Strong test infrastructure — 96.2% web and 93.8% mobile pass rates</w:t>
      </w:r>
    </w:p>
    <w:p>
      <w:pPr>
        <w:pStyle w:val="ListParagraph"/>
        <w:numPr>
          <w:ilvl w:val="0"/>
          <w:numId w:val="2"/>
        </w:numPr>
        <w:spacing w:after="40" w:before="40"/>
      </w:pPr>
      <w:r>
        <w:rPr>
          <w:rFonts w:ascii="Arial" w:cs="Arial" w:eastAsia="Arial" w:hAnsi="Arial"/>
          <w:color w:val="1E293B"/>
          <w:sz w:val="22"/>
          <w:szCs w:val="22"/>
        </w:rPr>
        <w:t xml:space="preserve">Layered security — RLS, CSRF, rate limiting, audit logging, GDPR endpoints</w:t>
      </w:r>
    </w:p>
    <w:p>
      <w:pPr>
        <w:pStyle w:val="ListParagraph"/>
        <w:numPr>
          <w:ilvl w:val="0"/>
          <w:numId w:val="2"/>
        </w:numPr>
        <w:spacing w:after="40" w:before="40"/>
      </w:pPr>
      <w:r>
        <w:rPr>
          <w:rFonts w:ascii="Arial" w:cs="Arial" w:eastAsia="Arial" w:hAnsi="Arial"/>
          <w:color w:val="1E293B"/>
          <w:sz w:val="22"/>
          <w:szCs w:val="22"/>
        </w:rPr>
        <w:t xml:space="preserve">Engineering standards documentation demonstrating process maturity beyond typical early-stage companies</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15.2 Areas for Investment Focus</w:t>
      </w:r>
    </w:p>
    <w:p>
      <w:pPr>
        <w:pStyle w:val="ListParagraph"/>
        <w:numPr>
          <w:ilvl w:val="0"/>
          <w:numId w:val="2"/>
        </w:numPr>
        <w:spacing w:after="40" w:before="40"/>
      </w:pPr>
      <w:r>
        <w:rPr>
          <w:rFonts w:ascii="Arial" w:cs="Arial" w:eastAsia="Arial" w:hAnsi="Arial"/>
          <w:color w:val="1E293B"/>
          <w:sz w:val="22"/>
          <w:szCs w:val="22"/>
        </w:rPr>
        <w:t xml:space="preserve">API middleware migration — highest ROI engineering project for the next quarter (compliance, reliability, developer productivity)</w:t>
      </w:r>
    </w:p>
    <w:p>
      <w:pPr>
        <w:pStyle w:val="ListParagraph"/>
        <w:numPr>
          <w:ilvl w:val="0"/>
          <w:numId w:val="2"/>
        </w:numPr>
        <w:spacing w:after="40" w:before="40"/>
      </w:pPr>
      <w:r>
        <w:rPr>
          <w:rFonts w:ascii="Arial" w:cs="Arial" w:eastAsia="Arial" w:hAnsi="Arial"/>
          <w:color w:val="1E293B"/>
          <w:sz w:val="22"/>
          <w:szCs w:val="22"/>
        </w:rPr>
        <w:t xml:space="preserve">File refactoring — bounded work that improves engineering velocity and reduces onboarding time</w:t>
      </w:r>
    </w:p>
    <w:p>
      <w:pPr>
        <w:pStyle w:val="ListParagraph"/>
        <w:numPr>
          <w:ilvl w:val="0"/>
          <w:numId w:val="2"/>
        </w:numPr>
        <w:spacing w:after="40" w:before="40"/>
      </w:pPr>
      <w:r>
        <w:rPr>
          <w:rFonts w:ascii="Arial" w:cs="Arial" w:eastAsia="Arial" w:hAnsi="Arial"/>
          <w:color w:val="1E293B"/>
          <w:sz w:val="22"/>
          <w:szCs w:val="22"/>
        </w:rPr>
        <w:t xml:space="preserve">E2E test coverage — fully automated regression detection for the payment-critical job lifecycle</w:t>
      </w:r>
    </w:p>
    <w:p>
      <w:pPr>
        <w:spacing w:after="0" w:before="120"/>
      </w:pPr>
      <w:r>
        <w:rPr>
          <w:rFonts w:ascii="Arial" w:cs="Arial" w:eastAsia="Arial" w:hAnsi="Arial"/>
          <w:b w:val="false"/>
          <w:bCs w:val="false"/>
          <w:i w:val="false"/>
          <w:iCs w:val="false"/>
          <w:color w:val="1E293B"/>
          <w:sz w:val="22"/>
          <w:szCs w:val="22"/>
        </w:rPr>
        <w:t xml:space="preserve"/>
      </w:r>
    </w:p>
    <w:p>
      <w:pPr>
        <w:pStyle w:val="Heading2"/>
        <w:spacing w:after="80" w:before="280"/>
      </w:pPr>
      <w:r>
        <w:rPr>
          <w:rFonts w:ascii="Arial" w:cs="Arial" w:eastAsia="Arial" w:hAnsi="Arial"/>
          <w:b/>
          <w:bCs/>
          <w:color w:val="0E7490"/>
          <w:sz w:val="26"/>
          <w:szCs w:val="26"/>
        </w:rPr>
        <w:t xml:space="preserve">15.3 Technical Due Diligence Verdict</w:t>
      </w:r>
    </w:p>
    <w:p>
      <w:pPr>
        <w:spacing w:after="0" w:before="80"/>
      </w:pPr>
      <w:r>
        <w:rPr>
          <w:rFonts w:ascii="Arial" w:cs="Arial" w:eastAsia="Arial" w:hAnsi="Arial"/>
          <w:b w:val="false"/>
          <w:bCs w:val="false"/>
          <w:i w:val="false"/>
          <w:iCs w:val="false"/>
          <w:color w:val="1E293B"/>
          <w:sz w:val="22"/>
          <w:szCs w:val="22"/>
        </w:rPr>
        <w:t xml:space="preserve"/>
      </w:r>
    </w:p>
    <w:tbl>
      <w:tblPr>
        <w:tblW w:type="dxa" w:w="9360"/>
        <w:tblBorders>
          <w:top w:val="single" w:color="0E7490" w:sz="3"/>
          <w:left w:val="none"/>
          <w:bottom w:val="none"/>
          <w:right w:val="none"/>
          <w:insideH w:val="single" w:color="auto" w:sz="4"/>
          <w:insideV w:val="single" w:color="auto" w:sz="4"/>
        </w:tblBorders>
      </w:tblPr>
      <w:tblGrid>
        <w:gridCol w:w="9360"/>
      </w:tblGrid>
      <w:tr>
        <w:tc>
          <w:tcPr>
            <w:tcW w:type="dxa" w:w="9360"/>
            <w:shd w:fill="CFFAFE" w:val="clear"/>
            <w:tcMar>
              <w:top w:type="dxa" w:w="120"/>
              <w:left w:type="dxa" w:w="180"/>
              <w:bottom w:type="dxa" w:w="120"/>
              <w:right w:type="dxa" w:w="180"/>
            </w:tcMar>
          </w:tcPr>
          <w:p>
            <w:pPr>
              <w:spacing w:after="40" w:before="0"/>
            </w:pPr>
            <w:r>
              <w:rPr>
                <w:rFonts w:ascii="Arial" w:cs="Arial" w:eastAsia="Arial" w:hAnsi="Arial"/>
                <w:b/>
                <w:bCs/>
                <w:i w:val="false"/>
                <w:iCs w:val="false"/>
                <w:color w:val="0E7490"/>
                <w:sz w:val="20"/>
                <w:szCs w:val="20"/>
              </w:rPr>
              <w:t xml:space="preserve">Verdict: Technology Risk is LOW — Opportunity is HIGH</w:t>
            </w:r>
          </w:p>
          <w:p>
            <w:pPr>
              <w:spacing w:after="0" w:before="0"/>
            </w:pPr>
            <w:r>
              <w:rPr>
                <w:rFonts w:ascii="Arial" w:cs="Arial" w:eastAsia="Arial" w:hAnsi="Arial"/>
                <w:b w:val="false"/>
                <w:bCs w:val="false"/>
                <w:i w:val="false"/>
                <w:iCs w:val="false"/>
                <w:color w:val="1E293B"/>
                <w:sz w:val="20"/>
                <w:szCs w:val="20"/>
              </w:rPr>
              <w:t xml:space="preserve">Mintenance has built a sophisticated, production-ready technology platform with genuine AI differentiation. The identified technical debt is bounded, well-understood, and has a clear remediation roadmap. The architectural foundation is sound. The AI/ML investment positions the company to deliver capabilities that competitors cannot match. From a technology perspective, this is a platform worth backing.</w:t>
            </w:r>
          </w:p>
        </w:tc>
      </w:tr>
    </w:tbl>
    <w:p>
      <w:pPr>
        <w:spacing w:after="0" w:before="120"/>
      </w:pPr>
      <w:r>
        <w:rPr>
          <w:rFonts w:ascii="Arial" w:cs="Arial" w:eastAsia="Arial" w:hAnsi="Arial"/>
          <w:b w:val="false"/>
          <w:bCs w:val="false"/>
          <w:i w:val="false"/>
          <w:iCs w:val="false"/>
          <w:color w:val="1E293B"/>
          <w:sz w:val="22"/>
          <w:szCs w:val="22"/>
        </w:rPr>
        <w:t xml:space="preserve"/>
      </w:r>
    </w:p>
    <w:p>
      <w:pPr>
        <w:pBdr>
          <w:bottom w:val="single" w:color="E2E8F0" w:sz="2" w:space="4"/>
        </w:pBdr>
        <w:spacing w:after="80" w:before="80"/>
      </w:pPr>
      <w:r>
        <w:rPr>
          <w:rFonts w:ascii="Arial" w:cs="Arial" w:eastAsia="Arial" w:hAnsi="Arial"/>
          <w:b w:val="false"/>
          <w:bCs w:val="false"/>
          <w:i w:val="false"/>
          <w:iCs w:val="false"/>
          <w:color w:val="1E293B"/>
          <w:sz w:val="22"/>
          <w:szCs w:val="22"/>
        </w:rPr>
        <w:t xml:space="preserve"/>
      </w:r>
    </w:p>
    <w:p>
      <w:pPr>
        <w:spacing w:after="0" w:before="80"/>
      </w:pPr>
      <w:r>
        <w:rPr>
          <w:rFonts w:ascii="Arial" w:cs="Arial" w:eastAsia="Arial" w:hAnsi="Arial"/>
          <w:b w:val="false"/>
          <w:bCs w:val="false"/>
          <w:i w:val="false"/>
          <w:iCs w:val="false"/>
          <w:color w:val="1E293B"/>
          <w:sz w:val="22"/>
          <w:szCs w:val="22"/>
        </w:rPr>
        <w:t xml:space="preserve"/>
      </w:r>
    </w:p>
    <w:p>
      <w:pPr>
        <w:spacing w:after="40" w:before="120"/>
        <w:jc w:val="center"/>
      </w:pPr>
      <w:r>
        <w:rPr>
          <w:rFonts w:ascii="Arial" w:cs="Arial" w:eastAsia="Arial" w:hAnsi="Arial"/>
          <w:b w:val="false"/>
          <w:bCs w:val="false"/>
          <w:i/>
          <w:iCs/>
          <w:color w:val="64748B"/>
          <w:sz w:val="20"/>
          <w:szCs w:val="20"/>
        </w:rPr>
        <w:t xml:space="preserve">Mintenance Ltd  |  gloire@mintenance.co.uk  |  February 2026</w:t>
      </w:r>
    </w:p>
    <w:p>
      <w:pPr>
        <w:spacing w:after="80" w:before="0"/>
        <w:jc w:val="center"/>
      </w:pPr>
      <w:r>
        <w:rPr>
          <w:rFonts w:ascii="Arial" w:cs="Arial" w:eastAsia="Arial" w:hAnsi="Arial"/>
          <w:b w:val="false"/>
          <w:bCs w:val="false"/>
          <w:i/>
          <w:iCs/>
          <w:color w:val="64748B"/>
          <w:sz w:val="18"/>
          <w:szCs w:val="18"/>
        </w:rPr>
        <w:t xml:space="preserve">This document is confidential and intended solely for the named recipient(s).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spacing w:after="0" w:before="80"/>
      <w:jc w:val="center"/>
    </w:pPr>
    <w:r>
      <w:rPr>
        <w:rFonts w:ascii="Arial" w:cs="Arial" w:eastAsia="Arial" w:hAnsi="Arial"/>
        <w:b w:val="false"/>
        <w:bCs w:val="false"/>
        <w:i w:val="false"/>
        <w:iCs w:val="false"/>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b w:val="false"/>
        <w:bCs w:val="false"/>
        <w:i w:val="false"/>
        <w:iCs w:val="false"/>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490" w:sz="3" w:space="4"/>
      </w:pBdr>
      <w:spacing w:after="120" w:before="0"/>
    </w:pPr>
    <w:r>
      <w:rPr>
        <w:rFonts w:ascii="Arial" w:cs="Arial" w:eastAsia="Arial" w:hAnsi="Arial"/>
        <w:b/>
        <w:bCs/>
        <w:i w:val="false"/>
        <w:iCs w:val="false"/>
        <w:color w:val="1B2A4A"/>
        <w:sz w:val="18"/>
        <w:szCs w:val="18"/>
      </w:rPr>
      <w:t xml:space="preserve">MINTENANCE  </w:t>
    </w:r>
    <w:r>
      <w:rPr>
        <w:rFonts w:ascii="Arial" w:cs="Arial" w:eastAsia="Arial" w:hAnsi="Arial"/>
        <w:b w:val="false"/>
        <w:bCs w:val="false"/>
        <w:i w:val="false"/>
        <w:iCs w:val="false"/>
        <w:color w:val="64748B"/>
        <w:sz w:val="18"/>
        <w:szCs w:val="18"/>
      </w:rPr>
      <w:t xml:space="preserve">|  Business Technical Review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E7490"/>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2026-02-26T11:45:49.925Z</dcterms:created>
  <dcterms:modified xsi:type="dcterms:W3CDTF">2026-02-26T11:45:49.925Z</dcterms:modified>
</cp:coreProperties>
</file>

<file path=docProps/custom.xml><?xml version="1.0" encoding="utf-8"?>
<Properties xmlns="http://schemas.openxmlformats.org/officeDocument/2006/custom-properties" xmlns:vt="http://schemas.openxmlformats.org/officeDocument/2006/docPropsVTypes"/>
</file>