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200"/>
        <w:jc w:val="center"/>
      </w:pPr>
      <w:r>
        <w:rPr>
          <w:rFonts w:ascii="Arial" w:cs="Arial" w:eastAsia="Arial" w:hAnsi="Arial"/>
          <w:b/>
          <w:bCs/>
          <w:color w:val="0D7377"/>
          <w:sz w:val="72"/>
          <w:szCs w:val="72"/>
        </w:rPr>
        <w:t xml:space="preserve">MINTENANCE</w:t>
      </w:r>
    </w:p>
    <w:p>
      <w:pPr>
        <w:spacing w:after="180" w:before="0"/>
        <w:jc w:val="center"/>
      </w:pPr>
      <w:r>
        <w:rPr>
          <w:rFonts w:ascii="Arial" w:cs="Arial" w:eastAsia="Arial" w:hAnsi="Arial"/>
          <w:color w:val="2C3E50"/>
          <w:sz w:val="36"/>
          <w:szCs w:val="36"/>
        </w:rPr>
        <w:t xml:space="preserve">Strategic Business Plan</w:t>
      </w:r>
    </w:p>
    <w:p>
      <w:pPr>
        <w:spacing w:after="120" w:before="0"/>
        <w:jc w:val="center"/>
      </w:pPr>
      <w:r>
        <w:rPr>
          <w:rFonts w:ascii="Arial" w:cs="Arial" w:eastAsia="Arial" w:hAnsi="Arial"/>
          <w:i/>
          <w:iCs/>
          <w:color w:val="7F8C8D"/>
          <w:sz w:val="26"/>
          <w:szCs w:val="26"/>
        </w:rPr>
        <w:t xml:space="preserve">Version 2  |  UK Launch Edition  |  March 2026</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8E1" w:val="clear"/>
            <w:tcMar>
              <w:top w:type="dxa" w:w="160"/>
              <w:left w:type="dxa" w:w="260"/>
              <w:bottom w:type="dxa" w:w="160"/>
              <w:right w:type="dxa" w:w="260"/>
            </w:tcMar>
          </w:tcPr>
          <w:p>
            <w:r>
              <w:rPr>
                <w:rFonts w:ascii="Arial" w:cs="Arial" w:eastAsia="Arial" w:hAnsi="Arial"/>
                <w:i/>
                <w:iCs/>
                <w:color w:val="E65100"/>
                <w:sz w:val="22"/>
                <w:szCs w:val="22"/>
              </w:rPr>
              <w:t xml:space="preserve">Version 2: Fully revised from the live codebase. Three critical errors in v1 corrected: fee rate, subscription timing, and B2B readiness. Thirteen AI agents and DBS verification — major differentiators not in v1 — now included.</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F5" w:val="clear"/>
            <w:tcMar>
              <w:top w:type="dxa" w:w="160"/>
              <w:left w:type="dxa" w:w="260"/>
              <w:bottom w:type="dxa" w:w="160"/>
              <w:right w:type="dxa" w:w="260"/>
            </w:tcMar>
          </w:tcPr>
          <w:p>
            <w:r>
              <w:rPr>
                <w:rFonts w:ascii="Arial" w:cs="Arial" w:eastAsia="Arial" w:hAnsi="Arial"/>
                <w:i/>
                <w:iCs/>
                <w:color w:val="2C3E50"/>
                <w:sz w:val="22"/>
                <w:szCs w:val="22"/>
              </w:rPr>
              <w:t xml:space="preserve">The platform that puts trust, transparency and guaranteed payment protection at the heart of every property maintenance job in the UK — powered by AI, verified by DBS, protected by Stripe escrow.</w:t>
            </w:r>
          </w:p>
        </w:tc>
      </w:tr>
    </w:tbl>
    <w:p>
      <w:pPr>
        <w:spacing w:after="60" w:before="60"/>
      </w:pPr>
      <w:r>
        <w:t xml:space="preserve"/>
      </w:r>
    </w:p>
    <w:p>
      <w:pPr>
        <w:spacing w:after="60" w:before="480"/>
        <w:jc w:val="center"/>
      </w:pPr>
      <w:r>
        <w:rPr>
          <w:rFonts w:ascii="Arial" w:cs="Arial" w:eastAsia="Arial" w:hAnsi="Arial"/>
          <w:b/>
          <w:bCs/>
          <w:color w:val="2C3E50"/>
          <w:sz w:val="22"/>
          <w:szCs w:val="22"/>
        </w:rPr>
        <w:t xml:space="preserve">Gloire (Lead Engineer &amp; Co-Founder)  •  Liam (Head of Marketing &amp; Co-Founder)</w:t>
      </w:r>
    </w:p>
    <w:p>
      <w:r>
        <w:br w:type="page"/>
      </w:r>
    </w:p>
    <w:p>
      <w:pPr>
        <w:pStyle w:val="Heading1"/>
        <w:spacing w:after="240" w:before="0"/>
      </w:pPr>
      <w:r>
        <w:rPr>
          <w:rFonts w:ascii="Arial" w:cs="Arial" w:eastAsia="Arial" w:hAnsi="Arial"/>
          <w:b/>
          <w:bCs/>
          <w:color w:val="0D7377"/>
          <w:sz w:val="30"/>
          <w:szCs w:val="30"/>
        </w:rP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pBdr>
          <w:bottom w:val="single" w:color="14A085" w:sz="6" w:space="1"/>
        </w:pBdr>
        <w:shd w:fill="0D7377" w:val="clear"/>
        <w:spacing w:after="240" w:before="0"/>
        <w:ind w:left="180" w:right="180"/>
      </w:pPr>
      <w:r>
        <w:rPr>
          <w:rFonts w:ascii="Arial" w:cs="Arial" w:eastAsia="Arial" w:hAnsi="Arial"/>
          <w:b/>
          <w:bCs/>
          <w:color w:val="FFFFFF"/>
          <w:sz w:val="30"/>
          <w:szCs w:val="30"/>
        </w:rPr>
        <w:t xml:space="preserve">What Changed from Version 1 — Corrections Log</w:t>
      </w:r>
    </w:p>
    <w:p>
      <w:pPr>
        <w:spacing w:after="80" w:before="80"/>
      </w:pPr>
      <w:r>
        <w:rPr>
          <w:rFonts w:ascii="Arial" w:cs="Arial" w:eastAsia="Arial" w:hAnsi="Arial"/>
          <w:color w:val="2C3E50"/>
          <w:sz w:val="22"/>
          <w:szCs w:val="22"/>
        </w:rPr>
        <w:t xml:space="preserve">The original business plan was written before the codebase was read in detail. Three factual errors have been corrected and three major product capabilities have been added. Every number and claim in this version is sourced directly from the live code.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c>
          <w:tcPr>
            <w:tcW w:type="dxa" w:w="3008"/>
            <w:tcBorders>
              <w:top w:val="single" w:color="CCCCCC" w:sz="1"/>
              <w:left w:val="single" w:color="CCCCCC" w:sz="1"/>
              <w:bottom w:val="single" w:color="CCCCCC" w:sz="1"/>
              <w:right w:val="single" w:color="CCCCCC" w:sz="1"/>
            </w:tcBorders>
            <w:shd w:fill="0D7377" w:val="clear"/>
            <w:tcMar>
              <w:top w:type="dxa" w:w="80"/>
              <w:left w:type="dxa" w:w="110"/>
              <w:bottom w:type="dxa" w:w="80"/>
              <w:right w:type="dxa" w:w="110"/>
            </w:tcMar>
          </w:tcPr>
          <w:p>
            <w:r>
              <w:rPr>
                <w:rFonts w:ascii="Arial" w:cs="Arial" w:eastAsia="Arial" w:hAnsi="Arial"/>
                <w:b/>
                <w:bCs/>
                <w:color w:val="FFFFFF"/>
                <w:sz w:val="21"/>
                <w:szCs w:val="21"/>
              </w:rPr>
              <w:t xml:space="preserve">Area</w:t>
            </w:r>
          </w:p>
        </w:tc>
        <w:tc>
          <w:tcPr>
            <w:tcW w:type="dxa" w:w="3008"/>
            <w:tcBorders>
              <w:top w:val="single" w:color="CCCCCC" w:sz="1"/>
              <w:left w:val="single" w:color="CCCCCC" w:sz="1"/>
              <w:bottom w:val="single" w:color="CCCCCC" w:sz="1"/>
              <w:right w:val="single" w:color="CCCCCC" w:sz="1"/>
            </w:tcBorders>
            <w:shd w:fill="0D7377" w:val="clear"/>
            <w:tcMar>
              <w:top w:type="dxa" w:w="80"/>
              <w:left w:type="dxa" w:w="110"/>
              <w:bottom w:type="dxa" w:w="80"/>
              <w:right w:type="dxa" w:w="110"/>
            </w:tcMar>
          </w:tcPr>
          <w:p>
            <w:r>
              <w:rPr>
                <w:rFonts w:ascii="Arial" w:cs="Arial" w:eastAsia="Arial" w:hAnsi="Arial"/>
                <w:b/>
                <w:bCs/>
                <w:color w:val="FFFFFF"/>
                <w:sz w:val="21"/>
                <w:szCs w:val="21"/>
              </w:rPr>
              <w:t xml:space="preserve">Version 1 (Wrong)</w:t>
            </w:r>
          </w:p>
        </w:tc>
        <w:tc>
          <w:tcPr>
            <w:tcW w:type="dxa" w:w="3010"/>
            <w:tcBorders>
              <w:top w:val="single" w:color="CCCCCC" w:sz="1"/>
              <w:left w:val="single" w:color="CCCCCC" w:sz="1"/>
              <w:bottom w:val="single" w:color="CCCCCC" w:sz="1"/>
              <w:right w:val="single" w:color="CCCCCC" w:sz="1"/>
            </w:tcBorders>
            <w:shd w:fill="0D7377" w:val="clear"/>
            <w:tcMar>
              <w:top w:type="dxa" w:w="80"/>
              <w:left w:type="dxa" w:w="110"/>
              <w:bottom w:type="dxa" w:w="80"/>
              <w:right w:type="dxa" w:w="110"/>
            </w:tcMar>
          </w:tcPr>
          <w:p>
            <w:r>
              <w:rPr>
                <w:rFonts w:ascii="Arial" w:cs="Arial" w:eastAsia="Arial" w:hAnsi="Arial"/>
                <w:b/>
                <w:bCs/>
                <w:color w:val="FFFFFF"/>
                <w:sz w:val="21"/>
                <w:szCs w:val="21"/>
              </w:rPr>
              <w:t xml:space="preserve">Version 2 (Corrected)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Platform fee rate</w:t>
            </w:r>
          </w:p>
        </w:tc>
        <w:tc>
          <w:tcPr>
            <w:tcW w:type="dxa" w:w="3000"/>
            <w:tcBorders>
              <w:top w:val="single" w:color="CCCCCC" w:sz="1"/>
              <w:left w:val="single" w:color="CCCCCC" w:sz="1"/>
              <w:bottom w:val="single" w:color="CCCCCC" w:sz="1"/>
              <w:right w:val="single" w:color="CCCCCC" w:sz="1"/>
            </w:tcBorders>
            <w:shd w:fill="FDECEA" w:val="clear"/>
            <w:tcMar>
              <w:top w:type="dxa" w:w="80"/>
              <w:left w:type="dxa" w:w="110"/>
              <w:bottom w:type="dxa" w:w="80"/>
              <w:right w:type="dxa" w:w="110"/>
            </w:tcMar>
          </w:tcPr>
          <w:p>
            <w:r>
              <w:rPr>
                <w:rFonts w:ascii="Arial" w:cs="Arial" w:eastAsia="Arial" w:hAnsi="Arial"/>
                <w:color w:val="2C3E50"/>
                <w:sz w:val="21"/>
                <w:szCs w:val="21"/>
              </w:rPr>
              <w:t xml:space="preserve">8–10% (assumed)</w:t>
            </w:r>
          </w:p>
        </w:tc>
        <w:tc>
          <w:tcPr>
            <w:tcW w:type="dxa" w:w="3826"/>
            <w:tcBorders>
              <w:top w:val="single" w:color="CCCCCC" w:sz="1"/>
              <w:left w:val="single" w:color="CCCCCC" w:sz="1"/>
              <w:bottom w:val="single" w:color="CCCCCC" w:sz="1"/>
              <w:right w:val="single" w:color="CCCCCC" w:sz="1"/>
            </w:tcBorders>
            <w:shd w:fill="E8F5E9" w:val="clear"/>
            <w:tcMar>
              <w:top w:type="dxa" w:w="80"/>
              <w:left w:type="dxa" w:w="110"/>
              <w:bottom w:type="dxa" w:w="80"/>
              <w:right w:type="dxa" w:w="110"/>
            </w:tcMar>
          </w:tcPr>
          <w:p>
            <w:r>
              <w:rPr>
                <w:rFonts w:ascii="Arial" w:cs="Arial" w:eastAsia="Arial" w:hAnsi="Arial"/>
                <w:color w:val="2C3E50"/>
                <w:sz w:val="21"/>
                <w:szCs w:val="21"/>
              </w:rPr>
              <w:t xml:space="preserve">5% — hardcoded in FeeCalculationService.ts (min £0.50, max £50.00)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Month 12 revenue</w:t>
            </w:r>
          </w:p>
        </w:tc>
        <w:tc>
          <w:tcPr>
            <w:tcW w:type="dxa" w:w="3000"/>
            <w:tcBorders>
              <w:top w:val="single" w:color="CCCCCC" w:sz="1"/>
              <w:left w:val="single" w:color="CCCCCC" w:sz="1"/>
              <w:bottom w:val="single" w:color="CCCCCC" w:sz="1"/>
              <w:right w:val="single" w:color="CCCCCC" w:sz="1"/>
            </w:tcBorders>
            <w:shd w:fill="FDECEA" w:val="clear"/>
            <w:tcMar>
              <w:top w:type="dxa" w:w="80"/>
              <w:left w:type="dxa" w:w="110"/>
              <w:bottom w:type="dxa" w:w="80"/>
              <w:right w:type="dxa" w:w="110"/>
            </w:tcMar>
          </w:tcPr>
          <w:p>
            <w:r>
              <w:rPr>
                <w:rFonts w:ascii="Arial" w:cs="Arial" w:eastAsia="Arial" w:hAnsi="Arial"/>
                <w:color w:val="2C3E50"/>
                <w:sz w:val="21"/>
                <w:szCs w:val="21"/>
              </w:rPr>
              <w:t xml:space="preserve">£14,000/month</w:t>
            </w:r>
          </w:p>
        </w:tc>
        <w:tc>
          <w:tcPr>
            <w:tcW w:type="dxa" w:w="3826"/>
            <w:tcBorders>
              <w:top w:val="single" w:color="CCCCCC" w:sz="1"/>
              <w:left w:val="single" w:color="CCCCCC" w:sz="1"/>
              <w:bottom w:val="single" w:color="CCCCCC" w:sz="1"/>
              <w:right w:val="single" w:color="CCCCCC" w:sz="1"/>
            </w:tcBorders>
            <w:shd w:fill="E8F5E9" w:val="clear"/>
            <w:tcMar>
              <w:top w:type="dxa" w:w="80"/>
              <w:left w:type="dxa" w:w="110"/>
              <w:bottom w:type="dxa" w:w="80"/>
              <w:right w:type="dxa" w:w="110"/>
            </w:tcMar>
          </w:tcPr>
          <w:p>
            <w:r>
              <w:rPr>
                <w:rFonts w:ascii="Arial" w:cs="Arial" w:eastAsia="Arial" w:hAnsi="Arial"/>
                <w:color w:val="2C3E50"/>
                <w:sz w:val="21"/>
                <w:szCs w:val="21"/>
              </w:rPr>
              <w:t xml:space="preserve">£7,000/month transaction fees + ~£3,000 subscription = ~£10,000/month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Month 18 revenue</w:t>
            </w:r>
          </w:p>
        </w:tc>
        <w:tc>
          <w:tcPr>
            <w:tcW w:type="dxa" w:w="3000"/>
            <w:tcBorders>
              <w:top w:val="single" w:color="CCCCCC" w:sz="1"/>
              <w:left w:val="single" w:color="CCCCCC" w:sz="1"/>
              <w:bottom w:val="single" w:color="CCCCCC" w:sz="1"/>
              <w:right w:val="single" w:color="CCCCCC" w:sz="1"/>
            </w:tcBorders>
            <w:shd w:fill="FDECEA" w:val="clear"/>
            <w:tcMar>
              <w:top w:type="dxa" w:w="80"/>
              <w:left w:type="dxa" w:w="110"/>
              <w:bottom w:type="dxa" w:w="80"/>
              <w:right w:type="dxa" w:w="110"/>
            </w:tcMar>
          </w:tcPr>
          <w:p>
            <w:r>
              <w:rPr>
                <w:rFonts w:ascii="Arial" w:cs="Arial" w:eastAsia="Arial" w:hAnsi="Arial"/>
                <w:color w:val="2C3E50"/>
                <w:sz w:val="21"/>
                <w:szCs w:val="21"/>
              </w:rPr>
              <w:t xml:space="preserve">£48,000/month</w:t>
            </w:r>
          </w:p>
        </w:tc>
        <w:tc>
          <w:tcPr>
            <w:tcW w:type="dxa" w:w="3826"/>
            <w:tcBorders>
              <w:top w:val="single" w:color="CCCCCC" w:sz="1"/>
              <w:left w:val="single" w:color="CCCCCC" w:sz="1"/>
              <w:bottom w:val="single" w:color="CCCCCC" w:sz="1"/>
              <w:right w:val="single" w:color="CCCCCC" w:sz="1"/>
            </w:tcBorders>
            <w:shd w:fill="E8F5E9" w:val="clear"/>
            <w:tcMar>
              <w:top w:type="dxa" w:w="80"/>
              <w:left w:type="dxa" w:w="110"/>
              <w:bottom w:type="dxa" w:w="80"/>
              <w:right w:type="dxa" w:w="110"/>
            </w:tcMar>
          </w:tcPr>
          <w:p>
            <w:r>
              <w:rPr>
                <w:rFonts w:ascii="Arial" w:cs="Arial" w:eastAsia="Arial" w:hAnsi="Arial"/>
                <w:color w:val="2C3E50"/>
                <w:sz w:val="21"/>
                <w:szCs w:val="21"/>
              </w:rPr>
              <w:t xml:space="preserve">£24,000/month transaction fees + ~£6,000 subscription = ~£30,000/month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Subscription tier</w:t>
            </w:r>
          </w:p>
        </w:tc>
        <w:tc>
          <w:tcPr>
            <w:tcW w:type="dxa" w:w="3000"/>
            <w:tcBorders>
              <w:top w:val="single" w:color="CCCCCC" w:sz="1"/>
              <w:left w:val="single" w:color="CCCCCC" w:sz="1"/>
              <w:bottom w:val="single" w:color="CCCCCC" w:sz="1"/>
              <w:right w:val="single" w:color="CCCCCC" w:sz="1"/>
            </w:tcBorders>
            <w:shd w:fill="FDECEA" w:val="clear"/>
            <w:tcMar>
              <w:top w:type="dxa" w:w="80"/>
              <w:left w:type="dxa" w:w="110"/>
              <w:bottom w:type="dxa" w:w="80"/>
              <w:right w:type="dxa" w:w="110"/>
            </w:tcMar>
          </w:tcPr>
          <w:p>
            <w:r>
              <w:rPr>
                <w:rFonts w:ascii="Arial" w:cs="Arial" w:eastAsia="Arial" w:hAnsi="Arial"/>
                <w:color w:val="2C3E50"/>
                <w:sz w:val="21"/>
                <w:szCs w:val="21"/>
              </w:rPr>
              <w:t xml:space="preserve">Phase 3 — Month 12+ (future)</w:t>
            </w:r>
          </w:p>
        </w:tc>
        <w:tc>
          <w:tcPr>
            <w:tcW w:type="dxa" w:w="3826"/>
            <w:tcBorders>
              <w:top w:val="single" w:color="CCCCCC" w:sz="1"/>
              <w:left w:val="single" w:color="CCCCCC" w:sz="1"/>
              <w:bottom w:val="single" w:color="CCCCCC" w:sz="1"/>
              <w:right w:val="single" w:color="CCCCCC" w:sz="1"/>
            </w:tcBorders>
            <w:shd w:fill="E8F5E9" w:val="clear"/>
            <w:tcMar>
              <w:top w:type="dxa" w:w="80"/>
              <w:left w:type="dxa" w:w="110"/>
              <w:bottom w:type="dxa" w:w="80"/>
              <w:right w:type="dxa" w:w="110"/>
            </w:tcMar>
          </w:tcPr>
          <w:p>
            <w:r>
              <w:rPr>
                <w:rFonts w:ascii="Arial" w:cs="Arial" w:eastAsia="Arial" w:hAnsi="Arial"/>
                <w:color w:val="2C3E50"/>
                <w:sz w:val="21"/>
                <w:szCs w:val="21"/>
              </w:rPr>
              <w:t xml:space="preserve">Already built: Free / £29 / £79 / £199/mo in SubscriptionService.ts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B2B / Landlord tier</w:t>
            </w:r>
          </w:p>
        </w:tc>
        <w:tc>
          <w:tcPr>
            <w:tcW w:type="dxa" w:w="3000"/>
            <w:tcBorders>
              <w:top w:val="single" w:color="CCCCCC" w:sz="1"/>
              <w:left w:val="single" w:color="CCCCCC" w:sz="1"/>
              <w:bottom w:val="single" w:color="CCCCCC" w:sz="1"/>
              <w:right w:val="single" w:color="CCCCCC" w:sz="1"/>
            </w:tcBorders>
            <w:shd w:fill="FDECEA" w:val="clear"/>
            <w:tcMar>
              <w:top w:type="dxa" w:w="80"/>
              <w:left w:type="dxa" w:w="110"/>
              <w:bottom w:type="dxa" w:w="80"/>
              <w:right w:type="dxa" w:w="110"/>
            </w:tcMar>
          </w:tcPr>
          <w:p>
            <w:r>
              <w:rPr>
                <w:rFonts w:ascii="Arial" w:cs="Arial" w:eastAsia="Arial" w:hAnsi="Arial"/>
                <w:color w:val="2C3E50"/>
                <w:sz w:val="21"/>
                <w:szCs w:val="21"/>
              </w:rPr>
              <w:t xml:space="preserve">Phase 4 — Month 18+ (future)</w:t>
            </w:r>
          </w:p>
        </w:tc>
        <w:tc>
          <w:tcPr>
            <w:tcW w:type="dxa" w:w="3826"/>
            <w:tcBorders>
              <w:top w:val="single" w:color="CCCCCC" w:sz="1"/>
              <w:left w:val="single" w:color="CCCCCC" w:sz="1"/>
              <w:bottom w:val="single" w:color="CCCCCC" w:sz="1"/>
              <w:right w:val="single" w:color="CCCCCC" w:sz="1"/>
            </w:tcBorders>
            <w:shd w:fill="E8F5E9" w:val="clear"/>
            <w:tcMar>
              <w:top w:type="dxa" w:w="80"/>
              <w:left w:type="dxa" w:w="110"/>
              <w:bottom w:type="dxa" w:w="80"/>
              <w:right w:type="dxa" w:w="110"/>
            </w:tcMar>
          </w:tcPr>
          <w:p>
            <w:r>
              <w:rPr>
                <w:rFonts w:ascii="Arial" w:cs="Arial" w:eastAsia="Arial" w:hAnsi="Arial"/>
                <w:color w:val="2C3E50"/>
                <w:sz w:val="21"/>
                <w:szCs w:val="21"/>
              </w:rPr>
              <w:t xml:space="preserve">Already built: /api/landlord/ + /api/agency/ + £24.99/£49.99 per month in HomeownerSubscriptionService.ts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AI capabilities</w:t>
            </w:r>
          </w:p>
        </w:tc>
        <w:tc>
          <w:tcPr>
            <w:tcW w:type="dxa" w:w="3000"/>
            <w:tcBorders>
              <w:top w:val="single" w:color="CCCCCC" w:sz="1"/>
              <w:left w:val="single" w:color="CCCCCC" w:sz="1"/>
              <w:bottom w:val="single" w:color="CCCCCC" w:sz="1"/>
              <w:right w:val="single" w:color="CCCCCC" w:sz="1"/>
            </w:tcBorders>
            <w:shd w:fill="FDECEA" w:val="clear"/>
            <w:tcMar>
              <w:top w:type="dxa" w:w="80"/>
              <w:left w:type="dxa" w:w="110"/>
              <w:bottom w:type="dxa" w:w="80"/>
              <w:right w:type="dxa" w:w="110"/>
            </w:tcMar>
          </w:tcPr>
          <w:p>
            <w:r>
              <w:rPr>
                <w:rFonts w:ascii="Arial" w:cs="Arial" w:eastAsia="Arial" w:hAnsi="Arial"/>
                <w:color w:val="2C3E50"/>
                <w:sz w:val="21"/>
                <w:szCs w:val="21"/>
              </w:rPr>
              <w:t xml:space="preserve">Briefly mentioned as optional</w:t>
            </w:r>
          </w:p>
        </w:tc>
        <w:tc>
          <w:tcPr>
            <w:tcW w:type="dxa" w:w="3826"/>
            <w:tcBorders>
              <w:top w:val="single" w:color="CCCCCC" w:sz="1"/>
              <w:left w:val="single" w:color="CCCCCC" w:sz="1"/>
              <w:bottom w:val="single" w:color="CCCCCC" w:sz="1"/>
              <w:right w:val="single" w:color="CCCCCC" w:sz="1"/>
            </w:tcBorders>
            <w:shd w:fill="E8F5E9" w:val="clear"/>
            <w:tcMar>
              <w:top w:type="dxa" w:w="80"/>
              <w:left w:type="dxa" w:w="110"/>
              <w:bottom w:type="dxa" w:w="80"/>
              <w:right w:type="dxa" w:w="110"/>
            </w:tcMar>
          </w:tcPr>
          <w:p>
            <w:r>
              <w:rPr>
                <w:rFonts w:ascii="Arial" w:cs="Arial" w:eastAsia="Arial" w:hAnsi="Arial"/>
                <w:color w:val="2C3E50"/>
                <w:sz w:val="21"/>
                <w:szCs w:val="21"/>
              </w:rPr>
              <w:t xml:space="preserve">13 specialist AI agents built: PricingAgent, LearningMatchingService, DisputeResolutionAgent, SelfModifyingAgent, PredictiveAgent + 8 more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DBS checks</w:t>
            </w:r>
          </w:p>
        </w:tc>
        <w:tc>
          <w:tcPr>
            <w:tcW w:type="dxa" w:w="3000"/>
            <w:tcBorders>
              <w:top w:val="single" w:color="CCCCCC" w:sz="1"/>
              <w:left w:val="single" w:color="CCCCCC" w:sz="1"/>
              <w:bottom w:val="single" w:color="CCCCCC" w:sz="1"/>
              <w:right w:val="single" w:color="CCCCCC" w:sz="1"/>
            </w:tcBorders>
            <w:shd w:fill="FDECEA" w:val="clear"/>
            <w:tcMar>
              <w:top w:type="dxa" w:w="80"/>
              <w:left w:type="dxa" w:w="110"/>
              <w:bottom w:type="dxa" w:w="80"/>
              <w:right w:type="dxa" w:w="110"/>
            </w:tcMar>
          </w:tcPr>
          <w:p>
            <w:r>
              <w:rPr>
                <w:rFonts w:ascii="Arial" w:cs="Arial" w:eastAsia="Arial" w:hAnsi="Arial"/>
                <w:color w:val="2C3E50"/>
                <w:sz w:val="21"/>
                <w:szCs w:val="21"/>
              </w:rPr>
              <w:t xml:space="preserve">Not mentioned</w:t>
            </w:r>
          </w:p>
        </w:tc>
        <w:tc>
          <w:tcPr>
            <w:tcW w:type="dxa" w:w="3826"/>
            <w:tcBorders>
              <w:top w:val="single" w:color="CCCCCC" w:sz="1"/>
              <w:left w:val="single" w:color="CCCCCC" w:sz="1"/>
              <w:bottom w:val="single" w:color="CCCCCC" w:sz="1"/>
              <w:right w:val="single" w:color="CCCCCC" w:sz="1"/>
            </w:tcBorders>
            <w:shd w:fill="E8F5E9" w:val="clear"/>
            <w:tcMar>
              <w:top w:type="dxa" w:w="80"/>
              <w:left w:type="dxa" w:w="110"/>
              <w:bottom w:type="dxa" w:w="80"/>
              <w:right w:type="dxa" w:w="110"/>
            </w:tcMar>
          </w:tcPr>
          <w:p>
            <w:r>
              <w:rPr>
                <w:rFonts w:ascii="Arial" w:cs="Arial" w:eastAsia="Arial" w:hAnsi="Arial"/>
                <w:color w:val="2C3E50"/>
                <w:sz w:val="21"/>
                <w:szCs w:val="21"/>
              </w:rPr>
              <w:t xml:space="preserve">Full DBS check integration (basic/standard/enhanced) — zero UK competitor offers this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Platform maturity</w:t>
            </w:r>
          </w:p>
        </w:tc>
        <w:tc>
          <w:tcPr>
            <w:tcW w:type="dxa" w:w="3000"/>
            <w:tcBorders>
              <w:top w:val="single" w:color="CCCCCC" w:sz="1"/>
              <w:left w:val="single" w:color="CCCCCC" w:sz="1"/>
              <w:bottom w:val="single" w:color="CCCCCC" w:sz="1"/>
              <w:right w:val="single" w:color="CCCCCC" w:sz="1"/>
            </w:tcBorders>
            <w:shd w:fill="FDECEA" w:val="clear"/>
            <w:tcMar>
              <w:top w:type="dxa" w:w="80"/>
              <w:left w:type="dxa" w:w="110"/>
              <w:bottom w:type="dxa" w:w="80"/>
              <w:right w:type="dxa" w:w="110"/>
            </w:tcMar>
          </w:tcPr>
          <w:p>
            <w:r>
              <w:rPr>
                <w:rFonts w:ascii="Arial" w:cs="Arial" w:eastAsia="Arial" w:hAnsi="Arial"/>
                <w:color w:val="2C3E50"/>
                <w:sz w:val="21"/>
                <w:szCs w:val="21"/>
              </w:rPr>
              <w:t xml:space="preserve">MVP / near-launch</w:t>
            </w:r>
          </w:p>
        </w:tc>
        <w:tc>
          <w:tcPr>
            <w:tcW w:type="dxa" w:w="3826"/>
            <w:tcBorders>
              <w:top w:val="single" w:color="CCCCCC" w:sz="1"/>
              <w:left w:val="single" w:color="CCCCCC" w:sz="1"/>
              <w:bottom w:val="single" w:color="CCCCCC" w:sz="1"/>
              <w:right w:val="single" w:color="CCCCCC" w:sz="1"/>
            </w:tcBorders>
            <w:shd w:fill="E8F5E9" w:val="clear"/>
            <w:tcMar>
              <w:top w:type="dxa" w:w="80"/>
              <w:left w:type="dxa" w:w="110"/>
              <w:bottom w:type="dxa" w:w="80"/>
              <w:right w:type="dxa" w:w="110"/>
            </w:tcMar>
          </w:tcPr>
          <w:p>
            <w:r>
              <w:rPr>
                <w:rFonts w:ascii="Arial" w:cs="Arial" w:eastAsia="Arial" w:hAnsi="Arial"/>
                <w:color w:val="2C3E50"/>
                <w:sz w:val="21"/>
                <w:szCs w:val="21"/>
              </w:rPr>
              <w:t xml:space="preserve">Significantly more advanced: building surveyor AI, ESG scoring, bulk job posting, portfolio management, personality assessments, training modules</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E9" w:val="clear"/>
            <w:tcMar>
              <w:top w:type="dxa" w:w="160"/>
              <w:left w:type="dxa" w:w="260"/>
              <w:bottom w:type="dxa" w:w="160"/>
              <w:right w:type="dxa" w:w="260"/>
            </w:tcMar>
          </w:tcPr>
          <w:p>
            <w:r>
              <w:rPr>
                <w:rFonts w:ascii="Arial" w:cs="Arial" w:eastAsia="Arial" w:hAnsi="Arial"/>
                <w:i/>
                <w:iCs/>
                <w:color w:val="2E7D32"/>
                <w:sz w:val="22"/>
                <w:szCs w:val="22"/>
              </w:rPr>
              <w:t xml:space="preserve">The corrected revenue figures are lower in absolute terms but the story is stronger: you have MORE product than v1 described, with ALREADY BUILT subscription and B2B revenue streams. The total addressable revenue per contractor is higher than v1 suggested.</w:t>
            </w:r>
          </w:p>
        </w:tc>
      </w:tr>
    </w:tbl>
    <w:p>
      <w:pPr>
        <w:pStyle w:val="Heading1"/>
        <w:pageBreakBefore/>
        <w:pBdr>
          <w:bottom w:val="single" w:color="14A085" w:sz="6" w:space="1"/>
        </w:pBdr>
        <w:shd w:fill="0D7377" w:val="clear"/>
        <w:spacing w:after="240" w:before="0"/>
        <w:ind w:left="180" w:right="180"/>
      </w:pPr>
      <w:r>
        <w:rPr>
          <w:rFonts w:ascii="Arial" w:cs="Arial" w:eastAsia="Arial" w:hAnsi="Arial"/>
          <w:b/>
          <w:bCs/>
          <w:color w:val="FFFFFF"/>
          <w:sz w:val="30"/>
          <w:szCs w:val="30"/>
        </w:rPr>
        <w:t xml:space="preserve">1. Executive Summary</w:t>
      </w:r>
    </w:p>
    <w:p>
      <w:pPr>
        <w:spacing w:after="80" w:before="80"/>
      </w:pPr>
      <w:r>
        <w:rPr>
          <w:rFonts w:ascii="Arial" w:cs="Arial" w:eastAsia="Arial" w:hAnsi="Arial"/>
          <w:color w:val="2C3E50"/>
          <w:sz w:val="22"/>
          <w:szCs w:val="22"/>
        </w:rPr>
        <w:t xml:space="preserve">Mintenance is a UK-based two-sided marketplace connecting homeowners with verified, quality-rated contractors for property maintenance and improvement work. It is the only platform in the UK market offering escrow-protected payments, DBS-verified contractors, photo-verified job quality, in-app contract signing, and AI-assisted pricing and dispute resolution — all in a single product.</w:t>
      </w:r>
    </w:p>
    <w:p>
      <w:pPr>
        <w:spacing w:after="60" w:before="60"/>
      </w:pPr>
      <w:r>
        <w:t xml:space="preserve"/>
      </w:r>
    </w:p>
    <w:p>
      <w:pPr>
        <w:spacing w:after="80" w:before="80"/>
      </w:pPr>
      <w:r>
        <w:rPr>
          <w:rFonts w:ascii="Arial" w:cs="Arial" w:eastAsia="Arial" w:hAnsi="Arial"/>
          <w:color w:val="2C3E50"/>
          <w:sz w:val="22"/>
          <w:szCs w:val="22"/>
        </w:rPr>
        <w:t xml:space="preserve">The platform is not an MVP. Reading the codebase directly reveals thirteen specialist AI agents, full B2B landlord and letting agency portals, contractor DBS check integration, ESG scoring, building surveyor AI, learning-based contractor matching, and a complete subscription tier system — all fully built. The business is ready to take on users well ahead of what a typical early-stage startup would have at this point.</w:t>
      </w:r>
    </w:p>
    <w:p>
      <w:pPr>
        <w:spacing w:after="60" w:before="60"/>
      </w:pPr>
      <w:r>
        <w:t xml:space="preserve"/>
      </w:r>
    </w:p>
    <w:p>
      <w:pPr>
        <w:pStyle w:val="Heading2"/>
        <w:pBdr>
          <w:bottom w:val="single" w:color="0D7377" w:sz="3" w:space="1"/>
        </w:pBdr>
        <w:spacing w:after="120" w:before="300"/>
      </w:pPr>
      <w:r>
        <w:rPr>
          <w:rFonts w:ascii="Arial" w:cs="Arial" w:eastAsia="Arial" w:hAnsi="Arial"/>
          <w:b/>
          <w:bCs/>
          <w:color w:val="0D7377"/>
          <w:sz w:val="26"/>
          <w:szCs w:val="26"/>
        </w:rPr>
        <w:t xml:space="preserve">The Market Opportunity</w:t>
      </w:r>
    </w:p>
    <w:p>
      <w:pPr>
        <w:spacing w:after="80" w:before="80"/>
      </w:pPr>
      <w:r>
        <w:rPr>
          <w:rFonts w:ascii="Arial" w:cs="Arial" w:eastAsia="Arial" w:hAnsi="Arial"/>
          <w:color w:val="2C3E50"/>
          <w:sz w:val="22"/>
          <w:szCs w:val="22"/>
        </w:rPr>
        <w:t xml:space="preserve">The UK home services market is worth £24.82 billion by 2035 at 9.06% annual growth. Nearly 7 million UK homeowners plan to renovate by 2027 spending an average of £14,000 per project. Incumbent platforms — Checkatrade, MyBuilder, Rated People — have high contractor costs, no payment protection, and poor reviews (MyBuilder: 1.5 stars from homeowners). Mintenance's trust infrastructure makes it structurally different.</w:t>
      </w:r>
    </w:p>
    <w:p>
      <w:pPr>
        <w:spacing w:after="60" w:before="60"/>
      </w:pPr>
      <w:r>
        <w:t xml:space="preserve"/>
      </w:r>
    </w:p>
    <w:p>
      <w:pPr>
        <w:pStyle w:val="Heading2"/>
        <w:pBdr>
          <w:bottom w:val="single" w:color="0D7377" w:sz="3" w:space="1"/>
        </w:pBdr>
        <w:spacing w:after="120" w:before="300"/>
      </w:pPr>
      <w:r>
        <w:rPr>
          <w:rFonts w:ascii="Arial" w:cs="Arial" w:eastAsia="Arial" w:hAnsi="Arial"/>
          <w:b/>
          <w:bCs/>
          <w:color w:val="0D7377"/>
          <w:sz w:val="26"/>
          <w:szCs w:val="26"/>
        </w:rPr>
        <w:t xml:space="preserve">Strategy in Brief</w:t>
      </w:r>
    </w:p>
    <w:p>
      <w:pPr>
        <w:pStyle w:val="ListParagraph"/>
        <w:numPr>
          <w:ilvl w:val="0"/>
          <w:numId w:val="2"/>
        </w:numPr>
        <w:spacing w:after="60" w:before="60"/>
      </w:pPr>
      <w:r>
        <w:rPr>
          <w:rFonts w:ascii="Arial" w:cs="Arial" w:eastAsia="Arial" w:hAnsi="Arial"/>
          <w:color w:val="2C3E50"/>
          <w:sz w:val="22"/>
          <w:szCs w:val="22"/>
        </w:rPr>
        <w:t xml:space="preserve">Launch in London with 50+ contractors onboarded before public homeowner acquisition begins.</w:t>
      </w:r>
    </w:p>
    <w:p>
      <w:pPr>
        <w:pStyle w:val="ListParagraph"/>
        <w:numPr>
          <w:ilvl w:val="0"/>
          <w:numId w:val="2"/>
        </w:numPr>
        <w:spacing w:after="60" w:before="60"/>
      </w:pPr>
      <w:r>
        <w:rPr>
          <w:rFonts w:ascii="Arial" w:cs="Arial" w:eastAsia="Arial" w:hAnsi="Arial"/>
          <w:color w:val="2C3E50"/>
          <w:sz w:val="22"/>
          <w:szCs w:val="22"/>
        </w:rPr>
        <w:t xml:space="preserve">Free at launch for all users — build volume and trust before charging.</w:t>
      </w:r>
    </w:p>
    <w:p>
      <w:pPr>
        <w:pStyle w:val="ListParagraph"/>
        <w:numPr>
          <w:ilvl w:val="0"/>
          <w:numId w:val="2"/>
        </w:numPr>
        <w:spacing w:after="60" w:before="60"/>
      </w:pPr>
      <w:r>
        <w:rPr>
          <w:rFonts w:ascii="Arial" w:cs="Arial" w:eastAsia="Arial" w:hAnsi="Arial"/>
          <w:color w:val="2C3E50"/>
          <w:sz w:val="22"/>
          <w:szCs w:val="22"/>
        </w:rPr>
        <w:t xml:space="preserve">Introduce 5% transaction fee at month 7 (actual rate from codebase — not the 8-10% stated in v1).</w:t>
      </w:r>
    </w:p>
    <w:p>
      <w:pPr>
        <w:pStyle w:val="ListParagraph"/>
        <w:numPr>
          <w:ilvl w:val="0"/>
          <w:numId w:val="2"/>
        </w:numPr>
        <w:spacing w:after="60" w:before="60"/>
      </w:pPr>
      <w:r>
        <w:rPr>
          <w:rFonts w:ascii="Arial" w:cs="Arial" w:eastAsia="Arial" w:hAnsi="Arial"/>
          <w:color w:val="2C3E50"/>
          <w:sz w:val="22"/>
          <w:szCs w:val="22"/>
        </w:rPr>
        <w:t xml:space="preserve">Subscription tiers available from launch: Free / £29 / £79 / £199/month for contractors.</w:t>
      </w:r>
    </w:p>
    <w:p>
      <w:pPr>
        <w:pStyle w:val="ListParagraph"/>
        <w:numPr>
          <w:ilvl w:val="0"/>
          <w:numId w:val="2"/>
        </w:numPr>
        <w:spacing w:after="60" w:before="60"/>
      </w:pPr>
      <w:r>
        <w:rPr>
          <w:rFonts w:ascii="Arial" w:cs="Arial" w:eastAsia="Arial" w:hAnsi="Arial"/>
          <w:color w:val="2C3E50"/>
          <w:sz w:val="22"/>
          <w:szCs w:val="22"/>
        </w:rPr>
        <w:t xml:space="preserve">B2B tiers available from launch: Landlord (£24.99/month), Agency (£49.99/month).</w:t>
      </w:r>
    </w:p>
    <w:p>
      <w:pPr>
        <w:pStyle w:val="ListParagraph"/>
        <w:numPr>
          <w:ilvl w:val="0"/>
          <w:numId w:val="2"/>
        </w:numPr>
        <w:spacing w:after="60" w:before="60"/>
      </w:pPr>
      <w:r>
        <w:rPr>
          <w:rFonts w:ascii="Arial" w:cs="Arial" w:eastAsia="Arial" w:hAnsi="Arial"/>
          <w:color w:val="2C3E50"/>
          <w:sz w:val="22"/>
          <w:szCs w:val="22"/>
        </w:rPr>
        <w:t xml:space="preserve">Target: £10,000/month total revenue by month 12. £30,000/month by month 18.</w:t>
      </w:r>
    </w:p>
    <w:p>
      <w:pPr>
        <w:pStyle w:val="Heading1"/>
        <w:pageBreakBefore/>
        <w:pBdr>
          <w:bottom w:val="single" w:color="14A085" w:sz="6" w:space="1"/>
        </w:pBdr>
        <w:shd w:fill="0D7377" w:val="clear"/>
        <w:spacing w:after="240" w:before="0"/>
        <w:ind w:left="180" w:right="180"/>
      </w:pPr>
      <w:r>
        <w:rPr>
          <w:rFonts w:ascii="Arial" w:cs="Arial" w:eastAsia="Arial" w:hAnsi="Arial"/>
          <w:b/>
          <w:bCs/>
          <w:color w:val="FFFFFF"/>
          <w:sz w:val="30"/>
          <w:szCs w:val="30"/>
        </w:rPr>
        <w:t xml:space="preserve">2. What Mintenance Actually Is — A Complete Platform</w:t>
      </w:r>
    </w:p>
    <w:p>
      <w:pPr>
        <w:spacing w:after="80" w:before="80"/>
      </w:pPr>
      <w:r>
        <w:rPr>
          <w:rFonts w:ascii="Arial" w:cs="Arial" w:eastAsia="Arial" w:hAnsi="Arial"/>
          <w:color w:val="2C3E50"/>
          <w:sz w:val="22"/>
          <w:szCs w:val="22"/>
        </w:rPr>
        <w:t xml:space="preserve">Version 1 of this plan described Mintenance as a 'two-sided marketplace with escrow.' Reading the full codebase reveals it is significantly more than that. Below is an accurate picture of what is already built.</w:t>
      </w:r>
    </w:p>
    <w:p>
      <w:pPr>
        <w:spacing w:after="60" w:before="60"/>
      </w:pPr>
      <w:r>
        <w:t xml:space="preserve"/>
      </w:r>
    </w:p>
    <w:p>
      <w:pPr>
        <w:pStyle w:val="Heading2"/>
        <w:pBdr>
          <w:bottom w:val="single" w:color="0D7377" w:sz="3" w:space="1"/>
        </w:pBdr>
        <w:spacing w:after="120" w:before="300"/>
      </w:pPr>
      <w:r>
        <w:rPr>
          <w:rFonts w:ascii="Arial" w:cs="Arial" w:eastAsia="Arial" w:hAnsi="Arial"/>
          <w:b/>
          <w:bCs/>
          <w:color w:val="0D7377"/>
          <w:sz w:val="26"/>
          <w:szCs w:val="26"/>
        </w:rPr>
        <w:t xml:space="preserve">Core Job Lifecycle</w:t>
      </w:r>
    </w:p>
    <w:p>
      <w:pPr>
        <w:pStyle w:val="ListParagraph"/>
        <w:numPr>
          <w:ilvl w:val="0"/>
          <w:numId w:val="2"/>
        </w:numPr>
        <w:spacing w:after="60" w:before="60"/>
      </w:pPr>
      <w:r>
        <w:rPr>
          <w:rFonts w:ascii="Arial" w:cs="Arial" w:eastAsia="Arial" w:hAnsi="Arial"/>
          <w:color w:val="2C3E50"/>
          <w:sz w:val="22"/>
          <w:szCs w:val="22"/>
        </w:rPr>
        <w:t xml:space="preserve">Job posting by homeowners with photos, geolocation, urgency, and budget range</w:t>
      </w:r>
    </w:p>
    <w:p>
      <w:pPr>
        <w:pStyle w:val="ListParagraph"/>
        <w:numPr>
          <w:ilvl w:val="0"/>
          <w:numId w:val="2"/>
        </w:numPr>
        <w:spacing w:after="60" w:before="60"/>
      </w:pPr>
      <w:r>
        <w:rPr>
          <w:rFonts w:ascii="Arial" w:cs="Arial" w:eastAsia="Arial" w:hAnsi="Arial"/>
          <w:color w:val="2C3E50"/>
          <w:sz w:val="22"/>
          <w:szCs w:val="22"/>
        </w:rPr>
        <w:t xml:space="preserve">Competitive bidding by multiple contractors — transparent to the homeowner</w:t>
      </w:r>
    </w:p>
    <w:p>
      <w:pPr>
        <w:pStyle w:val="ListParagraph"/>
        <w:numPr>
          <w:ilvl w:val="0"/>
          <w:numId w:val="2"/>
        </w:numPr>
        <w:spacing w:after="60" w:before="60"/>
      </w:pPr>
      <w:r>
        <w:rPr>
          <w:rFonts w:ascii="Arial" w:cs="Arial" w:eastAsia="Arial" w:hAnsi="Arial"/>
          <w:color w:val="2C3E50"/>
          <w:sz w:val="22"/>
          <w:szCs w:val="22"/>
        </w:rPr>
        <w:t xml:space="preserve">AI-powered bid scoring via PricingAgent (market analysis, complexity, location, contractor tier, demand factors)</w:t>
      </w:r>
    </w:p>
    <w:p>
      <w:pPr>
        <w:pStyle w:val="ListParagraph"/>
        <w:numPr>
          <w:ilvl w:val="0"/>
          <w:numId w:val="2"/>
        </w:numPr>
        <w:spacing w:after="60" w:before="60"/>
      </w:pPr>
      <w:r>
        <w:rPr>
          <w:rFonts w:ascii="Arial" w:cs="Arial" w:eastAsia="Arial" w:hAnsi="Arial"/>
          <w:color w:val="2C3E50"/>
          <w:sz w:val="22"/>
          <w:szCs w:val="22"/>
        </w:rPr>
        <w:t xml:space="preserve">Digital contract signing by both parties before payment</w:t>
      </w:r>
    </w:p>
    <w:p>
      <w:pPr>
        <w:pStyle w:val="ListParagraph"/>
        <w:numPr>
          <w:ilvl w:val="0"/>
          <w:numId w:val="2"/>
        </w:numPr>
        <w:spacing w:after="60" w:before="60"/>
      </w:pPr>
      <w:r>
        <w:rPr>
          <w:rFonts w:ascii="Arial" w:cs="Arial" w:eastAsia="Arial" w:hAnsi="Arial"/>
          <w:color w:val="2C3E50"/>
          <w:sz w:val="22"/>
          <w:szCs w:val="22"/>
        </w:rPr>
        <w:t xml:space="preserve">Stripe escrow: homeowner pays into escrow, contractor cannot access until job is complete</w:t>
      </w:r>
    </w:p>
    <w:p>
      <w:pPr>
        <w:pStyle w:val="ListParagraph"/>
        <w:numPr>
          <w:ilvl w:val="0"/>
          <w:numId w:val="2"/>
        </w:numPr>
        <w:spacing w:after="60" w:before="60"/>
      </w:pPr>
      <w:r>
        <w:rPr>
          <w:rFonts w:ascii="Arial" w:cs="Arial" w:eastAsia="Arial" w:hAnsi="Arial"/>
          <w:color w:val="2C3E50"/>
          <w:sz w:val="22"/>
          <w:szCs w:val="22"/>
        </w:rPr>
        <w:t xml:space="preserve">Photo verification for job start (before photos) and completion (after photos)</w:t>
      </w:r>
    </w:p>
    <w:p>
      <w:pPr>
        <w:pStyle w:val="ListParagraph"/>
        <w:numPr>
          <w:ilvl w:val="0"/>
          <w:numId w:val="2"/>
        </w:numPr>
        <w:spacing w:after="60" w:before="60"/>
      </w:pPr>
      <w:r>
        <w:rPr>
          <w:rFonts w:ascii="Arial" w:cs="Arial" w:eastAsia="Arial" w:hAnsi="Arial"/>
          <w:color w:val="2C3E50"/>
          <w:sz w:val="22"/>
          <w:szCs w:val="22"/>
        </w:rPr>
        <w:t xml:space="preserve">Homeowner approval via before/after photo slider — or 7-day auto-release</w:t>
      </w:r>
    </w:p>
    <w:p>
      <w:pPr>
        <w:pStyle w:val="ListParagraph"/>
        <w:numPr>
          <w:ilvl w:val="0"/>
          <w:numId w:val="2"/>
        </w:numPr>
        <w:spacing w:after="60" w:before="60"/>
      </w:pPr>
      <w:r>
        <w:rPr>
          <w:rFonts w:ascii="Arial" w:cs="Arial" w:eastAsia="Arial" w:hAnsi="Arial"/>
          <w:color w:val="2C3E50"/>
          <w:sz w:val="22"/>
          <w:szCs w:val="22"/>
        </w:rPr>
        <w:t xml:space="preserve">Stripe transfer to contractor's connected account on release</w:t>
      </w:r>
    </w:p>
    <w:p>
      <w:pPr>
        <w:spacing w:after="60" w:before="60"/>
      </w:pPr>
      <w:r>
        <w:t xml:space="preserve"/>
      </w:r>
    </w:p>
    <w:p>
      <w:pPr>
        <w:pStyle w:val="Heading2"/>
        <w:pBdr>
          <w:bottom w:val="single" w:color="0D7377" w:sz="3" w:space="1"/>
        </w:pBdr>
        <w:spacing w:after="120" w:before="300"/>
      </w:pPr>
      <w:r>
        <w:rPr>
          <w:rFonts w:ascii="Arial" w:cs="Arial" w:eastAsia="Arial" w:hAnsi="Arial"/>
          <w:b/>
          <w:bCs/>
          <w:color w:val="0D7377"/>
          <w:sz w:val="26"/>
          <w:szCs w:val="26"/>
        </w:rPr>
        <w:t xml:space="preserve">AI Agent Suite (13 Agents — Built)</w:t>
      </w:r>
    </w:p>
    <w:p>
      <w:pPr>
        <w:spacing w:after="80" w:before="80"/>
      </w:pPr>
      <w:r>
        <w:rPr>
          <w:rFonts w:ascii="Arial" w:cs="Arial" w:eastAsia="Arial" w:hAnsi="Arial"/>
          <w:color w:val="2C3E50"/>
          <w:sz w:val="22"/>
          <w:szCs w:val="22"/>
        </w:rPr>
        <w:t xml:space="preserve">This is the most significant undocumented capability. No UK competitor has anything close to this.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4513"/>
            <w:tcBorders>
              <w:top w:val="single" w:color="CCCCCC" w:sz="1"/>
              <w:left w:val="single" w:color="CCCCCC" w:sz="1"/>
              <w:bottom w:val="single" w:color="CCCCCC" w:sz="1"/>
              <w:right w:val="single" w:color="CCCCCC" w:sz="1"/>
            </w:tcBorders>
            <w:shd w:fill="0D7377" w:val="clear"/>
            <w:tcMar>
              <w:top w:type="dxa" w:w="80"/>
              <w:left w:type="dxa" w:w="110"/>
              <w:bottom w:type="dxa" w:w="80"/>
              <w:right w:type="dxa" w:w="110"/>
            </w:tcMar>
          </w:tcPr>
          <w:p>
            <w:r>
              <w:rPr>
                <w:rFonts w:ascii="Arial" w:cs="Arial" w:eastAsia="Arial" w:hAnsi="Arial"/>
                <w:b/>
                <w:bCs/>
                <w:color w:val="FFFFFF"/>
                <w:sz w:val="21"/>
                <w:szCs w:val="21"/>
              </w:rPr>
              <w:t xml:space="preserve">Agent</w:t>
            </w:r>
          </w:p>
        </w:tc>
        <w:tc>
          <w:tcPr>
            <w:tcW w:type="dxa" w:w="4513"/>
            <w:tcBorders>
              <w:top w:val="single" w:color="CCCCCC" w:sz="1"/>
              <w:left w:val="single" w:color="CCCCCC" w:sz="1"/>
              <w:bottom w:val="single" w:color="CCCCCC" w:sz="1"/>
              <w:right w:val="single" w:color="CCCCCC" w:sz="1"/>
            </w:tcBorders>
            <w:shd w:fill="0D7377" w:val="clear"/>
            <w:tcMar>
              <w:top w:type="dxa" w:w="80"/>
              <w:left w:type="dxa" w:w="110"/>
              <w:bottom w:type="dxa" w:w="80"/>
              <w:right w:type="dxa" w:w="110"/>
            </w:tcMar>
          </w:tcPr>
          <w:p>
            <w:r>
              <w:rPr>
                <w:rFonts w:ascii="Arial" w:cs="Arial" w:eastAsia="Arial" w:hAnsi="Arial"/>
                <w:b/>
                <w:bCs/>
                <w:color w:val="FFFFFF"/>
                <w:sz w:val="21"/>
                <w:szCs w:val="21"/>
              </w:rPr>
              <w:t xml:space="preserve">What It Does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PricingAgent</w:t>
            </w:r>
          </w:p>
        </w:tc>
        <w:tc>
          <w:tcPr>
            <w:tcW w:type="dxa" w:w="6226"/>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Scores bid competitiveness using market data, job complexity, location factor, contractor tier, and demand. Gives contractors a real-time competitiveness rating on their bid.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LearningMatchingService</w:t>
            </w:r>
          </w:p>
        </w:tc>
        <w:tc>
          <w:tcPr>
            <w:tcW w:type="dxa" w:w="6226"/>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ML-based contractor matching that learns from job outcomes — gets smarter the more jobs complete on the platform.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DisputeResolutionAgent</w:t>
            </w:r>
          </w:p>
        </w:tc>
        <w:tc>
          <w:tcPr>
            <w:tcW w:type="dxa" w:w="6226"/>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AI-assisted dispute resolution — analyses job evidence (photos, contracts, messages) to recommend outcomes.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BidAcceptanceAgent</w:t>
            </w:r>
          </w:p>
        </w:tc>
        <w:tc>
          <w:tcPr>
            <w:tcW w:type="dxa" w:w="6226"/>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Analyses bid patterns and recommends bid acceptance decisions to homeowners.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EscrowReleaseAgent</w:t>
            </w:r>
          </w:p>
        </w:tc>
        <w:tc>
          <w:tcPr>
            <w:tcW w:type="dxa" w:w="6226"/>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Automates escrow release decisions based on job completion evidence.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PredictiveAgent</w:t>
            </w:r>
          </w:p>
        </w:tc>
        <w:tc>
          <w:tcPr>
            <w:tcW w:type="dxa" w:w="6226"/>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Predicts job outcomes, contractor reliability scores, and demand patterns.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SelfModifyingAgent</w:t>
            </w:r>
          </w:p>
        </w:tc>
        <w:tc>
          <w:tcPr>
            <w:tcW w:type="dxa" w:w="6226"/>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Adaptive base agent that updates its own decision criteria based on platform outcomes.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SchedulingAgent</w:t>
            </w:r>
          </w:p>
        </w:tc>
        <w:tc>
          <w:tcPr>
            <w:tcW w:type="dxa" w:w="6226"/>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Optimises job scheduling and contractor availability.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JobStatusAgent</w:t>
            </w:r>
          </w:p>
        </w:tc>
        <w:tc>
          <w:tcPr>
            <w:tcW w:type="dxa" w:w="6226"/>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Monitors job progress and triggers appropriate notifications and state transitions.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NotificationAgent</w:t>
            </w:r>
          </w:p>
        </w:tc>
        <w:tc>
          <w:tcPr>
            <w:tcW w:type="dxa" w:w="6226"/>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Intelligent notification routing across channels.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AgentOrchestrator</w:t>
            </w:r>
          </w:p>
        </w:tc>
        <w:tc>
          <w:tcPr>
            <w:tcW w:type="dxa" w:w="6226"/>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Coordinates multi-agent workflows — multiple agents collaborate on complex decisions.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AdaptiveUpdateEngine</w:t>
            </w:r>
          </w:p>
        </w:tc>
        <w:tc>
          <w:tcPr>
            <w:tcW w:type="dxa" w:w="6226"/>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Continuously updates agent parameters based on platform learning signals.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BuildingSurveyorService</w:t>
            </w:r>
          </w:p>
        </w:tc>
        <w:tc>
          <w:tcPr>
            <w:tcW w:type="dxa" w:w="6226"/>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Building pathology assessment with RAG (Retrieval-Augmented Generation) — professional-grade property defect analysis.</w:t>
            </w:r>
          </w:p>
        </w:tc>
      </w:tr>
    </w:tbl>
    <w:p>
      <w:pPr>
        <w:spacing w:after="60" w:before="60"/>
      </w:pPr>
      <w:r>
        <w:t xml:space="preserve"/>
      </w:r>
    </w:p>
    <w:p>
      <w:pPr>
        <w:pStyle w:val="Heading2"/>
        <w:pBdr>
          <w:bottom w:val="single" w:color="0D7377" w:sz="3" w:space="1"/>
        </w:pBdr>
        <w:spacing w:after="120" w:before="300"/>
      </w:pPr>
      <w:r>
        <w:rPr>
          <w:rFonts w:ascii="Arial" w:cs="Arial" w:eastAsia="Arial" w:hAnsi="Arial"/>
          <w:b/>
          <w:bCs/>
          <w:color w:val="0D7377"/>
          <w:sz w:val="26"/>
          <w:szCs w:val="26"/>
        </w:rPr>
        <w:t xml:space="preserve">Contractor Trust &amp; Verification Stack</w:t>
      </w:r>
    </w:p>
    <w:p>
      <w:pPr>
        <w:spacing w:after="80" w:before="80"/>
      </w:pPr>
      <w:r>
        <w:rPr>
          <w:rFonts w:ascii="Arial" w:cs="Arial" w:eastAsia="Arial" w:hAnsi="Arial"/>
          <w:color w:val="2C3E50"/>
          <w:sz w:val="22"/>
          <w:szCs w:val="22"/>
        </w:rPr>
        <w:t xml:space="preserve">The verification depth of the Mintenance contractor profile is unmatched by any UK competitor. The following are all built and active in the codebase:</w:t>
      </w:r>
    </w:p>
    <w:p>
      <w:pPr>
        <w:spacing w:after="60" w:before="60"/>
      </w:pPr>
      <w:r>
        <w:t xml:space="preserve"/>
      </w:r>
    </w:p>
    <w:p>
      <w:pPr>
        <w:pStyle w:val="ListParagraph"/>
        <w:numPr>
          <w:ilvl w:val="0"/>
          <w:numId w:val="2"/>
        </w:numPr>
        <w:spacing w:after="60" w:before="60"/>
      </w:pPr>
      <w:r>
        <w:rPr>
          <w:rFonts w:ascii="Arial" w:cs="Arial" w:eastAsia="Arial" w:hAnsi="Arial"/>
          <w:color w:val="2C3E50"/>
          <w:sz w:val="22"/>
          <w:szCs w:val="22"/>
        </w:rPr>
        <w:t xml:space="preserve">DBS criminal record checks (basic, standard, enhanced) — via dbs-check route, integrated with DBS Online, GB Group, uCheck. No UK competitor offers this.</w:t>
      </w:r>
    </w:p>
    <w:p>
      <w:pPr>
        <w:pStyle w:val="ListParagraph"/>
        <w:numPr>
          <w:ilvl w:val="0"/>
          <w:numId w:val="2"/>
        </w:numPr>
        <w:spacing w:after="60" w:before="60"/>
      </w:pPr>
      <w:r>
        <w:rPr>
          <w:rFonts w:ascii="Arial" w:cs="Arial" w:eastAsia="Arial" w:hAnsi="Arial"/>
          <w:color w:val="2C3E50"/>
          <w:sz w:val="22"/>
          <w:szCs w:val="22"/>
        </w:rPr>
        <w:t xml:space="preserve">Background checks (Checkr, GoodHire, Sterling) — professional employment-grade screening.</w:t>
      </w:r>
    </w:p>
    <w:p>
      <w:pPr>
        <w:pStyle w:val="ListParagraph"/>
        <w:numPr>
          <w:ilvl w:val="0"/>
          <w:numId w:val="2"/>
        </w:numPr>
        <w:spacing w:after="60" w:before="60"/>
      </w:pPr>
      <w:r>
        <w:rPr>
          <w:rFonts w:ascii="Arial" w:cs="Arial" w:eastAsia="Arial" w:hAnsi="Arial"/>
          <w:color w:val="2C3E50"/>
          <w:sz w:val="22"/>
          <w:szCs w:val="22"/>
        </w:rPr>
        <w:t xml:space="preserve">Skills verification — contractor skills independently verified, not self-declared.</w:t>
      </w:r>
    </w:p>
    <w:p>
      <w:pPr>
        <w:pStyle w:val="ListParagraph"/>
        <w:numPr>
          <w:ilvl w:val="0"/>
          <w:numId w:val="2"/>
        </w:numPr>
        <w:spacing w:after="60" w:before="60"/>
      </w:pPr>
      <w:r>
        <w:rPr>
          <w:rFonts w:ascii="Arial" w:cs="Arial" w:eastAsia="Arial" w:hAnsi="Arial"/>
          <w:color w:val="2C3E50"/>
          <w:sz w:val="22"/>
          <w:szCs w:val="22"/>
        </w:rPr>
        <w:t xml:space="preserve">Portfolio verification — past work portfolio reviewed and verified.</w:t>
      </w:r>
    </w:p>
    <w:p>
      <w:pPr>
        <w:pStyle w:val="ListParagraph"/>
        <w:numPr>
          <w:ilvl w:val="0"/>
          <w:numId w:val="2"/>
        </w:numPr>
        <w:spacing w:after="60" w:before="60"/>
      </w:pPr>
      <w:r>
        <w:rPr>
          <w:rFonts w:ascii="Arial" w:cs="Arial" w:eastAsia="Arial" w:hAnsi="Arial"/>
          <w:color w:val="2C3E50"/>
          <w:sz w:val="22"/>
          <w:szCs w:val="22"/>
        </w:rPr>
        <w:t xml:space="preserve">Certifications management — Gas Safe, NICEIC, NAPIT and other trade certifications stored and tracked.</w:t>
      </w:r>
    </w:p>
    <w:p>
      <w:pPr>
        <w:pStyle w:val="ListParagraph"/>
        <w:numPr>
          <w:ilvl w:val="0"/>
          <w:numId w:val="2"/>
        </w:numPr>
        <w:spacing w:after="60" w:before="60"/>
      </w:pPr>
      <w:r>
        <w:rPr>
          <w:rFonts w:ascii="Arial" w:cs="Arial" w:eastAsia="Arial" w:hAnsi="Arial"/>
          <w:color w:val="2C3E50"/>
          <w:sz w:val="22"/>
          <w:szCs w:val="22"/>
        </w:rPr>
        <w:t xml:space="preserve">Compliance certificates — regulatory compliance documentation with renewal tracking.</w:t>
      </w:r>
    </w:p>
    <w:p>
      <w:pPr>
        <w:pStyle w:val="ListParagraph"/>
        <w:numPr>
          <w:ilvl w:val="0"/>
          <w:numId w:val="2"/>
        </w:numPr>
        <w:spacing w:after="60" w:before="60"/>
      </w:pPr>
      <w:r>
        <w:rPr>
          <w:rFonts w:ascii="Arial" w:cs="Arial" w:eastAsia="Arial" w:hAnsi="Arial"/>
          <w:color w:val="2C3E50"/>
          <w:sz w:val="22"/>
          <w:szCs w:val="22"/>
        </w:rPr>
        <w:t xml:space="preserve">ESG scoring — environmental, social, governance score for contractors.</w:t>
      </w:r>
    </w:p>
    <w:p>
      <w:pPr>
        <w:pStyle w:val="ListParagraph"/>
        <w:numPr>
          <w:ilvl w:val="0"/>
          <w:numId w:val="2"/>
        </w:numPr>
        <w:spacing w:after="60" w:before="60"/>
      </w:pPr>
      <w:r>
        <w:rPr>
          <w:rFonts w:ascii="Arial" w:cs="Arial" w:eastAsia="Arial" w:hAnsi="Arial"/>
          <w:color w:val="2C3E50"/>
          <w:sz w:val="22"/>
          <w:szCs w:val="22"/>
        </w:rPr>
        <w:t xml:space="preserve">Personality assessment — behavioural profiling for homeowner trust indicators.</w:t>
      </w:r>
    </w:p>
    <w:p>
      <w:pPr>
        <w:pStyle w:val="ListParagraph"/>
        <w:numPr>
          <w:ilvl w:val="0"/>
          <w:numId w:val="2"/>
        </w:numPr>
        <w:spacing w:after="60" w:before="60"/>
      </w:pPr>
      <w:r>
        <w:rPr>
          <w:rFonts w:ascii="Arial" w:cs="Arial" w:eastAsia="Arial" w:hAnsi="Arial"/>
          <w:color w:val="2C3E50"/>
          <w:sz w:val="22"/>
          <w:szCs w:val="22"/>
        </w:rPr>
        <w:t xml:space="preserve">Tax information management — contractor tax details for payment compliance.</w:t>
      </w:r>
    </w:p>
    <w:p>
      <w:pPr>
        <w:pStyle w:val="ListParagraph"/>
        <w:numPr>
          <w:ilvl w:val="0"/>
          <w:numId w:val="2"/>
        </w:numPr>
        <w:spacing w:after="60" w:before="60"/>
      </w:pPr>
      <w:r>
        <w:rPr>
          <w:rFonts w:ascii="Arial" w:cs="Arial" w:eastAsia="Arial" w:hAnsi="Arial"/>
          <w:color w:val="2C3E50"/>
          <w:sz w:val="22"/>
          <w:szCs w:val="22"/>
        </w:rPr>
        <w:t xml:space="preserve">Training modules — continuing professional development tracking.</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F5" w:val="clear"/>
            <w:tcMar>
              <w:top w:type="dxa" w:w="160"/>
              <w:left w:type="dxa" w:w="260"/>
              <w:bottom w:type="dxa" w:w="160"/>
              <w:right w:type="dxa" w:w="260"/>
            </w:tcMar>
          </w:tcPr>
          <w:p>
            <w:r>
              <w:rPr>
                <w:rFonts w:ascii="Arial" w:cs="Arial" w:eastAsia="Arial" w:hAnsi="Arial"/>
                <w:i/>
                <w:iCs/>
                <w:color w:val="2C3E50"/>
                <w:sz w:val="22"/>
                <w:szCs w:val="22"/>
              </w:rPr>
              <w:t xml:space="preserve">The DBS check alone is a category-defining differentiator. Checkatrade, MyBuilder, Rated People, and Bark.com all rely entirely on self-declared information. Mintenance is the first UK property maintenance platform to integrate criminal record verification at the infrastructure level.</w:t>
            </w:r>
          </w:p>
        </w:tc>
      </w:tr>
    </w:tbl>
    <w:p>
      <w:pPr>
        <w:spacing w:after="60" w:before="60"/>
      </w:pPr>
      <w:r>
        <w:t xml:space="preserve"/>
      </w:r>
    </w:p>
    <w:p>
      <w:pPr>
        <w:pStyle w:val="Heading2"/>
        <w:pBdr>
          <w:bottom w:val="single" w:color="0D7377" w:sz="3" w:space="1"/>
        </w:pBdr>
        <w:spacing w:after="120" w:before="300"/>
      </w:pPr>
      <w:r>
        <w:rPr>
          <w:rFonts w:ascii="Arial" w:cs="Arial" w:eastAsia="Arial" w:hAnsi="Arial"/>
          <w:b/>
          <w:bCs/>
          <w:color w:val="0D7377"/>
          <w:sz w:val="26"/>
          <w:szCs w:val="26"/>
        </w:rPr>
        <w:t xml:space="preserve">B2B Portals (Already Built)</w:t>
      </w:r>
    </w:p>
    <w:p>
      <w:pPr>
        <w:pStyle w:val="ListParagraph"/>
        <w:numPr>
          <w:ilvl w:val="0"/>
          <w:numId w:val="2"/>
        </w:numPr>
        <w:spacing w:after="60" w:before="60"/>
      </w:pPr>
      <w:r>
        <w:rPr>
          <w:rFonts w:ascii="Arial" w:cs="Arial" w:eastAsia="Arial" w:hAnsi="Arial"/>
          <w:color w:val="2C3E50"/>
          <w:sz w:val="22"/>
          <w:szCs w:val="22"/>
        </w:rPr>
        <w:t xml:space="preserve">Landlord portal: recurring job scheduling (api/landlord/recurring), contact management (api/landlord/contacts), portfolio/property management.</w:t>
      </w:r>
    </w:p>
    <w:p>
      <w:pPr>
        <w:pStyle w:val="ListParagraph"/>
        <w:numPr>
          <w:ilvl w:val="0"/>
          <w:numId w:val="2"/>
        </w:numPr>
        <w:spacing w:after="60" w:before="60"/>
      </w:pPr>
      <w:r>
        <w:rPr>
          <w:rFonts w:ascii="Arial" w:cs="Arial" w:eastAsia="Arial" w:hAnsi="Arial"/>
          <w:color w:val="2C3E50"/>
          <w:sz w:val="22"/>
          <w:szCs w:val="22"/>
        </w:rPr>
        <w:t xml:space="preserve">Letting agency portal: activity log, multi-property job management, bulk job posting (api/jobs/bulk).</w:t>
      </w:r>
    </w:p>
    <w:p>
      <w:pPr>
        <w:pStyle w:val="ListParagraph"/>
        <w:numPr>
          <w:ilvl w:val="0"/>
          <w:numId w:val="2"/>
        </w:numPr>
        <w:spacing w:after="60" w:before="60"/>
      </w:pPr>
      <w:r>
        <w:rPr>
          <w:rFonts w:ascii="Arial" w:cs="Arial" w:eastAsia="Arial" w:hAnsi="Arial"/>
          <w:color w:val="2C3E50"/>
          <w:sz w:val="22"/>
          <w:szCs w:val="22"/>
        </w:rPr>
        <w:t xml:space="preserve">Landlord subscription pricing: £24.99/month or £249/year.</w:t>
      </w:r>
    </w:p>
    <w:p>
      <w:pPr>
        <w:pStyle w:val="ListParagraph"/>
        <w:numPr>
          <w:ilvl w:val="0"/>
          <w:numId w:val="2"/>
        </w:numPr>
        <w:spacing w:after="60" w:before="60"/>
      </w:pPr>
      <w:r>
        <w:rPr>
          <w:rFonts w:ascii="Arial" w:cs="Arial" w:eastAsia="Arial" w:hAnsi="Arial"/>
          <w:color w:val="2C3E50"/>
          <w:sz w:val="22"/>
          <w:szCs w:val="22"/>
        </w:rPr>
        <w:t xml:space="preserve">Agency subscription pricing: £49.99/month or £499/year.</w:t>
      </w:r>
    </w:p>
    <w:p>
      <w:pPr>
        <w:pStyle w:val="Heading1"/>
        <w:pageBreakBefore/>
        <w:pBdr>
          <w:bottom w:val="single" w:color="14A085" w:sz="6" w:space="1"/>
        </w:pBdr>
        <w:shd w:fill="0D7377" w:val="clear"/>
        <w:spacing w:after="240" w:before="0"/>
        <w:ind w:left="180" w:right="180"/>
      </w:pPr>
      <w:r>
        <w:rPr>
          <w:rFonts w:ascii="Arial" w:cs="Arial" w:eastAsia="Arial" w:hAnsi="Arial"/>
          <w:b/>
          <w:bCs/>
          <w:color w:val="FFFFFF"/>
          <w:sz w:val="30"/>
          <w:szCs w:val="30"/>
        </w:rPr>
        <w:t xml:space="preserve">3. Market Analysis</w:t>
      </w:r>
    </w:p>
    <w:p>
      <w:pPr>
        <w:pStyle w:val="Heading2"/>
        <w:pBdr>
          <w:bottom w:val="single" w:color="0D7377" w:sz="3" w:space="1"/>
        </w:pBdr>
        <w:spacing w:after="120" w:before="300"/>
      </w:pPr>
      <w:r>
        <w:rPr>
          <w:rFonts w:ascii="Arial" w:cs="Arial" w:eastAsia="Arial" w:hAnsi="Arial"/>
          <w:b/>
          <w:bCs/>
          <w:color w:val="0D7377"/>
          <w:sz w:val="26"/>
          <w:szCs w:val="26"/>
        </w:rPr>
        <w:t xml:space="preserve">UK Property Maintenance Market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32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2"/>
                <w:szCs w:val="22"/>
              </w:rPr>
              <w:t xml:space="preserve">Figure</w:t>
            </w:r>
          </w:p>
        </w:tc>
      </w:tr>
      <w:tr>
        <w:tc>
          <w:tcPr>
            <w:tcW w:type="dxa" w:w="32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2"/>
                <w:szCs w:val="22"/>
              </w:rPr>
              <w:t xml:space="preserve">UK Home Services Market (2035 projection)</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2"/>
                <w:szCs w:val="22"/>
              </w:rPr>
              <w:t xml:space="preserve">£24.82 billion</w:t>
            </w:r>
          </w:p>
        </w:tc>
      </w:tr>
      <w:tr>
        <w:tc>
          <w:tcPr>
            <w:tcW w:type="dxa" w:w="32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2"/>
                <w:szCs w:val="22"/>
              </w:rPr>
              <w:t xml:space="preserve">UK Home Improvement Market (2025)</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2"/>
                <w:szCs w:val="22"/>
              </w:rPr>
              <w:t xml:space="preserve">£15.0 billion</w:t>
            </w:r>
          </w:p>
        </w:tc>
      </w:tr>
      <w:tr>
        <w:tc>
          <w:tcPr>
            <w:tcW w:type="dxa" w:w="32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2"/>
                <w:szCs w:val="22"/>
              </w:rPr>
              <w:t xml:space="preserve">Annual growth rate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2"/>
                <w:szCs w:val="22"/>
              </w:rPr>
              <w:t xml:space="preserve">9.06% CAGR</w:t>
            </w:r>
          </w:p>
        </w:tc>
      </w:tr>
      <w:tr>
        <w:tc>
          <w:tcPr>
            <w:tcW w:type="dxa" w:w="32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2"/>
                <w:szCs w:val="22"/>
              </w:rPr>
              <w:t xml:space="preserve">UK homeowners planning renovation by 2027</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2"/>
                <w:szCs w:val="22"/>
              </w:rPr>
              <w:t xml:space="preserve">~7 million</w:t>
            </w:r>
          </w:p>
        </w:tc>
      </w:tr>
      <w:tr>
        <w:tc>
          <w:tcPr>
            <w:tcW w:type="dxa" w:w="32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2"/>
                <w:szCs w:val="22"/>
              </w:rPr>
              <w:t xml:space="preserve">Average renovation spend</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2"/>
                <w:szCs w:val="22"/>
              </w:rPr>
              <w:t xml:space="preserve">£14,000 per project</w:t>
            </w:r>
          </w:p>
        </w:tc>
      </w:tr>
      <w:tr>
        <w:tc>
          <w:tcPr>
            <w:tcW w:type="dxa" w:w="32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2"/>
                <w:szCs w:val="22"/>
              </w:rPr>
              <w:t xml:space="preserve">Annual contractor spend (total UK)</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2"/>
                <w:szCs w:val="22"/>
              </w:rPr>
              <w:t xml:space="preserve">~£40 billion</w:t>
            </w:r>
          </w:p>
        </w:tc>
      </w:tr>
      <w:tr>
        <w:tc>
          <w:tcPr>
            <w:tcW w:type="dxa" w:w="32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2"/>
                <w:szCs w:val="22"/>
              </w:rPr>
              <w:t xml:space="preserve">Brits planning home investment in 2025</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2"/>
                <w:szCs w:val="22"/>
              </w:rPr>
              <w:t xml:space="preserve">21%</w:t>
            </w:r>
          </w:p>
        </w:tc>
      </w:tr>
    </w:tbl>
    <w:p>
      <w:pPr>
        <w:spacing w:after="60" w:before="60"/>
      </w:pPr>
      <w:r>
        <w:t xml:space="preserve"/>
      </w:r>
    </w:p>
    <w:p>
      <w:pPr>
        <w:pStyle w:val="Heading2"/>
        <w:pBdr>
          <w:bottom w:val="single" w:color="0D7377" w:sz="3" w:space="1"/>
        </w:pBdr>
        <w:spacing w:after="120" w:before="300"/>
      </w:pPr>
      <w:r>
        <w:rPr>
          <w:rFonts w:ascii="Arial" w:cs="Arial" w:eastAsia="Arial" w:hAnsi="Arial"/>
          <w:b/>
          <w:bCs/>
          <w:color w:val="0D7377"/>
          <w:sz w:val="26"/>
          <w:szCs w:val="26"/>
        </w:rPr>
        <w:t xml:space="preserve">Macro Tailwinds</w:t>
      </w:r>
    </w:p>
    <w:p>
      <w:pPr>
        <w:pStyle w:val="ListParagraph"/>
        <w:numPr>
          <w:ilvl w:val="0"/>
          <w:numId w:val="2"/>
        </w:numPr>
        <w:spacing w:after="60" w:before="60"/>
      </w:pPr>
      <w:r>
        <w:rPr>
          <w:rFonts w:ascii="Arial" w:cs="Arial" w:eastAsia="Arial" w:hAnsi="Arial"/>
          <w:color w:val="2C3E50"/>
          <w:sz w:val="22"/>
          <w:szCs w:val="22"/>
        </w:rPr>
        <w:t xml:space="preserve">Rising mortgage rates keep homeowners in place — spending on existing properties rather than moving.</w:t>
      </w:r>
    </w:p>
    <w:p>
      <w:pPr>
        <w:pStyle w:val="ListParagraph"/>
        <w:numPr>
          <w:ilvl w:val="0"/>
          <w:numId w:val="2"/>
        </w:numPr>
        <w:spacing w:after="60" w:before="60"/>
      </w:pPr>
      <w:r>
        <w:rPr>
          <w:rFonts w:ascii="Arial" w:cs="Arial" w:eastAsia="Arial" w:hAnsi="Arial"/>
          <w:color w:val="2C3E50"/>
          <w:sz w:val="22"/>
          <w:szCs w:val="22"/>
        </w:rPr>
        <w:t xml:space="preserve">Strong demand for energy-efficient upgrades (heat pumps, insulation, solar) requires verified tradespeople — DBS verification becomes a safety argument, not just a trust argument.</w:t>
      </w:r>
    </w:p>
    <w:p>
      <w:pPr>
        <w:pStyle w:val="ListParagraph"/>
        <w:numPr>
          <w:ilvl w:val="0"/>
          <w:numId w:val="2"/>
        </w:numPr>
        <w:spacing w:after="60" w:before="60"/>
      </w:pPr>
      <w:r>
        <w:rPr>
          <w:rFonts w:ascii="Arial" w:cs="Arial" w:eastAsia="Arial" w:hAnsi="Arial"/>
          <w:color w:val="2C3E50"/>
          <w:sz w:val="22"/>
          <w:szCs w:val="22"/>
        </w:rPr>
        <w:t xml:space="preserve">Post-COVID preference for digital, verified services over cold calling.</w:t>
      </w:r>
    </w:p>
    <w:p>
      <w:pPr>
        <w:pStyle w:val="ListParagraph"/>
        <w:numPr>
          <w:ilvl w:val="0"/>
          <w:numId w:val="2"/>
        </w:numPr>
        <w:spacing w:after="60" w:before="60"/>
      </w:pPr>
      <w:r>
        <w:rPr>
          <w:rFonts w:ascii="Arial" w:cs="Arial" w:eastAsia="Arial" w:hAnsi="Arial"/>
          <w:color w:val="2C3E50"/>
          <w:sz w:val="22"/>
          <w:szCs w:val="22"/>
        </w:rPr>
        <w:t xml:space="preserve">UK Renters Reform Bill increasing landlord obligations — property management compliance is growing in importance.</w:t>
      </w:r>
    </w:p>
    <w:p>
      <w:pPr>
        <w:pStyle w:val="ListParagraph"/>
        <w:numPr>
          <w:ilvl w:val="0"/>
          <w:numId w:val="2"/>
        </w:numPr>
        <w:spacing w:after="60" w:before="60"/>
      </w:pPr>
      <w:r>
        <w:rPr>
          <w:rFonts w:ascii="Arial" w:cs="Arial" w:eastAsia="Arial" w:hAnsi="Arial"/>
          <w:color w:val="2C3E50"/>
          <w:sz w:val="22"/>
          <w:szCs w:val="22"/>
        </w:rPr>
        <w:t xml:space="preserve">Mobile-first behaviour among 25–45 year olds makes an app-first platform natural.</w:t>
      </w:r>
    </w:p>
    <w:p>
      <w:pPr>
        <w:pStyle w:val="Heading1"/>
        <w:pageBreakBefore/>
        <w:pBdr>
          <w:bottom w:val="single" w:color="14A085" w:sz="6" w:space="1"/>
        </w:pBdr>
        <w:shd w:fill="0D7377" w:val="clear"/>
        <w:spacing w:after="240" w:before="0"/>
        <w:ind w:left="180" w:right="180"/>
      </w:pPr>
      <w:r>
        <w:rPr>
          <w:rFonts w:ascii="Arial" w:cs="Arial" w:eastAsia="Arial" w:hAnsi="Arial"/>
          <w:b/>
          <w:bCs/>
          <w:color w:val="FFFFFF"/>
          <w:sz w:val="30"/>
          <w:szCs w:val="30"/>
        </w:rPr>
        <w:t xml:space="preserve">4. Customer Personas</w:t>
      </w:r>
    </w:p>
    <w:p>
      <w:pPr>
        <w:pStyle w:val="Heading2"/>
        <w:pBdr>
          <w:bottom w:val="single" w:color="0D7377" w:sz="3" w:space="1"/>
        </w:pBdr>
        <w:spacing w:after="120" w:before="300"/>
      </w:pPr>
      <w:r>
        <w:rPr>
          <w:rFonts w:ascii="Arial" w:cs="Arial" w:eastAsia="Arial" w:hAnsi="Arial"/>
          <w:b/>
          <w:bCs/>
          <w:color w:val="0D7377"/>
          <w:sz w:val="26"/>
          <w:szCs w:val="26"/>
        </w:rPr>
        <w:t xml:space="preserve">Homeowner Personas</w:t>
      </w:r>
    </w:p>
    <w:p>
      <w:pPr>
        <w:spacing w:after="60" w:before="60"/>
      </w:pPr>
      <w:r>
        <w:t xml:space="preserve"/>
      </w:r>
    </w:p>
    <w:p>
      <w:pPr>
        <w:pStyle w:val="Heading3"/>
        <w:spacing w:after="80" w:before="200"/>
      </w:pPr>
      <w:r>
        <w:rPr>
          <w:rFonts w:ascii="Arial" w:cs="Arial" w:eastAsia="Arial" w:hAnsi="Arial"/>
          <w:b/>
          <w:bCs/>
          <w:color w:val="2C3E50"/>
          <w:sz w:val="24"/>
          <w:szCs w:val="24"/>
        </w:rPr>
        <w:t xml:space="preserve">Persona 1: The First-Time Homeowner — 'Worried Will'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32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Profile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2"/>
                <w:szCs w:val="22"/>
              </w:rPr>
              <w:t xml:space="preserve">Age 28–38. Recently bought first home. No experience hiring tradespeople.</w:t>
            </w:r>
          </w:p>
        </w:tc>
      </w:tr>
      <w:tr>
        <w:tc>
          <w:tcPr>
            <w:tcW w:type="dxa" w:w="32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2"/>
                <w:szCs w:val="22"/>
              </w:rPr>
              <w:t xml:space="preserve">Pain points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2"/>
                <w:szCs w:val="22"/>
              </w:rPr>
              <w:t xml:space="preserve">Terrified of being scammed. No reference point for pricing. No proof work was done properly.</w:t>
            </w:r>
          </w:p>
        </w:tc>
      </w:tr>
      <w:tr>
        <w:tc>
          <w:tcPr>
            <w:tcW w:type="dxa" w:w="32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2"/>
                <w:szCs w:val="22"/>
              </w:rPr>
              <w:t xml:space="preserve">Mintenance hook</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2"/>
                <w:szCs w:val="22"/>
              </w:rPr>
              <w:t xml:space="preserve">Escrow = never loses money to a no-show. Competitive bids = market rate transparency. Photo slider = visual proof before approving payment.</w:t>
            </w:r>
          </w:p>
        </w:tc>
      </w:tr>
      <w:tr>
        <w:tc>
          <w:tcPr>
            <w:tcW w:type="dxa" w:w="32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2"/>
                <w:szCs w:val="22"/>
              </w:rPr>
              <w:t xml:space="preserve">DBS angle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2"/>
                <w:szCs w:val="22"/>
              </w:rPr>
              <w:t xml:space="preserve">Will actively seek out DBS-verified contractors for access to their home — this is a decision driver, not a nice-to-have.</w:t>
            </w:r>
          </w:p>
        </w:tc>
      </w:tr>
      <w:tr>
        <w:tc>
          <w:tcPr>
            <w:tcW w:type="dxa" w:w="32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2"/>
                <w:szCs w:val="22"/>
              </w:rPr>
              <w:t xml:space="preserve">Find them at</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2"/>
                <w:szCs w:val="22"/>
              </w:rPr>
              <w:t xml:space="preserve">Instagram, TikTok home improvement content, Reddit r/HousingUK, first-time buyer Facebook groups, Google search.</w:t>
            </w:r>
          </w:p>
        </w:tc>
      </w:tr>
    </w:tbl>
    <w:p>
      <w:pPr>
        <w:spacing w:after="60" w:before="60"/>
      </w:pPr>
      <w:r>
        <w:t xml:space="preserve"/>
      </w:r>
    </w:p>
    <w:p>
      <w:pPr>
        <w:pStyle w:val="Heading3"/>
        <w:spacing w:after="80" w:before="200"/>
      </w:pPr>
      <w:r>
        <w:rPr>
          <w:rFonts w:ascii="Arial" w:cs="Arial" w:eastAsia="Arial" w:hAnsi="Arial"/>
          <w:b/>
          <w:bCs/>
          <w:color w:val="2C3E50"/>
          <w:sz w:val="24"/>
          <w:szCs w:val="24"/>
        </w:rPr>
        <w:t xml:space="preserve">Persona 2: The Busy Property Owner — 'Efficient Emma'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32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Profile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2"/>
                <w:szCs w:val="22"/>
              </w:rPr>
              <w:t xml:space="preserve">Age 32–50. Owns 1–3 properties. Time-poor professional. Wants minimum friction.</w:t>
            </w:r>
          </w:p>
        </w:tc>
      </w:tr>
      <w:tr>
        <w:tc>
          <w:tcPr>
            <w:tcW w:type="dxa" w:w="32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2"/>
                <w:szCs w:val="22"/>
              </w:rPr>
              <w:t xml:space="preserve">Pain points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2"/>
                <w:szCs w:val="22"/>
              </w:rPr>
              <w:t xml:space="preserve">Chasing multiple quotes. Poor contractor communication. No single dashboard for all jobs.</w:t>
            </w:r>
          </w:p>
        </w:tc>
      </w:tr>
      <w:tr>
        <w:tc>
          <w:tcPr>
            <w:tcW w:type="dxa" w:w="32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2"/>
                <w:szCs w:val="22"/>
              </w:rPr>
              <w:t xml:space="preserve">Mintenance hook</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2"/>
                <w:szCs w:val="22"/>
              </w:rPr>
              <w:t xml:space="preserve">One dashboard for all jobs, in-app messaging, photo records for insurance history, AI bid scoring removes quote comparison fatigue.</w:t>
            </w:r>
          </w:p>
        </w:tc>
      </w:tr>
      <w:tr>
        <w:tc>
          <w:tcPr>
            <w:tcW w:type="dxa" w:w="32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2"/>
                <w:szCs w:val="22"/>
              </w:rPr>
              <w:t xml:space="preserve">Find them at</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2"/>
                <w:szCs w:val="22"/>
              </w:rPr>
              <w:t xml:space="preserve">LinkedIn, PropertyHub, LandlordZone, Google Ads.</w:t>
            </w:r>
          </w:p>
        </w:tc>
      </w:tr>
    </w:tbl>
    <w:p>
      <w:pPr>
        <w:spacing w:after="60" w:before="60"/>
      </w:pPr>
      <w:r>
        <w:t xml:space="preserve"/>
      </w:r>
    </w:p>
    <w:p>
      <w:pPr>
        <w:pStyle w:val="Heading3"/>
        <w:spacing w:after="80" w:before="200"/>
      </w:pPr>
      <w:r>
        <w:rPr>
          <w:rFonts w:ascii="Arial" w:cs="Arial" w:eastAsia="Arial" w:hAnsi="Arial"/>
          <w:b/>
          <w:bCs/>
          <w:color w:val="2C3E50"/>
          <w:sz w:val="24"/>
          <w:szCs w:val="24"/>
        </w:rPr>
        <w:t xml:space="preserve">Persona 3: The Landlord — 'Landlord Luke' (B2B — Already Built)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32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Profile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2"/>
                <w:szCs w:val="22"/>
              </w:rPr>
              <w:t xml:space="preserve">Age 40–65. Owns 2–10 buy-to-let properties. Relies on contractors for maintenance.</w:t>
            </w:r>
          </w:p>
        </w:tc>
      </w:tr>
      <w:tr>
        <w:tc>
          <w:tcPr>
            <w:tcW w:type="dxa" w:w="32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2"/>
                <w:szCs w:val="22"/>
              </w:rPr>
              <w:t xml:space="preserve">Pain points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2"/>
                <w:szCs w:val="22"/>
              </w:rPr>
              <w:t xml:space="preserve">Documenting maintenance for HMRC, managing compliance certificates, finding reliable recurring contractors.</w:t>
            </w:r>
          </w:p>
        </w:tc>
      </w:tr>
      <w:tr>
        <w:tc>
          <w:tcPr>
            <w:tcW w:type="dxa" w:w="32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2"/>
                <w:szCs w:val="22"/>
              </w:rPr>
              <w:t xml:space="preserve">Mintenance hook</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2"/>
                <w:szCs w:val="22"/>
              </w:rPr>
              <w:t xml:space="preserve">Landlord portal with recurring job scheduling, compliance certificate tracking (already built), digital paper trail for every job. £24.99/month subscription.</w:t>
            </w:r>
          </w:p>
        </w:tc>
      </w:tr>
      <w:tr>
        <w:tc>
          <w:tcPr>
            <w:tcW w:type="dxa" w:w="32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2"/>
                <w:szCs w:val="22"/>
              </w:rPr>
              <w:t xml:space="preserve">Find them at</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2"/>
                <w:szCs w:val="22"/>
              </w:rPr>
              <w:t xml:space="preserve">NLA/NRLA communities, Facebook landlord groups, Rightmove landlord resources.</w:t>
            </w:r>
          </w:p>
        </w:tc>
      </w:tr>
    </w:tbl>
    <w:p>
      <w:pPr>
        <w:spacing w:after="60" w:before="60"/>
      </w:pPr>
      <w:r>
        <w:t xml:space="preserve"/>
      </w:r>
    </w:p>
    <w:p>
      <w:pPr>
        <w:pStyle w:val="Heading3"/>
        <w:spacing w:after="80" w:before="200"/>
      </w:pPr>
      <w:r>
        <w:rPr>
          <w:rFonts w:ascii="Arial" w:cs="Arial" w:eastAsia="Arial" w:hAnsi="Arial"/>
          <w:b/>
          <w:bCs/>
          <w:color w:val="2C3E50"/>
          <w:sz w:val="24"/>
          <w:szCs w:val="24"/>
        </w:rPr>
        <w:t xml:space="preserve">Persona 4: The Letting Agency — 'Agency Alice' (B2B — Already Built)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32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Profile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2"/>
                <w:szCs w:val="22"/>
              </w:rPr>
              <w:t xml:space="preserve">Manages 50–500 properties for multiple landlords. Needs a scalable maintenance workflow.</w:t>
            </w:r>
          </w:p>
        </w:tc>
      </w:tr>
      <w:tr>
        <w:tc>
          <w:tcPr>
            <w:tcW w:type="dxa" w:w="32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2"/>
                <w:szCs w:val="22"/>
              </w:rPr>
              <w:t xml:space="preserve">Pain points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2"/>
                <w:szCs w:val="22"/>
              </w:rPr>
              <w:t xml:space="preserve">Coordinating multiple contractors across many properties. Paper-based job tracking. No audit trail for tenant disputes.</w:t>
            </w:r>
          </w:p>
        </w:tc>
      </w:tr>
      <w:tr>
        <w:tc>
          <w:tcPr>
            <w:tcW w:type="dxa" w:w="32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2"/>
                <w:szCs w:val="22"/>
              </w:rPr>
              <w:t xml:space="preserve">Mintenance hook</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2"/>
                <w:szCs w:val="22"/>
              </w:rPr>
              <w:t xml:space="preserve">Agency portal with bulk job posting, activity log, multi-property dashboard. Photo evidence resolves tenant deposit disputes. £49.99/month subscription.</w:t>
            </w:r>
          </w:p>
        </w:tc>
      </w:tr>
      <w:tr>
        <w:tc>
          <w:tcPr>
            <w:tcW w:type="dxa" w:w="32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2"/>
                <w:szCs w:val="22"/>
              </w:rPr>
              <w:t xml:space="preserve">Find them at</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2"/>
                <w:szCs w:val="22"/>
              </w:rPr>
              <w:t xml:space="preserve">ARLA/Propertymark, local estate agent networks, RICS.</w:t>
            </w:r>
          </w:p>
        </w:tc>
      </w:tr>
    </w:tbl>
    <w:p>
      <w:pPr>
        <w:spacing w:after="60" w:before="60"/>
      </w:pPr>
      <w:r>
        <w:t xml:space="preserve"/>
      </w:r>
    </w:p>
    <w:p>
      <w:pPr>
        <w:pStyle w:val="Heading2"/>
        <w:pBdr>
          <w:bottom w:val="single" w:color="0D7377" w:sz="3" w:space="1"/>
        </w:pBdr>
        <w:spacing w:after="120" w:before="300"/>
      </w:pPr>
      <w:r>
        <w:rPr>
          <w:rFonts w:ascii="Arial" w:cs="Arial" w:eastAsia="Arial" w:hAnsi="Arial"/>
          <w:b/>
          <w:bCs/>
          <w:color w:val="0D7377"/>
          <w:sz w:val="26"/>
          <w:szCs w:val="26"/>
        </w:rPr>
        <w:t xml:space="preserve">Contractor Personas</w:t>
      </w:r>
    </w:p>
    <w:p>
      <w:pPr>
        <w:spacing w:after="60" w:before="60"/>
      </w:pPr>
      <w:r>
        <w:t xml:space="preserve"/>
      </w:r>
    </w:p>
    <w:p>
      <w:pPr>
        <w:pStyle w:val="Heading3"/>
        <w:spacing w:after="80" w:before="200"/>
      </w:pPr>
      <w:r>
        <w:rPr>
          <w:rFonts w:ascii="Arial" w:cs="Arial" w:eastAsia="Arial" w:hAnsi="Arial"/>
          <w:b/>
          <w:bCs/>
          <w:color w:val="2C3E50"/>
          <w:sz w:val="24"/>
          <w:szCs w:val="24"/>
        </w:rPr>
        <w:t xml:space="preserve">Persona 5: The Sole Trader — 'Self-Employed Sam'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32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Profile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2"/>
                <w:szCs w:val="22"/>
              </w:rPr>
              <w:t xml:space="preserve">Age 25–45. Plumber, electrician, builder, or decorator. Works alone or with one helper.</w:t>
            </w:r>
          </w:p>
        </w:tc>
      </w:tr>
      <w:tr>
        <w:tc>
          <w:tcPr>
            <w:tcW w:type="dxa" w:w="32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2"/>
                <w:szCs w:val="22"/>
              </w:rPr>
              <w:t xml:space="preserve">Pain points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2"/>
                <w:szCs w:val="22"/>
              </w:rPr>
              <w:t xml:space="preserve">Paying £1,000/year to Checkatrade before winning a job. Chasing payments. Fake negative reviews from homeowners.</w:t>
            </w:r>
          </w:p>
        </w:tc>
      </w:tr>
      <w:tr>
        <w:tc>
          <w:tcPr>
            <w:tcW w:type="dxa" w:w="32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2"/>
                <w:szCs w:val="22"/>
              </w:rPr>
              <w:t xml:space="preserve">Mintenance hook</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2"/>
                <w:szCs w:val="22"/>
              </w:rPr>
              <w:t xml:space="preserve">Free at launch. Payment guaranteed in escrow before work starts. 7-day auto-release prevents non-payment. DBS badge increases job win rate. AI bid scoring helps price competitively.</w:t>
            </w:r>
          </w:p>
        </w:tc>
      </w:tr>
      <w:tr>
        <w:tc>
          <w:tcPr>
            <w:tcW w:type="dxa" w:w="32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2"/>
                <w:szCs w:val="22"/>
              </w:rPr>
              <w:t xml:space="preserve">Find them at</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2"/>
                <w:szCs w:val="22"/>
              </w:rPr>
              <w:t xml:space="preserve">Facebook trades groups (Plumbers UK, Electricians Forum), WhatsApp contractor groups, trade merchants (Screwfix, Toolstation), Checkatrade/MyBuilder defectors.</w:t>
            </w:r>
          </w:p>
        </w:tc>
      </w:tr>
    </w:tbl>
    <w:p>
      <w:pPr>
        <w:spacing w:after="60" w:before="60"/>
      </w:pPr>
      <w:r>
        <w:t xml:space="preserve"/>
      </w:r>
    </w:p>
    <w:p>
      <w:pPr>
        <w:pStyle w:val="Heading3"/>
        <w:spacing w:after="80" w:before="200"/>
      </w:pPr>
      <w:r>
        <w:rPr>
          <w:rFonts w:ascii="Arial" w:cs="Arial" w:eastAsia="Arial" w:hAnsi="Arial"/>
          <w:b/>
          <w:bCs/>
          <w:color w:val="2C3E50"/>
          <w:sz w:val="24"/>
          <w:szCs w:val="24"/>
        </w:rPr>
        <w:t xml:space="preserve">Persona 6: The Growing Trades Business — 'Growing Grace'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32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Profile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2"/>
                <w:szCs w:val="22"/>
              </w:rPr>
              <w:t xml:space="preserve">Runs a small company with 2–8 employees. Wants steady pipeline. Frustrated by high lead costs.</w:t>
            </w:r>
          </w:p>
        </w:tc>
      </w:tr>
      <w:tr>
        <w:tc>
          <w:tcPr>
            <w:tcW w:type="dxa" w:w="32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2"/>
                <w:szCs w:val="22"/>
              </w:rPr>
              <w:t xml:space="preserve">Pain points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2"/>
                <w:szCs w:val="22"/>
              </w:rPr>
              <w:t xml:space="preserve">Lead cost ROI across multiple platforms. No unified job management system. Staff payment and scheduling complexity.</w:t>
            </w:r>
          </w:p>
        </w:tc>
      </w:tr>
      <w:tr>
        <w:tc>
          <w:tcPr>
            <w:tcW w:type="dxa" w:w="32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2"/>
                <w:szCs w:val="22"/>
              </w:rPr>
              <w:t xml:space="preserve">Mintenance hook</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2"/>
                <w:szCs w:val="22"/>
              </w:rPr>
              <w:t xml:space="preserve">Professional subscription tier (£79/month) unlocks analytics, priority placement, scheduling tools, team management. AI pricing agent maximises bid win rate.</w:t>
            </w:r>
          </w:p>
        </w:tc>
      </w:tr>
      <w:tr>
        <w:tc>
          <w:tcPr>
            <w:tcW w:type="dxa" w:w="32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2"/>
                <w:szCs w:val="22"/>
              </w:rPr>
              <w:t xml:space="preserve">Find them at</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2"/>
                <w:szCs w:val="22"/>
              </w:rPr>
              <w:t xml:space="preserve">Federation of Master Builders, local Chamber of Commerce, Instagram business pages.</w:t>
            </w:r>
          </w:p>
        </w:tc>
      </w:tr>
    </w:tbl>
    <w:p>
      <w:pPr>
        <w:pStyle w:val="Heading1"/>
        <w:pageBreakBefore/>
        <w:pBdr>
          <w:bottom w:val="single" w:color="14A085" w:sz="6" w:space="1"/>
        </w:pBdr>
        <w:shd w:fill="0D7377" w:val="clear"/>
        <w:spacing w:after="240" w:before="0"/>
        <w:ind w:left="180" w:right="180"/>
      </w:pPr>
      <w:r>
        <w:rPr>
          <w:rFonts w:ascii="Arial" w:cs="Arial" w:eastAsia="Arial" w:hAnsi="Arial"/>
          <w:b/>
          <w:bCs/>
          <w:color w:val="FFFFFF"/>
          <w:sz w:val="30"/>
          <w:szCs w:val="30"/>
        </w:rPr>
        <w:t xml:space="preserve">5. Competitive Analysis</w:t>
      </w:r>
    </w:p>
    <w:p>
      <w:pPr>
        <w:pStyle w:val="Heading2"/>
        <w:pBdr>
          <w:bottom w:val="single" w:color="0D7377" w:sz="3" w:space="1"/>
        </w:pBdr>
        <w:spacing w:after="120" w:before="300"/>
      </w:pPr>
      <w:r>
        <w:rPr>
          <w:rFonts w:ascii="Arial" w:cs="Arial" w:eastAsia="Arial" w:hAnsi="Arial"/>
          <w:b/>
          <w:bCs/>
          <w:color w:val="0D7377"/>
          <w:sz w:val="26"/>
          <w:szCs w:val="26"/>
        </w:rPr>
        <w:t xml:space="preserve">Market Comparison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300"/>
        <w:gridCol w:w="1300"/>
        <w:gridCol w:w="1300"/>
        <w:gridCol w:w="2126"/>
      </w:tblGrid>
      <w:tr>
        <w:tc>
          <w:tcPr>
            <w:tcW w:type="dxa" w:w="1700"/>
            <w:tcBorders>
              <w:top w:val="single" w:color="CCCCCC" w:sz="1"/>
              <w:left w:val="single" w:color="CCCCCC" w:sz="1"/>
              <w:bottom w:val="single" w:color="CCCCCC" w:sz="1"/>
              <w:right w:val="single" w:color="CCCCCC" w:sz="1"/>
            </w:tcBorders>
            <w:shd w:fill="0D7377" w:val="clear"/>
            <w:tcMar>
              <w:top w:type="dxa" w:w="80"/>
              <w:left w:type="dxa" w:w="100"/>
              <w:bottom w:type="dxa" w:w="80"/>
              <w:right w:type="dxa" w:w="100"/>
            </w:tcMar>
          </w:tcPr>
          <w:p>
            <w:r>
              <w:rPr>
                <w:rFonts w:ascii="Arial" w:cs="Arial" w:eastAsia="Arial" w:hAnsi="Arial"/>
                <w:b/>
                <w:bCs/>
                <w:color w:val="FFFFFF"/>
                <w:sz w:val="20"/>
                <w:szCs w:val="20"/>
              </w:rPr>
              <w:t xml:space="preserve">Platform</w:t>
            </w:r>
          </w:p>
        </w:tc>
        <w:tc>
          <w:tcPr>
            <w:tcW w:type="dxa" w:w="1300"/>
            <w:tcBorders>
              <w:top w:val="single" w:color="CCCCCC" w:sz="1"/>
              <w:left w:val="single" w:color="CCCCCC" w:sz="1"/>
              <w:bottom w:val="single" w:color="CCCCCC" w:sz="1"/>
              <w:right w:val="single" w:color="CCCCCC" w:sz="1"/>
            </w:tcBorders>
            <w:shd w:fill="0D7377" w:val="clear"/>
            <w:tcMar>
              <w:top w:type="dxa" w:w="80"/>
              <w:left w:type="dxa" w:w="100"/>
              <w:bottom w:type="dxa" w:w="80"/>
              <w:right w:type="dxa" w:w="100"/>
            </w:tcMar>
          </w:tcPr>
          <w:p>
            <w:r>
              <w:rPr>
                <w:rFonts w:ascii="Arial" w:cs="Arial" w:eastAsia="Arial" w:hAnsi="Arial"/>
                <w:b/>
                <w:bCs/>
                <w:color w:val="FFFFFF"/>
                <w:sz w:val="20"/>
                <w:szCs w:val="20"/>
              </w:rPr>
              <w:t xml:space="preserve">Escrow Payment</w:t>
            </w:r>
          </w:p>
        </w:tc>
        <w:tc>
          <w:tcPr>
            <w:tcW w:type="dxa" w:w="1300"/>
            <w:tcBorders>
              <w:top w:val="single" w:color="CCCCCC" w:sz="1"/>
              <w:left w:val="single" w:color="CCCCCC" w:sz="1"/>
              <w:bottom w:val="single" w:color="CCCCCC" w:sz="1"/>
              <w:right w:val="single" w:color="CCCCCC" w:sz="1"/>
            </w:tcBorders>
            <w:shd w:fill="0D7377" w:val="clear"/>
            <w:tcMar>
              <w:top w:type="dxa" w:w="80"/>
              <w:left w:type="dxa" w:w="100"/>
              <w:bottom w:type="dxa" w:w="80"/>
              <w:right w:type="dxa" w:w="100"/>
            </w:tcMar>
          </w:tcPr>
          <w:p>
            <w:r>
              <w:rPr>
                <w:rFonts w:ascii="Arial" w:cs="Arial" w:eastAsia="Arial" w:hAnsi="Arial"/>
                <w:b/>
                <w:bCs/>
                <w:color w:val="FFFFFF"/>
                <w:sz w:val="20"/>
                <w:szCs w:val="20"/>
              </w:rPr>
              <w:t xml:space="preserve">DBS Checks</w:t>
            </w:r>
          </w:p>
        </w:tc>
        <w:tc>
          <w:tcPr>
            <w:tcW w:type="dxa" w:w="1300"/>
            <w:tcBorders>
              <w:top w:val="single" w:color="CCCCCC" w:sz="1"/>
              <w:left w:val="single" w:color="CCCCCC" w:sz="1"/>
              <w:bottom w:val="single" w:color="CCCCCC" w:sz="1"/>
              <w:right w:val="single" w:color="CCCCCC" w:sz="1"/>
            </w:tcBorders>
            <w:shd w:fill="0D7377" w:val="clear"/>
            <w:tcMar>
              <w:top w:type="dxa" w:w="80"/>
              <w:left w:type="dxa" w:w="100"/>
              <w:bottom w:type="dxa" w:w="80"/>
              <w:right w:type="dxa" w:w="100"/>
            </w:tcMar>
          </w:tcPr>
          <w:p>
            <w:r>
              <w:rPr>
                <w:rFonts w:ascii="Arial" w:cs="Arial" w:eastAsia="Arial" w:hAnsi="Arial"/>
                <w:b/>
                <w:bCs/>
                <w:color w:val="FFFFFF"/>
                <w:sz w:val="20"/>
                <w:szCs w:val="20"/>
              </w:rPr>
              <w:t xml:space="preserve">AI Pricing</w:t>
            </w:r>
          </w:p>
        </w:tc>
        <w:tc>
          <w:tcPr>
            <w:tcW w:type="dxa" w:w="1300"/>
            <w:tcBorders>
              <w:top w:val="single" w:color="CCCCCC" w:sz="1"/>
              <w:left w:val="single" w:color="CCCCCC" w:sz="1"/>
              <w:bottom w:val="single" w:color="CCCCCC" w:sz="1"/>
              <w:right w:val="single" w:color="CCCCCC" w:sz="1"/>
            </w:tcBorders>
            <w:shd w:fill="0D7377" w:val="clear"/>
            <w:tcMar>
              <w:top w:type="dxa" w:w="80"/>
              <w:left w:type="dxa" w:w="100"/>
              <w:bottom w:type="dxa" w:w="80"/>
              <w:right w:type="dxa" w:w="100"/>
            </w:tcMar>
          </w:tcPr>
          <w:p>
            <w:r>
              <w:rPr>
                <w:rFonts w:ascii="Arial" w:cs="Arial" w:eastAsia="Arial" w:hAnsi="Arial"/>
                <w:b/>
                <w:bCs/>
                <w:color w:val="FFFFFF"/>
                <w:sz w:val="20"/>
                <w:szCs w:val="20"/>
              </w:rPr>
              <w:t xml:space="preserve">Contractor Cost</w:t>
            </w:r>
          </w:p>
        </w:tc>
        <w:tc>
          <w:tcPr>
            <w:tcW w:type="dxa" w:w="2126"/>
            <w:tcBorders>
              <w:top w:val="single" w:color="CCCCCC" w:sz="1"/>
              <w:left w:val="single" w:color="CCCCCC" w:sz="1"/>
              <w:bottom w:val="single" w:color="CCCCCC" w:sz="1"/>
              <w:right w:val="single" w:color="CCCCCC" w:sz="1"/>
            </w:tcBorders>
            <w:shd w:fill="0D7377" w:val="clear"/>
            <w:tcMar>
              <w:top w:type="dxa" w:w="80"/>
              <w:left w:type="dxa" w:w="100"/>
              <w:bottom w:type="dxa" w:w="80"/>
              <w:right w:type="dxa" w:w="100"/>
            </w:tcMar>
          </w:tcPr>
          <w:p>
            <w:r>
              <w:rPr>
                <w:rFonts w:ascii="Arial" w:cs="Arial" w:eastAsia="Arial" w:hAnsi="Arial"/>
                <w:b/>
                <w:bCs/>
                <w:color w:val="FFFFFF"/>
                <w:sz w:val="20"/>
                <w:szCs w:val="20"/>
              </w:rPr>
              <w:t xml:space="preserve">Key Weakness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Checkatrade</w:t>
            </w:r>
          </w:p>
        </w:tc>
        <w:tc>
          <w:tcPr>
            <w:tcW w:type="dxa" w:w="1300"/>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None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None</w:t>
            </w:r>
          </w:p>
        </w:tc>
        <w:tc>
          <w:tcPr>
            <w:tcW w:type="dxa" w:w="1300"/>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None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Up to £1,000/yr</w:t>
            </w:r>
          </w:p>
        </w:tc>
        <w:tc>
          <w:tcPr>
            <w:tcW w:type="dxa" w:w="2126"/>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High cost, suppressed ratings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MyBuilder</w:t>
            </w:r>
          </w:p>
        </w:tc>
        <w:tc>
          <w:tcPr>
            <w:tcW w:type="dxa" w:w="1300"/>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None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None</w:t>
            </w:r>
          </w:p>
        </w:tc>
        <w:tc>
          <w:tcPr>
            <w:tcW w:type="dxa" w:w="1300"/>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None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Per lead</w:t>
            </w:r>
          </w:p>
        </w:tc>
        <w:tc>
          <w:tcPr>
            <w:tcW w:type="dxa" w:w="2126"/>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1.5 stars homeowners, fake reviews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Rated People</w:t>
            </w:r>
          </w:p>
        </w:tc>
        <w:tc>
          <w:tcPr>
            <w:tcW w:type="dxa" w:w="1300"/>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None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None</w:t>
            </w:r>
          </w:p>
        </w:tc>
        <w:tc>
          <w:tcPr>
            <w:tcW w:type="dxa" w:w="1300"/>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None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Credit per lead</w:t>
            </w:r>
          </w:p>
        </w:tc>
        <w:tc>
          <w:tcPr>
            <w:tcW w:type="dxa" w:w="2126"/>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Shared leads, race to bottom</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Bark.com</w:t>
            </w:r>
          </w:p>
        </w:tc>
        <w:tc>
          <w:tcPr>
            <w:tcW w:type="dxa" w:w="1300"/>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None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None</w:t>
            </w:r>
          </w:p>
        </w:tc>
        <w:tc>
          <w:tcPr>
            <w:tcW w:type="dxa" w:w="1300"/>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None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Credits per lead</w:t>
            </w:r>
          </w:p>
        </w:tc>
        <w:tc>
          <w:tcPr>
            <w:tcW w:type="dxa" w:w="2126"/>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Same lead sold to multiple contractors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TrustATrader</w:t>
            </w:r>
          </w:p>
        </w:tc>
        <w:tc>
          <w:tcPr>
            <w:tcW w:type="dxa" w:w="1300"/>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None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None</w:t>
            </w:r>
          </w:p>
        </w:tc>
        <w:tc>
          <w:tcPr>
            <w:tcW w:type="dxa" w:w="1300"/>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None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£70–120/month</w:t>
            </w:r>
          </w:p>
        </w:tc>
        <w:tc>
          <w:tcPr>
            <w:tcW w:type="dxa" w:w="2126"/>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Low homeowner awareness</w:t>
            </w:r>
          </w:p>
        </w:tc>
      </w:tr>
      <w:tr>
        <w:tc>
          <w:tcPr>
            <w:tcW w:type="dxa" w:w="17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MINTENANCE</w:t>
            </w:r>
          </w:p>
        </w:tc>
        <w:tc>
          <w:tcPr>
            <w:tcW w:type="dxa" w:w="13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STRIPE ESCROW</w:t>
            </w:r>
          </w:p>
        </w:tc>
        <w:tc>
          <w:tcPr>
            <w:tcW w:type="dxa" w:w="13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DBS VERIFIED</w:t>
            </w:r>
          </w:p>
        </w:tc>
        <w:tc>
          <w:tcPr>
            <w:tcW w:type="dxa" w:w="13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AI PRICING AGENT</w:t>
            </w:r>
          </w:p>
        </w:tc>
        <w:tc>
          <w:tcPr>
            <w:tcW w:type="dxa" w:w="13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FREE at launch</w:t>
            </w:r>
          </w:p>
        </w:tc>
        <w:tc>
          <w:tcPr>
            <w:tcW w:type="dxa" w:w="2126"/>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20"/>
                <w:szCs w:val="20"/>
              </w:rPr>
              <w:t xml:space="preserve">New entrant — first-mover on trust</w:t>
            </w:r>
          </w:p>
        </w:tc>
      </w:tr>
    </w:tbl>
    <w:p>
      <w:pPr>
        <w:spacing w:after="60" w:before="60"/>
      </w:pPr>
      <w:r>
        <w:t xml:space="preserve"/>
      </w:r>
    </w:p>
    <w:p>
      <w:pPr>
        <w:pStyle w:val="Heading2"/>
        <w:pBdr>
          <w:bottom w:val="single" w:color="0D7377" w:sz="3" w:space="1"/>
        </w:pBdr>
        <w:spacing w:after="120" w:before="300"/>
      </w:pPr>
      <w:r>
        <w:rPr>
          <w:rFonts w:ascii="Arial" w:cs="Arial" w:eastAsia="Arial" w:hAnsi="Arial"/>
          <w:b/>
          <w:bCs/>
          <w:color w:val="0D7377"/>
          <w:sz w:val="26"/>
          <w:szCs w:val="26"/>
        </w:rPr>
        <w:t xml:space="preserve">Why No Competitor Can Copy This Quickly</w:t>
      </w:r>
    </w:p>
    <w:p>
      <w:pPr>
        <w:spacing w:after="80" w:before="80"/>
      </w:pPr>
      <w:r>
        <w:rPr>
          <w:rFonts w:ascii="Arial" w:cs="Arial" w:eastAsia="Arial" w:hAnsi="Arial"/>
          <w:color w:val="2C3E50"/>
          <w:sz w:val="22"/>
          <w:szCs w:val="22"/>
        </w:rPr>
        <w:t xml:space="preserve">The trust stack Mintenance has built — escrow + DBS + AI bid scoring + photo verification + dispute mediation — is not a single feature. It is six integrated systems that took months to engineer. A competitor trying to replicate it would need to:</w:t>
      </w:r>
    </w:p>
    <w:p>
      <w:pPr>
        <w:pStyle w:val="ListParagraph"/>
        <w:numPr>
          <w:ilvl w:val="0"/>
          <w:numId w:val="2"/>
        </w:numPr>
        <w:spacing w:after="60" w:before="60"/>
      </w:pPr>
      <w:r>
        <w:rPr>
          <w:rFonts w:ascii="Arial" w:cs="Arial" w:eastAsia="Arial" w:hAnsi="Arial"/>
          <w:color w:val="2C3E50"/>
          <w:sz w:val="22"/>
          <w:szCs w:val="22"/>
        </w:rPr>
        <w:t xml:space="preserve">Negotiate and integrate Stripe Connect (6–8 weeks minimum)</w:t>
      </w:r>
    </w:p>
    <w:p>
      <w:pPr>
        <w:pStyle w:val="ListParagraph"/>
        <w:numPr>
          <w:ilvl w:val="0"/>
          <w:numId w:val="2"/>
        </w:numPr>
        <w:spacing w:after="60" w:before="60"/>
      </w:pPr>
      <w:r>
        <w:rPr>
          <w:rFonts w:ascii="Arial" w:cs="Arial" w:eastAsia="Arial" w:hAnsi="Arial"/>
          <w:color w:val="2C3E50"/>
          <w:sz w:val="22"/>
          <w:szCs w:val="22"/>
        </w:rPr>
        <w:t xml:space="preserve">Build and legally certify a DBS check integration with UK-regulated bodies (3–6 months)</w:t>
      </w:r>
    </w:p>
    <w:p>
      <w:pPr>
        <w:pStyle w:val="ListParagraph"/>
        <w:numPr>
          <w:ilvl w:val="0"/>
          <w:numId w:val="2"/>
        </w:numPr>
        <w:spacing w:after="60" w:before="60"/>
      </w:pPr>
      <w:r>
        <w:rPr>
          <w:rFonts w:ascii="Arial" w:cs="Arial" w:eastAsia="Arial" w:hAnsi="Arial"/>
          <w:color w:val="2C3E50"/>
          <w:sz w:val="22"/>
          <w:szCs w:val="22"/>
        </w:rPr>
        <w:t xml:space="preserve">Train and deploy bid scoring AI with market data (6+ months of live data needed)</w:t>
      </w:r>
    </w:p>
    <w:p>
      <w:pPr>
        <w:pStyle w:val="ListParagraph"/>
        <w:numPr>
          <w:ilvl w:val="0"/>
          <w:numId w:val="2"/>
        </w:numPr>
        <w:spacing w:after="60" w:before="60"/>
      </w:pPr>
      <w:r>
        <w:rPr>
          <w:rFonts w:ascii="Arial" w:cs="Arial" w:eastAsia="Arial" w:hAnsi="Arial"/>
          <w:color w:val="2C3E50"/>
          <w:sz w:val="22"/>
          <w:szCs w:val="22"/>
        </w:rPr>
        <w:t xml:space="preserve">Build photo verification infrastructure and quality scoring (2–3 months)</w:t>
      </w:r>
    </w:p>
    <w:p>
      <w:pPr>
        <w:pStyle w:val="ListParagraph"/>
        <w:numPr>
          <w:ilvl w:val="0"/>
          <w:numId w:val="2"/>
        </w:numPr>
        <w:spacing w:after="60" w:before="60"/>
      </w:pPr>
      <w:r>
        <w:rPr>
          <w:rFonts w:ascii="Arial" w:cs="Arial" w:eastAsia="Arial" w:hAnsi="Arial"/>
          <w:color w:val="2C3E50"/>
          <w:sz w:val="22"/>
          <w:szCs w:val="22"/>
        </w:rPr>
        <w:t xml:space="preserve">Build dispute resolution tooling and admin workflows (2–3 months)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F5" w:val="clear"/>
            <w:tcMar>
              <w:top w:type="dxa" w:w="160"/>
              <w:left w:type="dxa" w:w="260"/>
              <w:bottom w:type="dxa" w:w="160"/>
              <w:right w:type="dxa" w:w="260"/>
            </w:tcMar>
          </w:tcPr>
          <w:p>
            <w:r>
              <w:rPr>
                <w:rFonts w:ascii="Arial" w:cs="Arial" w:eastAsia="Arial" w:hAnsi="Arial"/>
                <w:i/>
                <w:iCs/>
                <w:color w:val="2C3E50"/>
                <w:sz w:val="22"/>
                <w:szCs w:val="22"/>
              </w:rPr>
              <w:t xml:space="preserve">Total estimated catch-up time for a well-funded competitor: 12–18 months. By then Mintenance has brand recognition, contractor loyalty, and live AI training data that competitors cannot purchase.</w:t>
            </w:r>
          </w:p>
        </w:tc>
      </w:tr>
    </w:tbl>
    <w:p>
      <w:pPr>
        <w:pStyle w:val="Heading1"/>
        <w:pageBreakBefore/>
        <w:pBdr>
          <w:bottom w:val="single" w:color="14A085" w:sz="6" w:space="1"/>
        </w:pBdr>
        <w:shd w:fill="0D7377" w:val="clear"/>
        <w:spacing w:after="240" w:before="0"/>
        <w:ind w:left="180" w:right="180"/>
      </w:pPr>
      <w:r>
        <w:rPr>
          <w:rFonts w:ascii="Arial" w:cs="Arial" w:eastAsia="Arial" w:hAnsi="Arial"/>
          <w:b/>
          <w:bCs/>
          <w:color w:val="FFFFFF"/>
          <w:sz w:val="30"/>
          <w:szCs w:val="30"/>
        </w:rPr>
        <w:t xml:space="preserve">6. Revenue Model — Corrected &amp; Complete</w:t>
      </w:r>
    </w:p>
    <w:p>
      <w:pPr>
        <w:spacing w:after="80" w:before="80"/>
      </w:pPr>
      <w:r>
        <w:rPr>
          <w:rFonts w:ascii="Arial" w:cs="Arial" w:eastAsia="Arial" w:hAnsi="Arial"/>
          <w:color w:val="2C3E50"/>
          <w:sz w:val="22"/>
          <w:szCs w:val="22"/>
        </w:rPr>
        <w:t xml:space="preserve">The following model is sourced entirely from the codebase. Every price point is from the actual service files, not estimates.</w:t>
      </w:r>
    </w:p>
    <w:p>
      <w:pPr>
        <w:spacing w:after="60" w:before="60"/>
      </w:pPr>
      <w:r>
        <w:t xml:space="preserve"/>
      </w:r>
    </w:p>
    <w:p>
      <w:pPr>
        <w:pStyle w:val="Heading2"/>
        <w:pBdr>
          <w:bottom w:val="single" w:color="0D7377" w:sz="3" w:space="1"/>
        </w:pBdr>
        <w:spacing w:after="120" w:before="300"/>
      </w:pPr>
      <w:r>
        <w:rPr>
          <w:rFonts w:ascii="Arial" w:cs="Arial" w:eastAsia="Arial" w:hAnsi="Arial"/>
          <w:b/>
          <w:bCs/>
          <w:color w:val="0D7377"/>
          <w:sz w:val="26"/>
          <w:szCs w:val="26"/>
        </w:rPr>
        <w:t xml:space="preserve">Stream 1 — Transaction Fees (from FeeCalculationService.ts)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32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Platform fee rate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2"/>
                <w:szCs w:val="22"/>
              </w:rPr>
              <w:t xml:space="preserve">5% of job value (NOT 8-10% as stated in v1)</w:t>
            </w:r>
          </w:p>
        </w:tc>
      </w:tr>
      <w:tr>
        <w:tc>
          <w:tcPr>
            <w:tcW w:type="dxa" w:w="32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2"/>
                <w:szCs w:val="22"/>
              </w:rPr>
              <w:t xml:space="preserve">Minimum fee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2"/>
                <w:szCs w:val="22"/>
              </w:rPr>
              <w:t xml:space="preserve">£0.50 per transaction</w:t>
            </w:r>
          </w:p>
        </w:tc>
      </w:tr>
      <w:tr>
        <w:tc>
          <w:tcPr>
            <w:tcW w:type="dxa" w:w="32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2"/>
                <w:szCs w:val="22"/>
              </w:rPr>
              <w:t xml:space="preserve">Maximum fee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2"/>
                <w:szCs w:val="22"/>
              </w:rPr>
              <w:t xml:space="preserve">£50.00 per transaction (cap)</w:t>
            </w:r>
          </w:p>
        </w:tc>
      </w:tr>
      <w:tr>
        <w:tc>
          <w:tcPr>
            <w:tcW w:type="dxa" w:w="32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2"/>
                <w:szCs w:val="22"/>
              </w:rPr>
              <w:t xml:space="preserve">Stripe processing cost</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2"/>
                <w:szCs w:val="22"/>
              </w:rPr>
              <w:t xml:space="preserve">1.5% + £0.20 (UK rate — tracked separately)</w:t>
            </w:r>
          </w:p>
        </w:tc>
      </w:tr>
      <w:tr>
        <w:tc>
          <w:tcPr>
            <w:tcW w:type="dxa" w:w="32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2"/>
                <w:szCs w:val="22"/>
              </w:rPr>
              <w:t xml:space="preserve">Who pays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2"/>
                <w:szCs w:val="22"/>
              </w:rPr>
              <w:t xml:space="preserve">Deducted from contractor's escrow payout — homeowner sees no surcharge</w:t>
            </w:r>
          </w:p>
        </w:tc>
      </w:tr>
      <w:tr>
        <w:tc>
          <w:tcPr>
            <w:tcW w:type="dxa" w:w="32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2"/>
                <w:szCs w:val="22"/>
              </w:rPr>
              <w:t xml:space="preserve">When activated</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2"/>
                <w:szCs w:val="22"/>
              </w:rPr>
              <w:t xml:space="preserve">Month 7 — after 200+ completed jobs establish trust</w:t>
            </w:r>
          </w:p>
        </w:tc>
      </w:tr>
    </w:tbl>
    <w:p>
      <w:pPr>
        <w:spacing w:after="60" w:before="60"/>
      </w:pPr>
      <w:r>
        <w:t xml:space="preserve"/>
      </w:r>
    </w:p>
    <w:p>
      <w:pPr>
        <w:pStyle w:val="Heading2"/>
        <w:pBdr>
          <w:bottom w:val="single" w:color="0D7377" w:sz="3" w:space="1"/>
        </w:pBdr>
        <w:spacing w:after="120" w:before="300"/>
      </w:pPr>
      <w:r>
        <w:rPr>
          <w:rFonts w:ascii="Arial" w:cs="Arial" w:eastAsia="Arial" w:hAnsi="Arial"/>
          <w:b/>
          <w:bCs/>
          <w:color w:val="0D7377"/>
          <w:sz w:val="26"/>
          <w:szCs w:val="26"/>
        </w:rPr>
        <w:t xml:space="preserve">Stream 2 — Contractor Subscriptions (from SubscriptionService.ts)</w:t>
      </w:r>
    </w:p>
    <w:p>
      <w:pPr>
        <w:spacing w:after="80" w:before="80"/>
      </w:pPr>
      <w:r>
        <w:rPr>
          <w:rFonts w:ascii="Arial" w:cs="Arial" w:eastAsia="Arial" w:hAnsi="Arial"/>
          <w:color w:val="2C3E50"/>
          <w:sz w:val="22"/>
          <w:szCs w:val="22"/>
        </w:rPr>
        <w:t xml:space="preserve">These prices are hardcoded in the live SubscriptionService. This is NOT a future plan — it is built and ready to activate from launch day.</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26"/>
      </w:tblGrid>
      <w:tr>
        <w:tc>
          <w:tcPr>
            <w:tcW w:type="dxa" w:w="3008"/>
            <w:tcBorders>
              <w:top w:val="single" w:color="CCCCCC" w:sz="1"/>
              <w:left w:val="single" w:color="CCCCCC" w:sz="1"/>
              <w:bottom w:val="single" w:color="CCCCCC" w:sz="1"/>
              <w:right w:val="single" w:color="CCCCCC" w:sz="1"/>
            </w:tcBorders>
            <w:shd w:fill="0D7377" w:val="clear"/>
            <w:tcMar>
              <w:top w:type="dxa" w:w="80"/>
              <w:left w:type="dxa" w:w="110"/>
              <w:bottom w:type="dxa" w:w="80"/>
              <w:right w:type="dxa" w:w="110"/>
            </w:tcMar>
          </w:tcPr>
          <w:p>
            <w:r>
              <w:rPr>
                <w:rFonts w:ascii="Arial" w:cs="Arial" w:eastAsia="Arial" w:hAnsi="Arial"/>
                <w:b/>
                <w:bCs/>
                <w:color w:val="FFFFFF"/>
                <w:sz w:val="21"/>
                <w:szCs w:val="21"/>
              </w:rPr>
              <w:t xml:space="preserve">Tier</w:t>
            </w:r>
          </w:p>
        </w:tc>
        <w:tc>
          <w:tcPr>
            <w:tcW w:type="dxa" w:w="3008"/>
            <w:tcBorders>
              <w:top w:val="single" w:color="CCCCCC" w:sz="1"/>
              <w:left w:val="single" w:color="CCCCCC" w:sz="1"/>
              <w:bottom w:val="single" w:color="CCCCCC" w:sz="1"/>
              <w:right w:val="single" w:color="CCCCCC" w:sz="1"/>
            </w:tcBorders>
            <w:shd w:fill="0D7377" w:val="clear"/>
            <w:tcMar>
              <w:top w:type="dxa" w:w="80"/>
              <w:left w:type="dxa" w:w="110"/>
              <w:bottom w:type="dxa" w:w="80"/>
              <w:right w:type="dxa" w:w="110"/>
            </w:tcMar>
          </w:tcPr>
          <w:p>
            <w:r>
              <w:rPr>
                <w:rFonts w:ascii="Arial" w:cs="Arial" w:eastAsia="Arial" w:hAnsi="Arial"/>
                <w:b/>
                <w:bCs/>
                <w:color w:val="FFFFFF"/>
                <w:sz w:val="21"/>
                <w:szCs w:val="21"/>
              </w:rPr>
              <w:t xml:space="preserve">Price/month</w:t>
            </w:r>
          </w:p>
        </w:tc>
        <w:tc>
          <w:tcPr>
            <w:tcW w:type="dxa" w:w="3010"/>
            <w:tcBorders>
              <w:top w:val="single" w:color="CCCCCC" w:sz="1"/>
              <w:left w:val="single" w:color="CCCCCC" w:sz="1"/>
              <w:bottom w:val="single" w:color="CCCCCC" w:sz="1"/>
              <w:right w:val="single" w:color="CCCCCC" w:sz="1"/>
            </w:tcBorders>
            <w:shd w:fill="0D7377" w:val="clear"/>
            <w:tcMar>
              <w:top w:type="dxa" w:w="80"/>
              <w:left w:type="dxa" w:w="110"/>
              <w:bottom w:type="dxa" w:w="80"/>
              <w:right w:type="dxa" w:w="110"/>
            </w:tcMar>
          </w:tcPr>
          <w:p>
            <w:r>
              <w:rPr>
                <w:rFonts w:ascii="Arial" w:cs="Arial" w:eastAsia="Arial" w:hAnsi="Arial"/>
                <w:b/>
                <w:bCs/>
                <w:color w:val="FFFFFF"/>
                <w:sz w:val="21"/>
                <w:szCs w:val="21"/>
              </w:rPr>
              <w:t xml:space="preserve">What It Unlocks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Free</w:t>
            </w:r>
          </w:p>
        </w:tc>
        <w:tc>
          <w:tcPr>
            <w:tcW w:type="dxa" w:w="1800"/>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£0</w:t>
            </w:r>
          </w:p>
        </w:tc>
        <w:tc>
          <w:tcPr>
            <w:tcW w:type="dxa" w:w="5226"/>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Core platform access — bid on jobs, receive payments, basic profile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Basic</w:t>
            </w:r>
          </w:p>
        </w:tc>
        <w:tc>
          <w:tcPr>
            <w:tcW w:type="dxa" w:w="1800"/>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£29</w:t>
            </w:r>
          </w:p>
        </w:tc>
        <w:tc>
          <w:tcPr>
            <w:tcW w:type="dxa" w:w="5226"/>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Priority search placement, bid analytics, enhanced profile badge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Professional</w:t>
            </w:r>
          </w:p>
        </w:tc>
        <w:tc>
          <w:tcPr>
            <w:tcW w:type="dxa" w:w="1800"/>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£79</w:t>
            </w:r>
          </w:p>
        </w:tc>
        <w:tc>
          <w:tcPr>
            <w:tcW w:type="dxa" w:w="5226"/>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All Basic features + scheduling tools, AI bid coaching, advanced analytics, team management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Enterprise</w:t>
            </w:r>
          </w:p>
        </w:tc>
        <w:tc>
          <w:tcPr>
            <w:tcW w:type="dxa" w:w="1800"/>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£199</w:t>
            </w:r>
          </w:p>
        </w:tc>
        <w:tc>
          <w:tcPr>
            <w:tcW w:type="dxa" w:w="5226"/>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All Professional features + dedicated account support, bulk job access, white-label options</w:t>
            </w:r>
          </w:p>
        </w:tc>
      </w:tr>
    </w:tbl>
    <w:p>
      <w:pPr>
        <w:spacing w:after="60" w:before="60"/>
      </w:pPr>
      <w:r>
        <w:t xml:space="preserve"/>
      </w:r>
    </w:p>
    <w:p>
      <w:pPr>
        <w:pStyle w:val="Heading2"/>
        <w:pBdr>
          <w:bottom w:val="single" w:color="0D7377" w:sz="3" w:space="1"/>
        </w:pBdr>
        <w:spacing w:after="120" w:before="300"/>
      </w:pPr>
      <w:r>
        <w:rPr>
          <w:rFonts w:ascii="Arial" w:cs="Arial" w:eastAsia="Arial" w:hAnsi="Arial"/>
          <w:b/>
          <w:bCs/>
          <w:color w:val="0D7377"/>
          <w:sz w:val="26"/>
          <w:szCs w:val="26"/>
        </w:rPr>
        <w:t xml:space="preserve">Stream 3 — B2B Subscriptions (from HomeownerSubscriptionService.ts)</w:t>
      </w:r>
    </w:p>
    <w:p>
      <w:pPr>
        <w:spacing w:after="80" w:before="80"/>
      </w:pPr>
      <w:r>
        <w:rPr>
          <w:rFonts w:ascii="Arial" w:cs="Arial" w:eastAsia="Arial" w:hAnsi="Arial"/>
          <w:color w:val="2C3E50"/>
          <w:sz w:val="22"/>
          <w:szCs w:val="22"/>
        </w:rPr>
        <w:t xml:space="preserve">Full landlord and agency portals are built. This is also NOT a future phase — it is ready now.</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026"/>
      </w:tblGrid>
      <w:tr>
        <w:tc>
          <w:tcPr>
            <w:tcW w:type="dxa" w:w="2256"/>
            <w:tcBorders>
              <w:top w:val="single" w:color="CCCCCC" w:sz="1"/>
              <w:left w:val="single" w:color="CCCCCC" w:sz="1"/>
              <w:bottom w:val="single" w:color="CCCCCC" w:sz="1"/>
              <w:right w:val="single" w:color="CCCCCC" w:sz="1"/>
            </w:tcBorders>
            <w:shd w:fill="0D7377" w:val="clear"/>
            <w:tcMar>
              <w:top w:type="dxa" w:w="80"/>
              <w:left w:type="dxa" w:w="110"/>
              <w:bottom w:type="dxa" w:w="80"/>
              <w:right w:type="dxa" w:w="110"/>
            </w:tcMar>
          </w:tcPr>
          <w:p>
            <w:r>
              <w:rPr>
                <w:rFonts w:ascii="Arial" w:cs="Arial" w:eastAsia="Arial" w:hAnsi="Arial"/>
                <w:b/>
                <w:bCs/>
                <w:color w:val="FFFFFF"/>
                <w:sz w:val="21"/>
                <w:szCs w:val="21"/>
              </w:rPr>
              <w:t xml:space="preserve">Tier</w:t>
            </w:r>
          </w:p>
        </w:tc>
        <w:tc>
          <w:tcPr>
            <w:tcW w:type="dxa" w:w="2256"/>
            <w:tcBorders>
              <w:top w:val="single" w:color="CCCCCC" w:sz="1"/>
              <w:left w:val="single" w:color="CCCCCC" w:sz="1"/>
              <w:bottom w:val="single" w:color="CCCCCC" w:sz="1"/>
              <w:right w:val="single" w:color="CCCCCC" w:sz="1"/>
            </w:tcBorders>
            <w:shd w:fill="0D7377" w:val="clear"/>
            <w:tcMar>
              <w:top w:type="dxa" w:w="80"/>
              <w:left w:type="dxa" w:w="110"/>
              <w:bottom w:type="dxa" w:w="80"/>
              <w:right w:type="dxa" w:w="110"/>
            </w:tcMar>
          </w:tcPr>
          <w:p>
            <w:r>
              <w:rPr>
                <w:rFonts w:ascii="Arial" w:cs="Arial" w:eastAsia="Arial" w:hAnsi="Arial"/>
                <w:b/>
                <w:bCs/>
                <w:color w:val="FFFFFF"/>
                <w:sz w:val="21"/>
                <w:szCs w:val="21"/>
              </w:rPr>
              <w:t xml:space="preserve">Monthly</w:t>
            </w:r>
          </w:p>
        </w:tc>
        <w:tc>
          <w:tcPr>
            <w:tcW w:type="dxa" w:w="2256"/>
            <w:tcBorders>
              <w:top w:val="single" w:color="CCCCCC" w:sz="1"/>
              <w:left w:val="single" w:color="CCCCCC" w:sz="1"/>
              <w:bottom w:val="single" w:color="CCCCCC" w:sz="1"/>
              <w:right w:val="single" w:color="CCCCCC" w:sz="1"/>
            </w:tcBorders>
            <w:shd w:fill="0D7377" w:val="clear"/>
            <w:tcMar>
              <w:top w:type="dxa" w:w="80"/>
              <w:left w:type="dxa" w:w="110"/>
              <w:bottom w:type="dxa" w:w="80"/>
              <w:right w:type="dxa" w:w="110"/>
            </w:tcMar>
          </w:tcPr>
          <w:p>
            <w:r>
              <w:rPr>
                <w:rFonts w:ascii="Arial" w:cs="Arial" w:eastAsia="Arial" w:hAnsi="Arial"/>
                <w:b/>
                <w:bCs/>
                <w:color w:val="FFFFFF"/>
                <w:sz w:val="21"/>
                <w:szCs w:val="21"/>
              </w:rPr>
              <w:t xml:space="preserve">Annual</w:t>
            </w:r>
          </w:p>
        </w:tc>
        <w:tc>
          <w:tcPr>
            <w:tcW w:type="dxa" w:w="2258"/>
            <w:tcBorders>
              <w:top w:val="single" w:color="CCCCCC" w:sz="1"/>
              <w:left w:val="single" w:color="CCCCCC" w:sz="1"/>
              <w:bottom w:val="single" w:color="CCCCCC" w:sz="1"/>
              <w:right w:val="single" w:color="CCCCCC" w:sz="1"/>
            </w:tcBorders>
            <w:shd w:fill="0D7377" w:val="clear"/>
            <w:tcMar>
              <w:top w:type="dxa" w:w="80"/>
              <w:left w:type="dxa" w:w="110"/>
              <w:bottom w:type="dxa" w:w="80"/>
              <w:right w:type="dxa" w:w="110"/>
            </w:tcMar>
          </w:tcPr>
          <w:p>
            <w:r>
              <w:rPr>
                <w:rFonts w:ascii="Arial" w:cs="Arial" w:eastAsia="Arial" w:hAnsi="Arial"/>
                <w:b/>
                <w:bCs/>
                <w:color w:val="FFFFFF"/>
                <w:sz w:val="21"/>
                <w:szCs w:val="21"/>
              </w:rPr>
              <w:t xml:space="preserve">Target Customer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Landlord</w:t>
            </w:r>
          </w:p>
        </w:tc>
        <w:tc>
          <w:tcPr>
            <w:tcW w:type="dxa" w:w="2000"/>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£24.99/mo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£249/yr</w:t>
            </w:r>
          </w:p>
        </w:tc>
        <w:tc>
          <w:tcPr>
            <w:tcW w:type="dxa" w:w="3026"/>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Individual landlords with 2–10 properties, recurring maintenance needs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Agency</w:t>
            </w:r>
          </w:p>
        </w:tc>
        <w:tc>
          <w:tcPr>
            <w:tcW w:type="dxa" w:w="2000"/>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£49.99/mo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£499/yr</w:t>
            </w:r>
          </w:p>
        </w:tc>
        <w:tc>
          <w:tcPr>
            <w:tcW w:type="dxa" w:w="3026"/>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Letting agencies managing 50–500 properties, bulk job posting, activity log</w:t>
            </w:r>
          </w:p>
        </w:tc>
      </w:tr>
    </w:tbl>
    <w:p>
      <w:pPr>
        <w:spacing w:after="60" w:before="60"/>
      </w:pPr>
      <w:r>
        <w:t xml:space="preserve"/>
      </w:r>
    </w:p>
    <w:p>
      <w:pPr>
        <w:pStyle w:val="Heading2"/>
        <w:pBdr>
          <w:bottom w:val="single" w:color="0D7377" w:sz="3" w:space="1"/>
        </w:pBdr>
        <w:spacing w:after="120" w:before="300"/>
      </w:pPr>
      <w:r>
        <w:rPr>
          <w:rFonts w:ascii="Arial" w:cs="Arial" w:eastAsia="Arial" w:hAnsi="Arial"/>
          <w:b/>
          <w:bCs/>
          <w:color w:val="0D7377"/>
          <w:sz w:val="26"/>
          <w:szCs w:val="26"/>
        </w:rPr>
        <w:t xml:space="preserve">Combined Revenue Projections (Corrected)</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2000"/>
        <w:gridCol w:w="2000"/>
        <w:gridCol w:w="2000"/>
      </w:tblGrid>
      <w:tr>
        <w:tc>
          <w:tcPr>
            <w:tcW w:type="dxa" w:w="2256"/>
            <w:tcBorders>
              <w:top w:val="single" w:color="CCCCCC" w:sz="1"/>
              <w:left w:val="single" w:color="CCCCCC" w:sz="1"/>
              <w:bottom w:val="single" w:color="CCCCCC" w:sz="1"/>
              <w:right w:val="single" w:color="CCCCCC" w:sz="1"/>
            </w:tcBorders>
            <w:shd w:fill="0D7377" w:val="clear"/>
            <w:tcMar>
              <w:top w:type="dxa" w:w="80"/>
              <w:left w:type="dxa" w:w="110"/>
              <w:bottom w:type="dxa" w:w="80"/>
              <w:right w:type="dxa" w:w="110"/>
            </w:tcMar>
          </w:tcPr>
          <w:p>
            <w:r>
              <w:rPr>
                <w:rFonts w:ascii="Arial" w:cs="Arial" w:eastAsia="Arial" w:hAnsi="Arial"/>
                <w:b/>
                <w:bCs/>
                <w:color w:val="FFFFFF"/>
                <w:sz w:val="21"/>
                <w:szCs w:val="21"/>
              </w:rPr>
              <w:t xml:space="preserve">Revenue Stream</w:t>
            </w:r>
          </w:p>
        </w:tc>
        <w:tc>
          <w:tcPr>
            <w:tcW w:type="dxa" w:w="2256"/>
            <w:tcBorders>
              <w:top w:val="single" w:color="CCCCCC" w:sz="1"/>
              <w:left w:val="single" w:color="CCCCCC" w:sz="1"/>
              <w:bottom w:val="single" w:color="CCCCCC" w:sz="1"/>
              <w:right w:val="single" w:color="CCCCCC" w:sz="1"/>
            </w:tcBorders>
            <w:shd w:fill="0D7377" w:val="clear"/>
            <w:tcMar>
              <w:top w:type="dxa" w:w="80"/>
              <w:left w:type="dxa" w:w="110"/>
              <w:bottom w:type="dxa" w:w="80"/>
              <w:right w:type="dxa" w:w="110"/>
            </w:tcMar>
          </w:tcPr>
          <w:p>
            <w:r>
              <w:rPr>
                <w:rFonts w:ascii="Arial" w:cs="Arial" w:eastAsia="Arial" w:hAnsi="Arial"/>
                <w:b/>
                <w:bCs/>
                <w:color w:val="FFFFFF"/>
                <w:sz w:val="21"/>
                <w:szCs w:val="21"/>
              </w:rPr>
              <w:t xml:space="preserve">Month 6</w:t>
            </w:r>
          </w:p>
        </w:tc>
        <w:tc>
          <w:tcPr>
            <w:tcW w:type="dxa" w:w="2256"/>
            <w:tcBorders>
              <w:top w:val="single" w:color="CCCCCC" w:sz="1"/>
              <w:left w:val="single" w:color="CCCCCC" w:sz="1"/>
              <w:bottom w:val="single" w:color="CCCCCC" w:sz="1"/>
              <w:right w:val="single" w:color="CCCCCC" w:sz="1"/>
            </w:tcBorders>
            <w:shd w:fill="0D7377" w:val="clear"/>
            <w:tcMar>
              <w:top w:type="dxa" w:w="80"/>
              <w:left w:type="dxa" w:w="110"/>
              <w:bottom w:type="dxa" w:w="80"/>
              <w:right w:type="dxa" w:w="110"/>
            </w:tcMar>
          </w:tcPr>
          <w:p>
            <w:r>
              <w:rPr>
                <w:rFonts w:ascii="Arial" w:cs="Arial" w:eastAsia="Arial" w:hAnsi="Arial"/>
                <w:b/>
                <w:bCs/>
                <w:color w:val="FFFFFF"/>
                <w:sz w:val="21"/>
                <w:szCs w:val="21"/>
              </w:rPr>
              <w:t xml:space="preserve">Month 12</w:t>
            </w:r>
          </w:p>
        </w:tc>
        <w:tc>
          <w:tcPr>
            <w:tcW w:type="dxa" w:w="2258"/>
            <w:tcBorders>
              <w:top w:val="single" w:color="CCCCCC" w:sz="1"/>
              <w:left w:val="single" w:color="CCCCCC" w:sz="1"/>
              <w:bottom w:val="single" w:color="CCCCCC" w:sz="1"/>
              <w:right w:val="single" w:color="CCCCCC" w:sz="1"/>
            </w:tcBorders>
            <w:shd w:fill="0D7377" w:val="clear"/>
            <w:tcMar>
              <w:top w:type="dxa" w:w="80"/>
              <w:left w:type="dxa" w:w="110"/>
              <w:bottom w:type="dxa" w:w="80"/>
              <w:right w:type="dxa" w:w="110"/>
            </w:tcMar>
          </w:tcPr>
          <w:p>
            <w:r>
              <w:rPr>
                <w:rFonts w:ascii="Arial" w:cs="Arial" w:eastAsia="Arial" w:hAnsi="Arial"/>
                <w:b/>
                <w:bCs/>
                <w:color w:val="FFFFFF"/>
                <w:sz w:val="21"/>
                <w:szCs w:val="21"/>
              </w:rPr>
              <w:t xml:space="preserve">Month 18</w:t>
            </w:r>
          </w:p>
        </w:tc>
      </w:tr>
      <w:tr>
        <w:tc>
          <w:tcPr>
            <w:tcW w:type="dxa" w:w="3026"/>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Active Contractors</w:t>
            </w:r>
          </w:p>
        </w:tc>
        <w:tc>
          <w:tcPr>
            <w:tcW w:type="dxa" w:w="2000"/>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200</w:t>
            </w:r>
          </w:p>
        </w:tc>
        <w:tc>
          <w:tcPr>
            <w:tcW w:type="dxa" w:w="2000"/>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500</w:t>
            </w:r>
          </w:p>
        </w:tc>
      </w:tr>
      <w:tr>
        <w:tc>
          <w:tcPr>
            <w:tcW w:type="dxa" w:w="3026"/>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Active Homeowners</w:t>
            </w:r>
          </w:p>
        </w:tc>
        <w:tc>
          <w:tcPr>
            <w:tcW w:type="dxa" w:w="2000"/>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200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1,000</w:t>
            </w:r>
          </w:p>
        </w:tc>
        <w:tc>
          <w:tcPr>
            <w:tcW w:type="dxa" w:w="2000"/>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3,000</w:t>
            </w:r>
          </w:p>
        </w:tc>
      </w:tr>
      <w:tr>
        <w:tc>
          <w:tcPr>
            <w:tcW w:type="dxa" w:w="3026"/>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Jobs completed/month</w:t>
            </w:r>
          </w:p>
        </w:tc>
        <w:tc>
          <w:tcPr>
            <w:tcW w:type="dxa" w:w="2000"/>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30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200</w:t>
            </w:r>
          </w:p>
        </w:tc>
        <w:tc>
          <w:tcPr>
            <w:tcW w:type="dxa" w:w="2000"/>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600</w:t>
            </w:r>
          </w:p>
        </w:tc>
      </w:tr>
      <w:tr>
        <w:tc>
          <w:tcPr>
            <w:tcW w:type="dxa" w:w="3026"/>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Avg job value</w:t>
            </w:r>
          </w:p>
        </w:tc>
        <w:tc>
          <w:tcPr>
            <w:tcW w:type="dxa" w:w="2000"/>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£600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£700</w:t>
            </w:r>
          </w:p>
        </w:tc>
        <w:tc>
          <w:tcPr>
            <w:tcW w:type="dxa" w:w="2000"/>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£800</w:t>
            </w:r>
          </w:p>
        </w:tc>
      </w:tr>
      <w:tr>
        <w:tc>
          <w:tcPr>
            <w:tcW w:type="dxa" w:w="3026"/>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Monthly GMV</w:t>
            </w:r>
          </w:p>
        </w:tc>
        <w:tc>
          <w:tcPr>
            <w:tcW w:type="dxa" w:w="2000"/>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£18,000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£140,000</w:t>
            </w:r>
          </w:p>
        </w:tc>
        <w:tc>
          <w:tcPr>
            <w:tcW w:type="dxa" w:w="2000"/>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£480,000</w:t>
            </w:r>
          </w:p>
        </w:tc>
      </w:tr>
      <w:tr>
        <w:tc>
          <w:tcPr>
            <w:tcW w:type="dxa" w:w="3026"/>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Transaction fees (5%)</w:t>
            </w:r>
          </w:p>
        </w:tc>
        <w:tc>
          <w:tcPr>
            <w:tcW w:type="dxa" w:w="2000"/>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£0 (free phase)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£7,000</w:t>
            </w:r>
          </w:p>
        </w:tc>
        <w:tc>
          <w:tcPr>
            <w:tcW w:type="dxa" w:w="2000"/>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£24,000</w:t>
            </w:r>
          </w:p>
        </w:tc>
      </w:tr>
      <w:tr>
        <w:tc>
          <w:tcPr>
            <w:tcW w:type="dxa" w:w="3026"/>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Contractor subscriptions</w:t>
            </w:r>
          </w:p>
        </w:tc>
        <w:tc>
          <w:tcPr>
            <w:tcW w:type="dxa" w:w="2000"/>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£0 (free phase)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~£2,500</w:t>
            </w:r>
          </w:p>
        </w:tc>
        <w:tc>
          <w:tcPr>
            <w:tcW w:type="dxa" w:w="2000"/>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~£5,000</w:t>
            </w:r>
          </w:p>
        </w:tc>
      </w:tr>
      <w:tr>
        <w:tc>
          <w:tcPr>
            <w:tcW w:type="dxa" w:w="3026"/>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B2B subscriptions</w:t>
            </w:r>
          </w:p>
        </w:tc>
        <w:tc>
          <w:tcPr>
            <w:tcW w:type="dxa" w:w="2000"/>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£0 (free phase)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~£500</w:t>
            </w:r>
          </w:p>
        </w:tc>
        <w:tc>
          <w:tcPr>
            <w:tcW w:type="dxa" w:w="2000"/>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~£1,500</w:t>
            </w:r>
          </w:p>
        </w:tc>
      </w:tr>
      <w:tr>
        <w:tc>
          <w:tcPr>
            <w:tcW w:type="dxa" w:w="3026"/>
            <w:tcBorders>
              <w:top w:val="single" w:color="CCCCCC" w:sz="1"/>
              <w:left w:val="single" w:color="CCCCCC" w:sz="1"/>
              <w:bottom w:val="single" w:color="CCCCCC" w:sz="1"/>
              <w:right w:val="single" w:color="CCCCCC" w:sz="1"/>
            </w:tcBorders>
            <w:shd w:fill="E8F5F5" w:val="clear"/>
            <w:tcMar>
              <w:top w:type="dxa" w:w="80"/>
              <w:left w:type="dxa" w:w="110"/>
              <w:bottom w:type="dxa" w:w="80"/>
              <w:right w:type="dxa" w:w="110"/>
            </w:tcMar>
          </w:tcPr>
          <w:p>
            <w:r>
              <w:rPr>
                <w:rFonts w:ascii="Arial" w:cs="Arial" w:eastAsia="Arial" w:hAnsi="Arial"/>
                <w:b/>
                <w:bCs/>
                <w:color w:val="0D7377"/>
                <w:sz w:val="22"/>
                <w:szCs w:val="22"/>
              </w:rPr>
              <w:t xml:space="preserve">TOTAL MONTHLY REVENUE</w:t>
            </w:r>
          </w:p>
        </w:tc>
        <w:tc>
          <w:tcPr>
            <w:tcW w:type="dxa" w:w="2000"/>
            <w:tcBorders>
              <w:top w:val="single" w:color="CCCCCC" w:sz="1"/>
              <w:left w:val="single" w:color="CCCCCC" w:sz="1"/>
              <w:bottom w:val="single" w:color="CCCCCC" w:sz="1"/>
              <w:right w:val="single" w:color="CCCCCC" w:sz="1"/>
            </w:tcBorders>
            <w:shd w:fill="E8F5F5" w:val="clear"/>
            <w:tcMar>
              <w:top w:type="dxa" w:w="80"/>
              <w:left w:type="dxa" w:w="110"/>
              <w:bottom w:type="dxa" w:w="80"/>
              <w:right w:type="dxa" w:w="110"/>
            </w:tcMar>
          </w:tcPr>
          <w:p>
            <w:r>
              <w:rPr>
                <w:rFonts w:ascii="Arial" w:cs="Arial" w:eastAsia="Arial" w:hAnsi="Arial"/>
                <w:b/>
                <w:bCs/>
                <w:color w:val="0D7377"/>
                <w:sz w:val="22"/>
                <w:szCs w:val="22"/>
              </w:rPr>
              <w:t xml:space="preserve">£0</w:t>
            </w:r>
          </w:p>
        </w:tc>
        <w:tc>
          <w:tcPr>
            <w:tcW w:type="dxa" w:w="2000"/>
            <w:tcBorders>
              <w:top w:val="single" w:color="CCCCCC" w:sz="1"/>
              <w:left w:val="single" w:color="CCCCCC" w:sz="1"/>
              <w:bottom w:val="single" w:color="CCCCCC" w:sz="1"/>
              <w:right w:val="single" w:color="CCCCCC" w:sz="1"/>
            </w:tcBorders>
            <w:shd w:fill="E8F5F5" w:val="clear"/>
            <w:tcMar>
              <w:top w:type="dxa" w:w="80"/>
              <w:left w:type="dxa" w:w="110"/>
              <w:bottom w:type="dxa" w:w="80"/>
              <w:right w:type="dxa" w:w="110"/>
            </w:tcMar>
          </w:tcPr>
          <w:p>
            <w:r>
              <w:rPr>
                <w:rFonts w:ascii="Arial" w:cs="Arial" w:eastAsia="Arial" w:hAnsi="Arial"/>
                <w:b/>
                <w:bCs/>
                <w:color w:val="0D7377"/>
                <w:sz w:val="22"/>
                <w:szCs w:val="22"/>
              </w:rPr>
              <w:t xml:space="preserve">~£10,000</w:t>
            </w:r>
          </w:p>
        </w:tc>
        <w:tc>
          <w:tcPr>
            <w:tcW w:type="dxa" w:w="2000"/>
            <w:tcBorders>
              <w:top w:val="single" w:color="CCCCCC" w:sz="1"/>
              <w:left w:val="single" w:color="CCCCCC" w:sz="1"/>
              <w:bottom w:val="single" w:color="CCCCCC" w:sz="1"/>
              <w:right w:val="single" w:color="CCCCCC" w:sz="1"/>
            </w:tcBorders>
            <w:shd w:fill="E8F5F5" w:val="clear"/>
            <w:tcMar>
              <w:top w:type="dxa" w:w="80"/>
              <w:left w:type="dxa" w:w="110"/>
              <w:bottom w:type="dxa" w:w="80"/>
              <w:right w:type="dxa" w:w="110"/>
            </w:tcMar>
          </w:tcPr>
          <w:p>
            <w:r>
              <w:rPr>
                <w:rFonts w:ascii="Arial" w:cs="Arial" w:eastAsia="Arial" w:hAnsi="Arial"/>
                <w:b/>
                <w:bCs/>
                <w:color w:val="0D7377"/>
                <w:sz w:val="22"/>
                <w:szCs w:val="22"/>
              </w:rPr>
              <w:t xml:space="preserve">~£30,500</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F5" w:val="clear"/>
            <w:tcMar>
              <w:top w:type="dxa" w:w="160"/>
              <w:left w:type="dxa" w:w="260"/>
              <w:bottom w:type="dxa" w:w="160"/>
              <w:right w:type="dxa" w:w="260"/>
            </w:tcMar>
          </w:tcPr>
          <w:p>
            <w:r>
              <w:rPr>
                <w:rFonts w:ascii="Arial" w:cs="Arial" w:eastAsia="Arial" w:hAnsi="Arial"/>
                <w:i/>
                <w:iCs/>
                <w:color w:val="2C3E50"/>
                <w:sz w:val="22"/>
                <w:szCs w:val="22"/>
              </w:rPr>
              <w:t xml:space="preserve">Note: v1 projected £14,000 and £48,000 at months 12 and 18 respectively based on a 10% fee. The correct 5% rate produces £10,000 and £30,500 — lower, but the revenue model is more attractive to contractors (lower cost than Checkatrade) and more sustainable as a bootstrap business. The subscription streams were not in v1's model at all.</w:t>
            </w:r>
          </w:p>
        </w:tc>
      </w:tr>
    </w:tbl>
    <w:p>
      <w:pPr>
        <w:pStyle w:val="Heading1"/>
        <w:pageBreakBefore/>
        <w:pBdr>
          <w:bottom w:val="single" w:color="14A085" w:sz="6" w:space="1"/>
        </w:pBdr>
        <w:shd w:fill="0D7377" w:val="clear"/>
        <w:spacing w:after="240" w:before="0"/>
        <w:ind w:left="180" w:right="180"/>
      </w:pPr>
      <w:r>
        <w:rPr>
          <w:rFonts w:ascii="Arial" w:cs="Arial" w:eastAsia="Arial" w:hAnsi="Arial"/>
          <w:b/>
          <w:bCs/>
          <w:color w:val="FFFFFF"/>
          <w:sz w:val="30"/>
          <w:szCs w:val="30"/>
        </w:rPr>
        <w:t xml:space="preserve">7. Go-To-Market Strategy</w:t>
      </w:r>
    </w:p>
    <w:p>
      <w:pPr>
        <w:pStyle w:val="Heading2"/>
        <w:pBdr>
          <w:bottom w:val="single" w:color="0D7377" w:sz="3" w:space="1"/>
        </w:pBdr>
        <w:spacing w:after="120" w:before="300"/>
      </w:pPr>
      <w:r>
        <w:rPr>
          <w:rFonts w:ascii="Arial" w:cs="Arial" w:eastAsia="Arial" w:hAnsi="Arial"/>
          <w:b/>
          <w:bCs/>
          <w:color w:val="0D7377"/>
          <w:sz w:val="26"/>
          <w:szCs w:val="26"/>
        </w:rPr>
        <w:t xml:space="preserve">Principle: Supply First, DBS-First</w:t>
      </w:r>
    </w:p>
    <w:p>
      <w:pPr>
        <w:spacing w:after="80" w:before="80"/>
      </w:pPr>
      <w:r>
        <w:rPr>
          <w:rFonts w:ascii="Arial" w:cs="Arial" w:eastAsia="Arial" w:hAnsi="Arial"/>
          <w:color w:val="2C3E50"/>
          <w:sz w:val="22"/>
          <w:szCs w:val="22"/>
        </w:rPr>
        <w:t xml:space="preserve">Unlike v1 which focused purely on supply-then-demand, the updated GTM strategy uses DBS verification as the primary acquisition hook for both sides. Homeowners who know every contractor is DBS-verified are significantly more likely to post higher-value jobs (entering homes). Contractors with a DBS badge win more bids — creating a self-reinforcing incentive to get verified.</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F5" w:val="clear"/>
            <w:tcMar>
              <w:top w:type="dxa" w:w="160"/>
              <w:left w:type="dxa" w:w="260"/>
              <w:bottom w:type="dxa" w:w="160"/>
              <w:right w:type="dxa" w:w="260"/>
            </w:tcMar>
          </w:tcPr>
          <w:p>
            <w:r>
              <w:rPr>
                <w:rFonts w:ascii="Arial" w:cs="Arial" w:eastAsia="Arial" w:hAnsi="Arial"/>
                <w:i/>
                <w:iCs/>
                <w:color w:val="2C3E50"/>
                <w:sz w:val="22"/>
                <w:szCs w:val="22"/>
              </w:rPr>
              <w:t xml:space="preserve">Launch city: London. Reasons: highest density of tradespeople and homeowners, highest average job values, strongest press coverage, and the proving ground investors and media respond to. Manchester and Birmingham in month 10–12.</w:t>
            </w:r>
          </w:p>
        </w:tc>
      </w:tr>
    </w:tbl>
    <w:p>
      <w:pPr>
        <w:spacing w:after="60" w:before="60"/>
      </w:pPr>
      <w:r>
        <w:t xml:space="preserve"/>
      </w:r>
    </w:p>
    <w:p>
      <w:pPr>
        <w:pStyle w:val="Heading2"/>
        <w:pBdr>
          <w:bottom w:val="single" w:color="0D7377" w:sz="3" w:space="1"/>
        </w:pBdr>
        <w:spacing w:after="120" w:before="300"/>
      </w:pPr>
      <w:r>
        <w:rPr>
          <w:rFonts w:ascii="Arial" w:cs="Arial" w:eastAsia="Arial" w:hAnsi="Arial"/>
          <w:b/>
          <w:bCs/>
          <w:color w:val="0D7377"/>
          <w:sz w:val="26"/>
          <w:szCs w:val="26"/>
        </w:rPr>
        <w:t xml:space="preserve">Phase 1 — Contractor Acquisition (Months 1–3)</w:t>
      </w:r>
    </w:p>
    <w:p>
      <w:pPr>
        <w:spacing w:after="80" w:before="80"/>
      </w:pPr>
      <w:r>
        <w:rPr>
          <w:rFonts w:ascii="Arial" w:cs="Arial" w:eastAsia="Arial" w:hAnsi="Arial"/>
          <w:color w:val="2C3E50"/>
          <w:sz w:val="22"/>
          <w:szCs w:val="22"/>
        </w:rPr>
        <w:t xml:space="preserve">Goal: 50 DBS-verified contractors signed up in London before public launch.</w:t>
      </w:r>
    </w:p>
    <w:p>
      <w:pPr>
        <w:spacing w:after="60" w:before="60"/>
      </w:pPr>
      <w:r>
        <w:t xml:space="preserve"/>
      </w:r>
    </w:p>
    <w:p>
      <w:pPr>
        <w:pStyle w:val="Heading3"/>
        <w:spacing w:after="80" w:before="200"/>
      </w:pPr>
      <w:r>
        <w:rPr>
          <w:rFonts w:ascii="Arial" w:cs="Arial" w:eastAsia="Arial" w:hAnsi="Arial"/>
          <w:b/>
          <w:bCs/>
          <w:color w:val="2C3E50"/>
          <w:sz w:val="24"/>
          <w:szCs w:val="24"/>
        </w:rPr>
        <w:t xml:space="preserve">Liam's contractor acquisition tactics</w:t>
      </w:r>
    </w:p>
    <w:p>
      <w:pPr>
        <w:pStyle w:val="ListParagraph"/>
        <w:numPr>
          <w:ilvl w:val="0"/>
          <w:numId w:val="2"/>
        </w:numPr>
        <w:spacing w:after="60" w:before="60"/>
      </w:pPr>
      <w:r>
        <w:rPr>
          <w:rFonts w:ascii="Arial" w:cs="Arial" w:eastAsia="Arial" w:hAnsi="Arial"/>
          <w:color w:val="2C3E50"/>
          <w:sz w:val="22"/>
          <w:szCs w:val="22"/>
        </w:rPr>
        <w:t xml:space="preserve">Direct outreach on Facebook trades groups: Plumbers UK, Gas Engineers &amp; Heating Engineers UK, Electricians in the UK, Builders &amp; Decorators UK. Lead with the payment protection angle.</w:t>
      </w:r>
    </w:p>
    <w:p>
      <w:pPr>
        <w:pStyle w:val="ListParagraph"/>
        <w:numPr>
          <w:ilvl w:val="0"/>
          <w:numId w:val="2"/>
        </w:numPr>
        <w:spacing w:after="60" w:before="60"/>
      </w:pPr>
      <w:r>
        <w:rPr>
          <w:rFonts w:ascii="Arial" w:cs="Arial" w:eastAsia="Arial" w:hAnsi="Arial"/>
          <w:color w:val="2C3E50"/>
          <w:sz w:val="22"/>
          <w:szCs w:val="22"/>
        </w:rPr>
        <w:t xml:space="preserve">WhatsApp contractor groups: join and contribute genuinely before pitching.</w:t>
      </w:r>
    </w:p>
    <w:p>
      <w:pPr>
        <w:pStyle w:val="ListParagraph"/>
        <w:numPr>
          <w:ilvl w:val="0"/>
          <w:numId w:val="2"/>
        </w:numPr>
        <w:spacing w:after="60" w:before="60"/>
      </w:pPr>
      <w:r>
        <w:rPr>
          <w:rFonts w:ascii="Arial" w:cs="Arial" w:eastAsia="Arial" w:hAnsi="Arial"/>
          <w:color w:val="2C3E50"/>
          <w:sz w:val="22"/>
          <w:szCs w:val="22"/>
        </w:rPr>
        <w:t xml:space="preserve">Trade merchants: Screwfix, Toolstation, Travis Perkins — flyers near the till targeting sole traders.</w:t>
      </w:r>
    </w:p>
    <w:p>
      <w:pPr>
        <w:pStyle w:val="ListParagraph"/>
        <w:numPr>
          <w:ilvl w:val="0"/>
          <w:numId w:val="2"/>
        </w:numPr>
        <w:spacing w:after="60" w:before="60"/>
      </w:pPr>
      <w:r>
        <w:rPr>
          <w:rFonts w:ascii="Arial" w:cs="Arial" w:eastAsia="Arial" w:hAnsi="Arial"/>
          <w:color w:val="2C3E50"/>
          <w:sz w:val="22"/>
          <w:szCs w:val="22"/>
        </w:rPr>
        <w:t xml:space="preserve">Incentive: first 100 contractors get founding member status — DBS check covered by Mintenance (estimated cost: £23–60 per contractor depending on level). This is a compelling acquisition cost (~£2,300–6,000 for 100 contractors) that immediately creates the DBS-verified network no competitor has.</w:t>
      </w:r>
    </w:p>
    <w:p>
      <w:pPr>
        <w:pStyle w:val="ListParagraph"/>
        <w:numPr>
          <w:ilvl w:val="0"/>
          <w:numId w:val="2"/>
        </w:numPr>
        <w:spacing w:after="60" w:before="60"/>
      </w:pPr>
      <w:r>
        <w:rPr>
          <w:rFonts w:ascii="Arial" w:cs="Arial" w:eastAsia="Arial" w:hAnsi="Arial"/>
          <w:color w:val="2C3E50"/>
          <w:sz w:val="22"/>
          <w:szCs w:val="22"/>
        </w:rPr>
        <w:t xml:space="preserve">Gas Safe Register: contact Gas Safe to discuss partnership — their registrants need to work somewhere.</w:t>
      </w:r>
    </w:p>
    <w:p>
      <w:pPr>
        <w:spacing w:after="60" w:before="60"/>
      </w:pPr>
      <w:r>
        <w:t xml:space="preserve"/>
      </w:r>
    </w:p>
    <w:p>
      <w:pPr>
        <w:pStyle w:val="Heading2"/>
        <w:pBdr>
          <w:bottom w:val="single" w:color="0D7377" w:sz="3" w:space="1"/>
        </w:pBdr>
        <w:spacing w:after="120" w:before="300"/>
      </w:pPr>
      <w:r>
        <w:rPr>
          <w:rFonts w:ascii="Arial" w:cs="Arial" w:eastAsia="Arial" w:hAnsi="Arial"/>
          <w:b/>
          <w:bCs/>
          <w:color w:val="0D7377"/>
          <w:sz w:val="26"/>
          <w:szCs w:val="26"/>
        </w:rPr>
        <w:t xml:space="preserve">Phase 2 — Public Launch + Homeowner Acquisition (Months 4–6)</w:t>
      </w:r>
    </w:p>
    <w:p>
      <w:pPr>
        <w:spacing w:after="80" w:before="80"/>
      </w:pPr>
      <w:r>
        <w:rPr>
          <w:rFonts w:ascii="Arial" w:cs="Arial" w:eastAsia="Arial" w:hAnsi="Arial"/>
          <w:color w:val="2C3E50"/>
          <w:sz w:val="22"/>
          <w:szCs w:val="22"/>
        </w:rPr>
        <w:t xml:space="preserve">Goal: 200 homeowner sign-ups and 30 completed jobs in the first month of public launch.</w:t>
      </w:r>
    </w:p>
    <w:p>
      <w:pPr>
        <w:spacing w:after="60" w:before="60"/>
      </w:pPr>
      <w:r>
        <w:t xml:space="preserve"/>
      </w:r>
    </w:p>
    <w:p>
      <w:pPr>
        <w:pStyle w:val="Heading3"/>
        <w:spacing w:after="80" w:before="200"/>
      </w:pPr>
      <w:r>
        <w:rPr>
          <w:rFonts w:ascii="Arial" w:cs="Arial" w:eastAsia="Arial" w:hAnsi="Arial"/>
          <w:b/>
          <w:bCs/>
          <w:color w:val="2C3E50"/>
          <w:sz w:val="24"/>
          <w:szCs w:val="24"/>
        </w:rPr>
        <w:t xml:space="preserve">Liam's homeowner acquisition tactics</w:t>
      </w:r>
    </w:p>
    <w:p>
      <w:pPr>
        <w:pStyle w:val="ListParagraph"/>
        <w:numPr>
          <w:ilvl w:val="0"/>
          <w:numId w:val="2"/>
        </w:numPr>
        <w:spacing w:after="60" w:before="60"/>
      </w:pPr>
      <w:r>
        <w:rPr>
          <w:rFonts w:ascii="Arial" w:cs="Arial" w:eastAsia="Arial" w:hAnsi="Arial"/>
          <w:color w:val="2C3E50"/>
          <w:sz w:val="22"/>
          <w:szCs w:val="22"/>
        </w:rPr>
        <w:t xml:space="preserve">TikTok / Instagram Reels: short-form content showing the 'DBS-verified tradesperson' angle — parents, homeowners with children, people going away, landlords checking on tenants.</w:t>
      </w:r>
    </w:p>
    <w:p>
      <w:pPr>
        <w:pStyle w:val="ListParagraph"/>
        <w:numPr>
          <w:ilvl w:val="0"/>
          <w:numId w:val="2"/>
        </w:numPr>
        <w:spacing w:after="60" w:before="60"/>
      </w:pPr>
      <w:r>
        <w:rPr>
          <w:rFonts w:ascii="Arial" w:cs="Arial" w:eastAsia="Arial" w:hAnsi="Arial"/>
          <w:color w:val="2C3E50"/>
          <w:sz w:val="22"/>
          <w:szCs w:val="22"/>
        </w:rPr>
        <w:t xml:space="preserve">Reddit: contribute to r/HousingUK, r/LandlordUK, r/LegalAdviceUK (contractor disputes). Link to Mintenance only when genuinely helpful.</w:t>
      </w:r>
    </w:p>
    <w:p>
      <w:pPr>
        <w:pStyle w:val="ListParagraph"/>
        <w:numPr>
          <w:ilvl w:val="0"/>
          <w:numId w:val="2"/>
        </w:numPr>
        <w:spacing w:after="60" w:before="60"/>
      </w:pPr>
      <w:r>
        <w:rPr>
          <w:rFonts w:ascii="Arial" w:cs="Arial" w:eastAsia="Arial" w:hAnsi="Arial"/>
          <w:color w:val="2C3E50"/>
          <w:sz w:val="22"/>
          <w:szCs w:val="22"/>
        </w:rPr>
        <w:t xml:space="preserve">Google Ads: high-intent keywords — 'find a plumber London', 'DBS checked tradesperson near me', 'reliable builder'. Budget: £15–25/day. Start on DBS-angle keywords — they have lower competition and higher intent.</w:t>
      </w:r>
    </w:p>
    <w:p>
      <w:pPr>
        <w:pStyle w:val="ListParagraph"/>
        <w:numPr>
          <w:ilvl w:val="0"/>
          <w:numId w:val="2"/>
        </w:numPr>
        <w:spacing w:after="60" w:before="60"/>
      </w:pPr>
      <w:r>
        <w:rPr>
          <w:rFonts w:ascii="Arial" w:cs="Arial" w:eastAsia="Arial" w:hAnsi="Arial"/>
          <w:color w:val="2C3E50"/>
          <w:sz w:val="22"/>
          <w:szCs w:val="22"/>
        </w:rPr>
        <w:t xml:space="preserve">Facebook/Instagram Ads: homeowners with children, landlords, property owners. USP message: 'The only platform where every tradesperson is DBS verified and your payment is protected until the job is done.'</w:t>
      </w:r>
    </w:p>
    <w:p>
      <w:pPr>
        <w:pStyle w:val="ListParagraph"/>
        <w:numPr>
          <w:ilvl w:val="0"/>
          <w:numId w:val="2"/>
        </w:numPr>
        <w:spacing w:after="60" w:before="60"/>
      </w:pPr>
      <w:r>
        <w:rPr>
          <w:rFonts w:ascii="Arial" w:cs="Arial" w:eastAsia="Arial" w:hAnsi="Arial"/>
          <w:color w:val="2C3E50"/>
          <w:sz w:val="22"/>
          <w:szCs w:val="22"/>
        </w:rPr>
        <w:t xml:space="preserve">Referral: homeowner who refers a friend gets £20 credit. Friend gets £10 credit.</w:t>
      </w:r>
    </w:p>
    <w:p>
      <w:pPr>
        <w:pStyle w:val="ListParagraph"/>
        <w:numPr>
          <w:ilvl w:val="0"/>
          <w:numId w:val="2"/>
        </w:numPr>
        <w:spacing w:after="60" w:before="60"/>
      </w:pPr>
      <w:r>
        <w:rPr>
          <w:rFonts w:ascii="Arial" w:cs="Arial" w:eastAsia="Arial" w:hAnsi="Arial"/>
          <w:color w:val="2C3E50"/>
          <w:sz w:val="22"/>
          <w:szCs w:val="22"/>
        </w:rPr>
        <w:t xml:space="preserve">PR: pitch to The Guardian, Evening Standard, The Times property section. Story: 'Would you let an unverified stranger into your home?'</w:t>
      </w:r>
    </w:p>
    <w:p>
      <w:pPr>
        <w:spacing w:after="60" w:before="60"/>
      </w:pPr>
      <w:r>
        <w:t xml:space="preserve"/>
      </w:r>
    </w:p>
    <w:p>
      <w:pPr>
        <w:pStyle w:val="Heading2"/>
        <w:pBdr>
          <w:bottom w:val="single" w:color="0D7377" w:sz="3" w:space="1"/>
        </w:pBdr>
        <w:spacing w:after="120" w:before="300"/>
      </w:pPr>
      <w:r>
        <w:rPr>
          <w:rFonts w:ascii="Arial" w:cs="Arial" w:eastAsia="Arial" w:hAnsi="Arial"/>
          <w:b/>
          <w:bCs/>
          <w:color w:val="0D7377"/>
          <w:sz w:val="26"/>
          <w:szCs w:val="26"/>
        </w:rPr>
        <w:t xml:space="preserve">Phase 3 — Scale &amp; Retention (Months 7–12)</w:t>
      </w:r>
    </w:p>
    <w:p>
      <w:pPr>
        <w:pStyle w:val="Heading3"/>
        <w:spacing w:after="80" w:before="200"/>
      </w:pPr>
      <w:r>
        <w:rPr>
          <w:rFonts w:ascii="Arial" w:cs="Arial" w:eastAsia="Arial" w:hAnsi="Arial"/>
          <w:b/>
          <w:bCs/>
          <w:color w:val="2C3E50"/>
          <w:sz w:val="24"/>
          <w:szCs w:val="24"/>
        </w:rPr>
        <w:t xml:space="preserve">Transaction fee introduction (Month 7)</w:t>
      </w:r>
    </w:p>
    <w:p>
      <w:pPr>
        <w:spacing w:after="80" w:before="80"/>
      </w:pPr>
      <w:r>
        <w:rPr>
          <w:rFonts w:ascii="Arial" w:cs="Arial" w:eastAsia="Arial" w:hAnsi="Arial"/>
          <w:color w:val="2C3E50"/>
          <w:sz w:val="22"/>
          <w:szCs w:val="22"/>
        </w:rPr>
        <w:t xml:space="preserve">Introduce the 5% transaction fee alongside a clear communication to contractors explaining the value: escrow protection, DBS badge, AI bid coaching, and guaranteed payment in exchange for 5% on winning bids. This is cheaper than Checkatrade (£1,000/year upfront) for any contractor winning fewer than 20 jobs of £1,000+ per year.</w:t>
      </w:r>
    </w:p>
    <w:p>
      <w:pPr>
        <w:spacing w:after="60" w:before="60"/>
      </w:pPr>
      <w:r>
        <w:t xml:space="preserve"/>
      </w:r>
    </w:p>
    <w:p>
      <w:pPr>
        <w:pStyle w:val="Heading3"/>
        <w:spacing w:after="80" w:before="200"/>
      </w:pPr>
      <w:r>
        <w:rPr>
          <w:rFonts w:ascii="Arial" w:cs="Arial" w:eastAsia="Arial" w:hAnsi="Arial"/>
          <w:b/>
          <w:bCs/>
          <w:color w:val="2C3E50"/>
          <w:sz w:val="24"/>
          <w:szCs w:val="24"/>
        </w:rPr>
        <w:t xml:space="preserve">B2B activation (Month 7 — already built)</w:t>
      </w:r>
    </w:p>
    <w:p>
      <w:pPr>
        <w:spacing w:after="80" w:before="80"/>
      </w:pPr>
      <w:r>
        <w:rPr>
          <w:rFonts w:ascii="Arial" w:cs="Arial" w:eastAsia="Arial" w:hAnsi="Arial"/>
          <w:color w:val="2C3E50"/>
          <w:sz w:val="22"/>
          <w:szCs w:val="22"/>
        </w:rPr>
        <w:t xml:space="preserve">The landlord and agency portals are built. Month 7 is the right time to begin outreach to property management companies, letting agents, and housing associations. One agency client managing 200 properties at £49.99/month is £50/month — but more importantly, they bring bulk job volume that dramatically increases GMV.</w:t>
      </w:r>
    </w:p>
    <w:p>
      <w:pPr>
        <w:spacing w:after="60" w:before="60"/>
      </w:pPr>
      <w:r>
        <w:t xml:space="preserve"/>
      </w:r>
    </w:p>
    <w:p>
      <w:pPr>
        <w:pStyle w:val="Heading3"/>
        <w:spacing w:after="80" w:before="200"/>
      </w:pPr>
      <w:r>
        <w:rPr>
          <w:rFonts w:ascii="Arial" w:cs="Arial" w:eastAsia="Arial" w:hAnsi="Arial"/>
          <w:b/>
          <w:bCs/>
          <w:color w:val="2C3E50"/>
          <w:sz w:val="24"/>
          <w:szCs w:val="24"/>
        </w:rPr>
        <w:t xml:space="preserve">SEO content strategy</w:t>
      </w:r>
    </w:p>
    <w:p>
      <w:pPr>
        <w:pStyle w:val="ListParagraph"/>
        <w:numPr>
          <w:ilvl w:val="0"/>
          <w:numId w:val="2"/>
        </w:numPr>
        <w:spacing w:after="60" w:before="60"/>
      </w:pPr>
      <w:r>
        <w:rPr>
          <w:rFonts w:ascii="Arial" w:cs="Arial" w:eastAsia="Arial" w:hAnsi="Arial"/>
          <w:color w:val="2C3E50"/>
          <w:sz w:val="22"/>
          <w:szCs w:val="22"/>
        </w:rPr>
        <w:t xml:space="preserve">City-area landing pages: 'DBS checked plumber in Hackney', 'verified electrician Shoreditch', 'trusted builder Islington'. Low competition, high buying intent.</w:t>
      </w:r>
    </w:p>
    <w:p>
      <w:pPr>
        <w:pStyle w:val="ListParagraph"/>
        <w:numPr>
          <w:ilvl w:val="0"/>
          <w:numId w:val="2"/>
        </w:numPr>
        <w:spacing w:after="60" w:before="60"/>
      </w:pPr>
      <w:r>
        <w:rPr>
          <w:rFonts w:ascii="Arial" w:cs="Arial" w:eastAsia="Arial" w:hAnsi="Arial"/>
          <w:color w:val="2C3E50"/>
          <w:sz w:val="22"/>
          <w:szCs w:val="22"/>
        </w:rPr>
        <w:t xml:space="preserve">Blog: 'How to verify a tradesperson's DBS check in the UK', 'What a Mintenance DBS badge means', 'How escrow protects your home maintenance payment'.</w:t>
      </w:r>
    </w:p>
    <w:p>
      <w:pPr>
        <w:pStyle w:val="ListParagraph"/>
        <w:numPr>
          <w:ilvl w:val="0"/>
          <w:numId w:val="2"/>
        </w:numPr>
        <w:spacing w:after="60" w:before="60"/>
      </w:pPr>
      <w:r>
        <w:rPr>
          <w:rFonts w:ascii="Arial" w:cs="Arial" w:eastAsia="Arial" w:hAnsi="Arial"/>
          <w:color w:val="2C3E50"/>
          <w:sz w:val="22"/>
          <w:szCs w:val="22"/>
        </w:rPr>
        <w:t xml:space="preserve">Each contractor profile is a unique SEO-indexable page — 500 contractor profiles = 500 pages of long-tail organic traffic.</w:t>
      </w:r>
    </w:p>
    <w:p>
      <w:pPr>
        <w:pStyle w:val="Heading1"/>
        <w:pageBreakBefore/>
        <w:pBdr>
          <w:bottom w:val="single" w:color="14A085" w:sz="6" w:space="1"/>
        </w:pBdr>
        <w:shd w:fill="0D7377" w:val="clear"/>
        <w:spacing w:after="240" w:before="0"/>
        <w:ind w:left="180" w:right="180"/>
      </w:pPr>
      <w:r>
        <w:rPr>
          <w:rFonts w:ascii="Arial" w:cs="Arial" w:eastAsia="Arial" w:hAnsi="Arial"/>
          <w:b/>
          <w:bCs/>
          <w:color w:val="FFFFFF"/>
          <w:sz w:val="30"/>
          <w:szCs w:val="30"/>
        </w:rPr>
        <w:t xml:space="preserve">8. Marketing Plan (Bootstrap Budget)</w:t>
      </w:r>
    </w:p>
    <w:p>
      <w:pPr>
        <w:pStyle w:val="Heading2"/>
        <w:pBdr>
          <w:bottom w:val="single" w:color="0D7377" w:sz="3" w:space="1"/>
        </w:pBdr>
        <w:spacing w:after="120" w:before="300"/>
      </w:pPr>
      <w:r>
        <w:rPr>
          <w:rFonts w:ascii="Arial" w:cs="Arial" w:eastAsia="Arial" w:hAnsi="Arial"/>
          <w:b/>
          <w:bCs/>
          <w:color w:val="0D7377"/>
          <w:sz w:val="26"/>
          <w:szCs w:val="26"/>
        </w:rPr>
        <w:t xml:space="preserve">Budget Allocation — Months 1–6</w:t>
      </w:r>
    </w:p>
    <w:p>
      <w:pPr>
        <w:spacing w:after="80" w:before="80"/>
      </w:pPr>
      <w:r>
        <w:rPr>
          <w:rFonts w:ascii="Arial" w:cs="Arial" w:eastAsia="Arial" w:hAnsi="Arial"/>
          <w:color w:val="2C3E50"/>
          <w:sz w:val="22"/>
          <w:szCs w:val="22"/>
        </w:rPr>
        <w:t xml:space="preserve">Assumes a monthly marketing spend of £500–1,000, funded from personal income until transaction fee revenue kicks in at month 7.</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26"/>
        <w:gridCol w:w="2000"/>
        <w:gridCol w:w="1600"/>
        <w:gridCol w:w="1600"/>
      </w:tblGrid>
      <w:tr>
        <w:tc>
          <w:tcPr>
            <w:tcW w:type="dxa" w:w="2256"/>
            <w:tcBorders>
              <w:top w:val="single" w:color="CCCCCC" w:sz="1"/>
              <w:left w:val="single" w:color="CCCCCC" w:sz="1"/>
              <w:bottom w:val="single" w:color="CCCCCC" w:sz="1"/>
              <w:right w:val="single" w:color="CCCCCC" w:sz="1"/>
            </w:tcBorders>
            <w:shd w:fill="0D7377" w:val="clear"/>
            <w:tcMar>
              <w:top w:type="dxa" w:w="80"/>
              <w:left w:type="dxa" w:w="110"/>
              <w:bottom w:type="dxa" w:w="80"/>
              <w:right w:type="dxa" w:w="110"/>
            </w:tcMar>
          </w:tcPr>
          <w:p>
            <w:r>
              <w:rPr>
                <w:rFonts w:ascii="Arial" w:cs="Arial" w:eastAsia="Arial" w:hAnsi="Arial"/>
                <w:b/>
                <w:bCs/>
                <w:color w:val="FFFFFF"/>
                <w:sz w:val="21"/>
                <w:szCs w:val="21"/>
              </w:rPr>
              <w:t xml:space="preserve">Channel</w:t>
            </w:r>
          </w:p>
        </w:tc>
        <w:tc>
          <w:tcPr>
            <w:tcW w:type="dxa" w:w="2256"/>
            <w:tcBorders>
              <w:top w:val="single" w:color="CCCCCC" w:sz="1"/>
              <w:left w:val="single" w:color="CCCCCC" w:sz="1"/>
              <w:bottom w:val="single" w:color="CCCCCC" w:sz="1"/>
              <w:right w:val="single" w:color="CCCCCC" w:sz="1"/>
            </w:tcBorders>
            <w:shd w:fill="0D7377" w:val="clear"/>
            <w:tcMar>
              <w:top w:type="dxa" w:w="80"/>
              <w:left w:type="dxa" w:w="110"/>
              <w:bottom w:type="dxa" w:w="80"/>
              <w:right w:type="dxa" w:w="110"/>
            </w:tcMar>
          </w:tcPr>
          <w:p>
            <w:r>
              <w:rPr>
                <w:rFonts w:ascii="Arial" w:cs="Arial" w:eastAsia="Arial" w:hAnsi="Arial"/>
                <w:b/>
                <w:bCs/>
                <w:color w:val="FFFFFF"/>
                <w:sz w:val="21"/>
                <w:szCs w:val="21"/>
              </w:rPr>
              <w:t xml:space="preserve">Monthly Budget</w:t>
            </w:r>
          </w:p>
        </w:tc>
        <w:tc>
          <w:tcPr>
            <w:tcW w:type="dxa" w:w="2256"/>
            <w:tcBorders>
              <w:top w:val="single" w:color="CCCCCC" w:sz="1"/>
              <w:left w:val="single" w:color="CCCCCC" w:sz="1"/>
              <w:bottom w:val="single" w:color="CCCCCC" w:sz="1"/>
              <w:right w:val="single" w:color="CCCCCC" w:sz="1"/>
            </w:tcBorders>
            <w:shd w:fill="0D7377" w:val="clear"/>
            <w:tcMar>
              <w:top w:type="dxa" w:w="80"/>
              <w:left w:type="dxa" w:w="110"/>
              <w:bottom w:type="dxa" w:w="80"/>
              <w:right w:type="dxa" w:w="110"/>
            </w:tcMar>
          </w:tcPr>
          <w:p>
            <w:r>
              <w:rPr>
                <w:rFonts w:ascii="Arial" w:cs="Arial" w:eastAsia="Arial" w:hAnsi="Arial"/>
                <w:b/>
                <w:bCs/>
                <w:color w:val="FFFFFF"/>
                <w:sz w:val="21"/>
                <w:szCs w:val="21"/>
              </w:rPr>
              <w:t xml:space="preserve">Owner</w:t>
            </w:r>
          </w:p>
        </w:tc>
        <w:tc>
          <w:tcPr>
            <w:tcW w:type="dxa" w:w="2258"/>
            <w:tcBorders>
              <w:top w:val="single" w:color="CCCCCC" w:sz="1"/>
              <w:left w:val="single" w:color="CCCCCC" w:sz="1"/>
              <w:bottom w:val="single" w:color="CCCCCC" w:sz="1"/>
              <w:right w:val="single" w:color="CCCCCC" w:sz="1"/>
            </w:tcBorders>
            <w:shd w:fill="0D7377" w:val="clear"/>
            <w:tcMar>
              <w:top w:type="dxa" w:w="80"/>
              <w:left w:type="dxa" w:w="110"/>
              <w:bottom w:type="dxa" w:w="80"/>
              <w:right w:type="dxa" w:w="110"/>
            </w:tcMar>
          </w:tcPr>
          <w:p>
            <w:r>
              <w:rPr>
                <w:rFonts w:ascii="Arial" w:cs="Arial" w:eastAsia="Arial" w:hAnsi="Arial"/>
                <w:b/>
                <w:bCs/>
                <w:color w:val="FFFFFF"/>
                <w:sz w:val="21"/>
                <w:szCs w:val="21"/>
              </w:rPr>
              <w:t xml:space="preserve">Priority</w:t>
            </w:r>
          </w:p>
        </w:tc>
      </w:tr>
      <w:tr>
        <w:tc>
          <w:tcPr>
            <w:tcW w:type="dxa" w:w="3826"/>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Organic social (TikTok, Instagram, LinkedIn)</w:t>
            </w:r>
          </w:p>
        </w:tc>
        <w:tc>
          <w:tcPr>
            <w:tcW w:type="dxa" w:w="2000"/>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£0 (time)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Liam</w:t>
            </w:r>
          </w:p>
        </w:tc>
        <w:tc>
          <w:tcPr>
            <w:tcW w:type="dxa" w:w="1600"/>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HIGHEST</w:t>
            </w:r>
          </w:p>
        </w:tc>
      </w:tr>
      <w:tr>
        <w:tc>
          <w:tcPr>
            <w:tcW w:type="dxa" w:w="3826"/>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Google Ads — DBS angle keywords</w:t>
            </w:r>
          </w:p>
        </w:tc>
        <w:tc>
          <w:tcPr>
            <w:tcW w:type="dxa" w:w="2000"/>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£200–400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Liam</w:t>
            </w:r>
          </w:p>
        </w:tc>
        <w:tc>
          <w:tcPr>
            <w:tcW w:type="dxa" w:w="1600"/>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HIGH</w:t>
            </w:r>
          </w:p>
        </w:tc>
      </w:tr>
      <w:tr>
        <w:tc>
          <w:tcPr>
            <w:tcW w:type="dxa" w:w="3826"/>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Facebook/Instagram Ads — homeowners</w:t>
            </w:r>
          </w:p>
        </w:tc>
        <w:tc>
          <w:tcPr>
            <w:tcW w:type="dxa" w:w="2000"/>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£100–200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Liam</w:t>
            </w:r>
          </w:p>
        </w:tc>
        <w:tc>
          <w:tcPr>
            <w:tcW w:type="dxa" w:w="1600"/>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MEDIUM</w:t>
            </w:r>
          </w:p>
        </w:tc>
      </w:tr>
      <w:tr>
        <w:tc>
          <w:tcPr>
            <w:tcW w:type="dxa" w:w="3826"/>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DBS-covered onboarding (100 founding contractors)</w:t>
            </w:r>
          </w:p>
        </w:tc>
        <w:tc>
          <w:tcPr>
            <w:tcW w:type="dxa" w:w="2000"/>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£2,300–6,000 one-off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Liam / Gloire</w:t>
            </w:r>
          </w:p>
        </w:tc>
        <w:tc>
          <w:tcPr>
            <w:tcW w:type="dxa" w:w="1600"/>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HIGH (one-off)</w:t>
            </w:r>
          </w:p>
        </w:tc>
      </w:tr>
      <w:tr>
        <w:tc>
          <w:tcPr>
            <w:tcW w:type="dxa" w:w="3826"/>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Referral programme (credit from GMV)</w:t>
            </w:r>
          </w:p>
        </w:tc>
        <w:tc>
          <w:tcPr>
            <w:tcW w:type="dxa" w:w="2000"/>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£0 cash outlay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Gloire (built)</w:t>
            </w:r>
          </w:p>
        </w:tc>
        <w:tc>
          <w:tcPr>
            <w:tcW w:type="dxa" w:w="1600"/>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HIGH</w:t>
            </w:r>
          </w:p>
        </w:tc>
      </w:tr>
      <w:tr>
        <w:tc>
          <w:tcPr>
            <w:tcW w:type="dxa" w:w="3826"/>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SEO / blog content</w:t>
            </w:r>
          </w:p>
        </w:tc>
        <w:tc>
          <w:tcPr>
            <w:tcW w:type="dxa" w:w="2000"/>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£0 (time)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Liam</w:t>
            </w:r>
          </w:p>
        </w:tc>
        <w:tc>
          <w:tcPr>
            <w:tcW w:type="dxa" w:w="1600"/>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HIGH (long-term)</w:t>
            </w:r>
          </w:p>
        </w:tc>
      </w:tr>
      <w:tr>
        <w:tc>
          <w:tcPr>
            <w:tcW w:type="dxa" w:w="3826"/>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PR — DBS + escrow story</w:t>
            </w:r>
          </w:p>
        </w:tc>
        <w:tc>
          <w:tcPr>
            <w:tcW w:type="dxa" w:w="2000"/>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£0 (time)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Liam</w:t>
            </w:r>
          </w:p>
        </w:tc>
        <w:tc>
          <w:tcPr>
            <w:tcW w:type="dxa" w:w="1600"/>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MEDIUM</w:t>
            </w:r>
          </w:p>
        </w:tc>
      </w:tr>
    </w:tbl>
    <w:p>
      <w:pPr>
        <w:spacing w:after="60" w:before="60"/>
      </w:pPr>
      <w:r>
        <w:t xml:space="preserve"/>
      </w:r>
    </w:p>
    <w:p>
      <w:pPr>
        <w:pStyle w:val="Heading2"/>
        <w:pBdr>
          <w:bottom w:val="single" w:color="0D7377" w:sz="3" w:space="1"/>
        </w:pBdr>
        <w:spacing w:after="120" w:before="300"/>
      </w:pPr>
      <w:r>
        <w:rPr>
          <w:rFonts w:ascii="Arial" w:cs="Arial" w:eastAsia="Arial" w:hAnsi="Arial"/>
          <w:b/>
          <w:bCs/>
          <w:color w:val="0D7377"/>
          <w:sz w:val="26"/>
          <w:szCs w:val="26"/>
        </w:rPr>
        <w:t xml:space="preserve">Key Metrics to Track Weekly</w:t>
      </w:r>
    </w:p>
    <w:p>
      <w:pPr>
        <w:pStyle w:val="ListParagraph"/>
        <w:numPr>
          <w:ilvl w:val="0"/>
          <w:numId w:val="2"/>
        </w:numPr>
        <w:spacing w:after="60" w:before="60"/>
      </w:pPr>
      <w:r>
        <w:rPr>
          <w:rFonts w:ascii="Arial" w:cs="Arial" w:eastAsia="Arial" w:hAnsi="Arial"/>
          <w:color w:val="2C3E50"/>
          <w:sz w:val="22"/>
          <w:szCs w:val="22"/>
        </w:rPr>
        <w:t xml:space="preserve">Contractor sign-ups (target: 5/week pre-launch, 10/week post-launch)</w:t>
      </w:r>
    </w:p>
    <w:p>
      <w:pPr>
        <w:pStyle w:val="ListParagraph"/>
        <w:numPr>
          <w:ilvl w:val="0"/>
          <w:numId w:val="2"/>
        </w:numPr>
        <w:spacing w:after="60" w:before="60"/>
      </w:pPr>
      <w:r>
        <w:rPr>
          <w:rFonts w:ascii="Arial" w:cs="Arial" w:eastAsia="Arial" w:hAnsi="Arial"/>
          <w:color w:val="2C3E50"/>
          <w:sz w:val="22"/>
          <w:szCs w:val="22"/>
        </w:rPr>
        <w:t xml:space="preserve">% of contractors who complete DBS check (target: &gt;60%)</w:t>
      </w:r>
    </w:p>
    <w:p>
      <w:pPr>
        <w:pStyle w:val="ListParagraph"/>
        <w:numPr>
          <w:ilvl w:val="0"/>
          <w:numId w:val="2"/>
        </w:numPr>
        <w:spacing w:after="60" w:before="60"/>
      </w:pPr>
      <w:r>
        <w:rPr>
          <w:rFonts w:ascii="Arial" w:cs="Arial" w:eastAsia="Arial" w:hAnsi="Arial"/>
          <w:color w:val="2C3E50"/>
          <w:sz w:val="22"/>
          <w:szCs w:val="22"/>
        </w:rPr>
        <w:t xml:space="preserve">Homeowner sign-ups post-launch (target: 20/week)</w:t>
      </w:r>
    </w:p>
    <w:p>
      <w:pPr>
        <w:pStyle w:val="ListParagraph"/>
        <w:numPr>
          <w:ilvl w:val="0"/>
          <w:numId w:val="2"/>
        </w:numPr>
        <w:spacing w:after="60" w:before="60"/>
      </w:pPr>
      <w:r>
        <w:rPr>
          <w:rFonts w:ascii="Arial" w:cs="Arial" w:eastAsia="Arial" w:hAnsi="Arial"/>
          <w:color w:val="2C3E50"/>
          <w:sz w:val="22"/>
          <w:szCs w:val="22"/>
        </w:rPr>
        <w:t xml:space="preserve">Job posting rate — % who post within 7 days of sign-up</w:t>
      </w:r>
    </w:p>
    <w:p>
      <w:pPr>
        <w:pStyle w:val="ListParagraph"/>
        <w:numPr>
          <w:ilvl w:val="0"/>
          <w:numId w:val="2"/>
        </w:numPr>
        <w:spacing w:after="60" w:before="60"/>
      </w:pPr>
      <w:r>
        <w:rPr>
          <w:rFonts w:ascii="Arial" w:cs="Arial" w:eastAsia="Arial" w:hAnsi="Arial"/>
          <w:color w:val="2C3E50"/>
          <w:sz w:val="22"/>
          <w:szCs w:val="22"/>
        </w:rPr>
        <w:t xml:space="preserve">Bid-to-job conversion — % of posted jobs receiving at least one bid</w:t>
      </w:r>
    </w:p>
    <w:p>
      <w:pPr>
        <w:pStyle w:val="ListParagraph"/>
        <w:numPr>
          <w:ilvl w:val="0"/>
          <w:numId w:val="2"/>
        </w:numPr>
        <w:spacing w:after="60" w:before="60"/>
      </w:pPr>
      <w:r>
        <w:rPr>
          <w:rFonts w:ascii="Arial" w:cs="Arial" w:eastAsia="Arial" w:hAnsi="Arial"/>
          <w:color w:val="2C3E50"/>
          <w:sz w:val="22"/>
          <w:szCs w:val="22"/>
        </w:rPr>
        <w:t xml:space="preserve">Job completion rate — % of accepted bids that reach escrow release</w:t>
      </w:r>
    </w:p>
    <w:p>
      <w:pPr>
        <w:pStyle w:val="ListParagraph"/>
        <w:numPr>
          <w:ilvl w:val="0"/>
          <w:numId w:val="2"/>
        </w:numPr>
        <w:spacing w:after="60" w:before="60"/>
      </w:pPr>
      <w:r>
        <w:rPr>
          <w:rFonts w:ascii="Arial" w:cs="Arial" w:eastAsia="Arial" w:hAnsi="Arial"/>
          <w:color w:val="2C3E50"/>
          <w:sz w:val="22"/>
          <w:szCs w:val="22"/>
        </w:rPr>
        <w:t xml:space="preserve">Repeat homeowner usage — % who post a second job within 60 days</w:t>
      </w:r>
    </w:p>
    <w:p>
      <w:pPr>
        <w:pStyle w:val="ListParagraph"/>
        <w:numPr>
          <w:ilvl w:val="0"/>
          <w:numId w:val="2"/>
        </w:numPr>
        <w:spacing w:after="60" w:before="60"/>
      </w:pPr>
      <w:r>
        <w:rPr>
          <w:rFonts w:ascii="Arial" w:cs="Arial" w:eastAsia="Arial" w:hAnsi="Arial"/>
          <w:color w:val="2C3E50"/>
          <w:sz w:val="22"/>
          <w:szCs w:val="22"/>
        </w:rPr>
        <w:t xml:space="preserve">Ad cost per homeowner acquisition (Google + Facebook combined)</w:t>
      </w:r>
    </w:p>
    <w:p>
      <w:pPr>
        <w:pStyle w:val="Heading1"/>
        <w:pageBreakBefore/>
        <w:pBdr>
          <w:bottom w:val="single" w:color="14A085" w:sz="6" w:space="1"/>
        </w:pBdr>
        <w:shd w:fill="0D7377" w:val="clear"/>
        <w:spacing w:after="240" w:before="0"/>
        <w:ind w:left="180" w:right="180"/>
      </w:pPr>
      <w:r>
        <w:rPr>
          <w:rFonts w:ascii="Arial" w:cs="Arial" w:eastAsia="Arial" w:hAnsi="Arial"/>
          <w:b/>
          <w:bCs/>
          <w:color w:val="FFFFFF"/>
          <w:sz w:val="30"/>
          <w:szCs w:val="30"/>
        </w:rPr>
        <w:t xml:space="preserve">9. The Team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32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Gloire — Lead Engineer &amp; Co-Founder</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2"/>
                <w:szCs w:val="22"/>
              </w:rPr>
              <w:t xml:space="preserve">Liam — Head of Marketing &amp; Co-Founder</w:t>
            </w:r>
          </w:p>
        </w:tc>
      </w:tr>
      <w:tr>
        <w:tc>
          <w:tcPr>
            <w:tcW w:type="dxa" w:w="32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2"/>
                <w:szCs w:val="22"/>
              </w:rPr>
              <w:t xml:space="preserve">Has single-handedly built a platform of remarkable depth: 13 AI agents, full escrow system, DBS check integration, building surveyor AI, subscription billing, landlord and agency portals, GDPR tooling, full mobile app, and a complete web platform — all production-ready.</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2"/>
                <w:szCs w:val="22"/>
              </w:rPr>
              <w:t xml:space="preserve">Responsible for all growth, brand, and customer acquisition. Owns contractor and homeowner acquisition, content creation, paid advertising, PR, and partnership development. The face of Mintenance to the market.</w:t>
            </w:r>
          </w:p>
        </w:tc>
      </w:tr>
      <w:tr>
        <w:tc>
          <w:tcPr>
            <w:tcW w:type="dxa" w:w="32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2"/>
                <w:szCs w:val="22"/>
              </w:rPr>
              <w:t xml:space="preserve">Stack: Next.js, React Native, Supabase, Stripe Connect, OpenAI, PostgreSQL with RLS, TypeScript strict mode across all packages.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2"/>
                <w:szCs w:val="22"/>
              </w:rPr>
              <w:t xml:space="preserve">Focus: building a warm contractor network before launch using DBS as the primary hook; content pipeline for homeowner acquisition on TikTok, Instagram, and Google.</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F5" w:val="clear"/>
            <w:tcMar>
              <w:top w:type="dxa" w:w="160"/>
              <w:left w:type="dxa" w:w="260"/>
              <w:bottom w:type="dxa" w:w="160"/>
              <w:right w:type="dxa" w:w="260"/>
            </w:tcMar>
          </w:tcPr>
          <w:p>
            <w:r>
              <w:rPr>
                <w:rFonts w:ascii="Arial" w:cs="Arial" w:eastAsia="Arial" w:hAnsi="Arial"/>
                <w:i/>
                <w:iCs/>
                <w:color w:val="2C3E50"/>
                <w:sz w:val="22"/>
                <w:szCs w:val="22"/>
              </w:rPr>
              <w:t xml:space="preserve">The bootstrap advantage is significant here: a two-person team has shipped what would typically require 8–12 engineers and 12–18 months. This is AI-augmented development working at its best — and it represents a genuine competitive moat in terms of speed and cost of iteration.</w:t>
            </w:r>
          </w:p>
        </w:tc>
      </w:tr>
    </w:tbl>
    <w:p>
      <w:pPr>
        <w:spacing w:after="60" w:before="60"/>
      </w:pPr>
      <w:r>
        <w:t xml:space="preserve"/>
      </w:r>
    </w:p>
    <w:p>
      <w:pPr>
        <w:pStyle w:val="Heading2"/>
        <w:pBdr>
          <w:bottom w:val="single" w:color="0D7377" w:sz="3" w:space="1"/>
        </w:pBdr>
        <w:spacing w:after="120" w:before="300"/>
      </w:pPr>
      <w:r>
        <w:rPr>
          <w:rFonts w:ascii="Arial" w:cs="Arial" w:eastAsia="Arial" w:hAnsi="Arial"/>
          <w:b/>
          <w:bCs/>
          <w:color w:val="0D7377"/>
          <w:sz w:val="26"/>
          <w:szCs w:val="26"/>
        </w:rPr>
        <w:t xml:space="preserve">Future Hires (Revenue-Dependent)</w:t>
      </w:r>
    </w:p>
    <w:p>
      <w:pPr>
        <w:pStyle w:val="ListParagraph"/>
        <w:numPr>
          <w:ilvl w:val="0"/>
          <w:numId w:val="2"/>
        </w:numPr>
        <w:spacing w:after="60" w:before="60"/>
      </w:pPr>
      <w:r>
        <w:rPr>
          <w:rFonts w:ascii="Arial" w:cs="Arial" w:eastAsia="Arial" w:hAnsi="Arial"/>
          <w:color w:val="2C3E50"/>
          <w:sz w:val="22"/>
          <w:szCs w:val="22"/>
        </w:rPr>
        <w:t xml:space="preserve">Month 10–12: Customer support / community manager — contractors and homeowners need a human at the other end of a dispute or a question.</w:t>
      </w:r>
    </w:p>
    <w:p>
      <w:pPr>
        <w:pStyle w:val="ListParagraph"/>
        <w:numPr>
          <w:ilvl w:val="0"/>
          <w:numId w:val="2"/>
        </w:numPr>
        <w:spacing w:after="60" w:before="60"/>
      </w:pPr>
      <w:r>
        <w:rPr>
          <w:rFonts w:ascii="Arial" w:cs="Arial" w:eastAsia="Arial" w:hAnsi="Arial"/>
          <w:color w:val="2C3E50"/>
          <w:sz w:val="22"/>
          <w:szCs w:val="22"/>
        </w:rPr>
        <w:t xml:space="preserve">Month 14–16: Growth / performance marketing hire when paid channels are showing predictable CAC.</w:t>
      </w:r>
    </w:p>
    <w:p>
      <w:pPr>
        <w:pStyle w:val="ListParagraph"/>
        <w:numPr>
          <w:ilvl w:val="0"/>
          <w:numId w:val="2"/>
        </w:numPr>
        <w:spacing w:after="60" w:before="60"/>
      </w:pPr>
      <w:r>
        <w:rPr>
          <w:rFonts w:ascii="Arial" w:cs="Arial" w:eastAsia="Arial" w:hAnsi="Arial"/>
          <w:color w:val="2C3E50"/>
          <w:sz w:val="22"/>
          <w:szCs w:val="22"/>
        </w:rPr>
        <w:t xml:space="preserve">Month 20–24: Second engineer if feature velocity becomes a bottleneck.</w:t>
      </w:r>
    </w:p>
    <w:p>
      <w:pPr>
        <w:pStyle w:val="Heading1"/>
        <w:pageBreakBefore/>
        <w:pBdr>
          <w:bottom w:val="single" w:color="14A085" w:sz="6" w:space="1"/>
        </w:pBdr>
        <w:shd w:fill="0D7377" w:val="clear"/>
        <w:spacing w:after="240" w:before="0"/>
        <w:ind w:left="180" w:right="180"/>
      </w:pPr>
      <w:r>
        <w:rPr>
          <w:rFonts w:ascii="Arial" w:cs="Arial" w:eastAsia="Arial" w:hAnsi="Arial"/>
          <w:b/>
          <w:bCs/>
          <w:color w:val="FFFFFF"/>
          <w:sz w:val="30"/>
          <w:szCs w:val="30"/>
        </w:rPr>
        <w:t xml:space="preserve">10. 12-Month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c>
          <w:tcPr>
            <w:tcW w:type="dxa" w:w="3008"/>
            <w:tcBorders>
              <w:top w:val="single" w:color="CCCCCC" w:sz="1"/>
              <w:left w:val="single" w:color="CCCCCC" w:sz="1"/>
              <w:bottom w:val="single" w:color="CCCCCC" w:sz="1"/>
              <w:right w:val="single" w:color="CCCCCC" w:sz="1"/>
            </w:tcBorders>
            <w:shd w:fill="0D7377" w:val="clear"/>
            <w:tcMar>
              <w:top w:type="dxa" w:w="80"/>
              <w:left w:type="dxa" w:w="110"/>
              <w:bottom w:type="dxa" w:w="80"/>
              <w:right w:type="dxa" w:w="110"/>
            </w:tcMar>
          </w:tcPr>
          <w:p>
            <w:r>
              <w:rPr>
                <w:rFonts w:ascii="Arial" w:cs="Arial" w:eastAsia="Arial" w:hAnsi="Arial"/>
                <w:b/>
                <w:bCs/>
                <w:color w:val="FFFFFF"/>
                <w:sz w:val="21"/>
                <w:szCs w:val="21"/>
              </w:rPr>
              <w:t xml:space="preserve">Period</w:t>
            </w:r>
          </w:p>
        </w:tc>
        <w:tc>
          <w:tcPr>
            <w:tcW w:type="dxa" w:w="3008"/>
            <w:tcBorders>
              <w:top w:val="single" w:color="CCCCCC" w:sz="1"/>
              <w:left w:val="single" w:color="CCCCCC" w:sz="1"/>
              <w:bottom w:val="single" w:color="CCCCCC" w:sz="1"/>
              <w:right w:val="single" w:color="CCCCCC" w:sz="1"/>
            </w:tcBorders>
            <w:shd w:fill="0D7377" w:val="clear"/>
            <w:tcMar>
              <w:top w:type="dxa" w:w="80"/>
              <w:left w:type="dxa" w:w="110"/>
              <w:bottom w:type="dxa" w:w="80"/>
              <w:right w:type="dxa" w:w="110"/>
            </w:tcMar>
          </w:tcPr>
          <w:p>
            <w:r>
              <w:rPr>
                <w:rFonts w:ascii="Arial" w:cs="Arial" w:eastAsia="Arial" w:hAnsi="Arial"/>
                <w:b/>
                <w:bCs/>
                <w:color w:val="FFFFFF"/>
                <w:sz w:val="21"/>
                <w:szCs w:val="21"/>
              </w:rPr>
              <w:t xml:space="preserve">Product (Gloire)</w:t>
            </w:r>
          </w:p>
        </w:tc>
        <w:tc>
          <w:tcPr>
            <w:tcW w:type="dxa" w:w="3010"/>
            <w:tcBorders>
              <w:top w:val="single" w:color="CCCCCC" w:sz="1"/>
              <w:left w:val="single" w:color="CCCCCC" w:sz="1"/>
              <w:bottom w:val="single" w:color="CCCCCC" w:sz="1"/>
              <w:right w:val="single" w:color="CCCCCC" w:sz="1"/>
            </w:tcBorders>
            <w:shd w:fill="0D7377" w:val="clear"/>
            <w:tcMar>
              <w:top w:type="dxa" w:w="80"/>
              <w:left w:type="dxa" w:w="110"/>
              <w:bottom w:type="dxa" w:w="80"/>
              <w:right w:type="dxa" w:w="110"/>
            </w:tcMar>
          </w:tcPr>
          <w:p>
            <w:r>
              <w:rPr>
                <w:rFonts w:ascii="Arial" w:cs="Arial" w:eastAsia="Arial" w:hAnsi="Arial"/>
                <w:b/>
                <w:bCs/>
                <w:color w:val="FFFFFF"/>
                <w:sz w:val="21"/>
                <w:szCs w:val="21"/>
              </w:rPr>
              <w:t xml:space="preserve">Marketing (Liam)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Months 1–2</w:t>
            </w:r>
          </w:p>
        </w:tc>
        <w:tc>
          <w:tcPr>
            <w:tcW w:type="dxa" w:w="3613"/>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QA, bug fixes, beta with 5–10 trusted users. Confirm Stripe Connect escrow flows end-to-end. Confirm DBS provider integration.</w:t>
            </w:r>
          </w:p>
        </w:tc>
        <w:tc>
          <w:tcPr>
            <w:tcW w:type="dxa" w:w="3613"/>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Build contractor outreach list. Join Facebook trade groups. Begin direct conversations. Target: 20 contractor conversations.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Months 3–4</w:t>
            </w:r>
          </w:p>
        </w:tc>
        <w:tc>
          <w:tcPr>
            <w:tcW w:type="dxa" w:w="3613"/>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Implement beta feedback. Polish onboarding flows. Confirm DBS check UX. Launch founding member onboarding including DBS coverage.</w:t>
            </w:r>
          </w:p>
        </w:tc>
        <w:tc>
          <w:tcPr>
            <w:tcW w:type="dxa" w:w="3613"/>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Sign up 50 contractors — prioritise DBS completion. Build Mintenance social presence. Prepare TikTok/Instagram DBS-angle content.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Months 5–6</w:t>
            </w:r>
          </w:p>
        </w:tc>
        <w:tc>
          <w:tcPr>
            <w:tcW w:type="dxa" w:w="3613"/>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PUBLIC LAUNCH. Monitor production. Rapid bug response. Focus on job completion success rate and DBS badge display in search.</w:t>
            </w:r>
          </w:p>
        </w:tc>
        <w:tc>
          <w:tcPr>
            <w:tcW w:type="dxa" w:w="3613"/>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Launch TikTok/Instagram campaign. Activate Google Ads. Pitch to 3–5 property journalists. Activate referral programme.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Months 7–9</w:t>
            </w:r>
          </w:p>
        </w:tc>
        <w:tc>
          <w:tcPr>
            <w:tcW w:type="dxa" w:w="3613"/>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Introduce 5% transaction fee. Activate contractor subscription tiers. Activate landlord/agency B2B portals. iOS + Android App Store submissions.</w:t>
            </w:r>
          </w:p>
        </w:tc>
        <w:tc>
          <w:tcPr>
            <w:tcW w:type="dxa" w:w="3613"/>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Scale ad spend using conversion data. Start city-area SEO pages. Begin B2B outreach to letting agents and property managers. Target: 200 contractors, 1,000 homeowners.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Months 10–12</w:t>
            </w:r>
          </w:p>
        </w:tc>
        <w:tc>
          <w:tcPr>
            <w:tcW w:type="dxa" w:w="3613"/>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Activate building surveyor AI for property assessments (premium B2B feature). AI performance monitoring and learning optimisation. Expand to Manchester.</w:t>
            </w:r>
          </w:p>
        </w:tc>
        <w:tc>
          <w:tcPr>
            <w:tcW w:type="dxa" w:w="3613"/>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Repeat contractor acquisition in Manchester. Pursue property management partnerships. Generate first media coverage. First landlord agency B2B signed.</w:t>
            </w:r>
          </w:p>
        </w:tc>
      </w:tr>
    </w:tbl>
    <w:p>
      <w:pPr>
        <w:pStyle w:val="Heading1"/>
        <w:pageBreakBefore/>
        <w:pBdr>
          <w:bottom w:val="single" w:color="14A085" w:sz="6" w:space="1"/>
        </w:pBdr>
        <w:shd w:fill="0D7377" w:val="clear"/>
        <w:spacing w:after="240" w:before="0"/>
        <w:ind w:left="180" w:right="180"/>
      </w:pPr>
      <w:r>
        <w:rPr>
          <w:rFonts w:ascii="Arial" w:cs="Arial" w:eastAsia="Arial" w:hAnsi="Arial"/>
          <w:b/>
          <w:bCs/>
          <w:color w:val="FFFFFF"/>
          <w:sz w:val="30"/>
          <w:szCs w:val="30"/>
        </w:rPr>
        <w:t xml:space="preserve">11. Risks &amp; Mitigation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426"/>
      </w:tblGrid>
      <w:tr>
        <w:tc>
          <w:tcPr>
            <w:tcW w:type="dxa" w:w="3008"/>
            <w:tcBorders>
              <w:top w:val="single" w:color="CCCCCC" w:sz="1"/>
              <w:left w:val="single" w:color="CCCCCC" w:sz="1"/>
              <w:bottom w:val="single" w:color="CCCCCC" w:sz="1"/>
              <w:right w:val="single" w:color="CCCCCC" w:sz="1"/>
            </w:tcBorders>
            <w:shd w:fill="0D7377" w:val="clear"/>
            <w:tcMar>
              <w:top w:type="dxa" w:w="80"/>
              <w:left w:type="dxa" w:w="110"/>
              <w:bottom w:type="dxa" w:w="80"/>
              <w:right w:type="dxa" w:w="110"/>
            </w:tcMar>
          </w:tcPr>
          <w:p>
            <w:r>
              <w:rPr>
                <w:rFonts w:ascii="Arial" w:cs="Arial" w:eastAsia="Arial" w:hAnsi="Arial"/>
                <w:b/>
                <w:bCs/>
                <w:color w:val="FFFFFF"/>
                <w:sz w:val="21"/>
                <w:szCs w:val="21"/>
              </w:rPr>
              <w:t xml:space="preserve">Risk</w:t>
            </w:r>
          </w:p>
        </w:tc>
        <w:tc>
          <w:tcPr>
            <w:tcW w:type="dxa" w:w="3008"/>
            <w:tcBorders>
              <w:top w:val="single" w:color="CCCCCC" w:sz="1"/>
              <w:left w:val="single" w:color="CCCCCC" w:sz="1"/>
              <w:bottom w:val="single" w:color="CCCCCC" w:sz="1"/>
              <w:right w:val="single" w:color="CCCCCC" w:sz="1"/>
            </w:tcBorders>
            <w:shd w:fill="0D7377" w:val="clear"/>
            <w:tcMar>
              <w:top w:type="dxa" w:w="80"/>
              <w:left w:type="dxa" w:w="110"/>
              <w:bottom w:type="dxa" w:w="80"/>
              <w:right w:type="dxa" w:w="110"/>
            </w:tcMar>
          </w:tcPr>
          <w:p>
            <w:r>
              <w:rPr>
                <w:rFonts w:ascii="Arial" w:cs="Arial" w:eastAsia="Arial" w:hAnsi="Arial"/>
                <w:b/>
                <w:bCs/>
                <w:color w:val="FFFFFF"/>
                <w:sz w:val="21"/>
                <w:szCs w:val="21"/>
              </w:rPr>
              <w:t xml:space="preserve">Likelihood</w:t>
            </w:r>
          </w:p>
        </w:tc>
        <w:tc>
          <w:tcPr>
            <w:tcW w:type="dxa" w:w="3010"/>
            <w:tcBorders>
              <w:top w:val="single" w:color="CCCCCC" w:sz="1"/>
              <w:left w:val="single" w:color="CCCCCC" w:sz="1"/>
              <w:bottom w:val="single" w:color="CCCCCC" w:sz="1"/>
              <w:right w:val="single" w:color="CCCCCC" w:sz="1"/>
            </w:tcBorders>
            <w:shd w:fill="0D7377" w:val="clear"/>
            <w:tcMar>
              <w:top w:type="dxa" w:w="80"/>
              <w:left w:type="dxa" w:w="110"/>
              <w:bottom w:type="dxa" w:w="80"/>
              <w:right w:type="dxa" w:w="110"/>
            </w:tcMar>
          </w:tcPr>
          <w:p>
            <w:r>
              <w:rPr>
                <w:rFonts w:ascii="Arial" w:cs="Arial" w:eastAsia="Arial" w:hAnsi="Arial"/>
                <w:b/>
                <w:bCs/>
                <w:color w:val="FFFFFF"/>
                <w:sz w:val="21"/>
                <w:szCs w:val="21"/>
              </w:rPr>
              <w:t xml:space="preserve">Mitigation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Cold start — thin contractor network at launch</w:t>
            </w:r>
          </w:p>
        </w:tc>
        <w:tc>
          <w:tcPr>
            <w:tcW w:type="dxa" w:w="1400"/>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HIGH</w:t>
            </w:r>
          </w:p>
        </w:tc>
        <w:tc>
          <w:tcPr>
            <w:tcW w:type="dxa" w:w="4426"/>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Don't launch homeowner acquisition until 50 DBS-verified contractors signed. Use DBS coverage as an acquisition cost — it creates the verified network instantly.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DBS cost of founding member offer (£2,300–6,000)</w:t>
            </w:r>
          </w:p>
        </w:tc>
        <w:tc>
          <w:tcPr>
            <w:tcW w:type="dxa" w:w="1400"/>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MEDIUM</w:t>
            </w:r>
          </w:p>
        </w:tc>
        <w:tc>
          <w:tcPr>
            <w:tcW w:type="dxa" w:w="4426"/>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Budget this as a customer acquisition cost. 100 DBS-verified contractors at £30–60 each is cheaper than 6 months of Google Ads.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Escrow dispute — homeowner refuses to release unfairly</w:t>
            </w:r>
          </w:p>
        </w:tc>
        <w:tc>
          <w:tcPr>
            <w:tcW w:type="dxa" w:w="1400"/>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MEDIUM</w:t>
            </w:r>
          </w:p>
        </w:tc>
        <w:tc>
          <w:tcPr>
            <w:tcW w:type="dxa" w:w="4426"/>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7-day auto-release is built. Photo evidence is objective. DisputeResolutionAgent assists admin decisions. Clear dispute T&amp;Cs.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Competitor adds escrow</w:t>
            </w:r>
          </w:p>
        </w:tc>
        <w:tc>
          <w:tcPr>
            <w:tcW w:type="dxa" w:w="1400"/>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LOW (12–18 month lag)</w:t>
            </w:r>
          </w:p>
        </w:tc>
        <w:tc>
          <w:tcPr>
            <w:tcW w:type="dxa" w:w="4426"/>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Move fast on brand and DBS network. The AI training data is also a moat — it requires live job data to improve.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FCA payment services registration required</w:t>
            </w:r>
          </w:p>
        </w:tc>
        <w:tc>
          <w:tcPr>
            <w:tcW w:type="dxa" w:w="1400"/>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MEDIUM</w:t>
            </w:r>
          </w:p>
        </w:tc>
        <w:tc>
          <w:tcPr>
            <w:tcW w:type="dxa" w:w="4426"/>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One hour with a fintech solicitor (~£250) confirms position. Stripe Connect structure likely qualifies for commercial agent exemption. See Legal Register.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Founders burn out</w:t>
            </w:r>
          </w:p>
        </w:tc>
        <w:tc>
          <w:tcPr>
            <w:tcW w:type="dxa" w:w="1400"/>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MEDIUM</w:t>
            </w:r>
          </w:p>
        </w:tc>
        <w:tc>
          <w:tcPr>
            <w:tcW w:type="dxa" w:w="4426"/>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Set realistic milestones. Celebrate wins. The codebase is well-documented and tested — neither founder is the sole single point of failure.</w:t>
            </w:r>
          </w:p>
        </w:tc>
      </w:tr>
    </w:tbl>
    <w:p>
      <w:pPr>
        <w:pStyle w:val="Heading1"/>
        <w:pageBreakBefore/>
        <w:pBdr>
          <w:bottom w:val="single" w:color="14A085" w:sz="6" w:space="1"/>
        </w:pBdr>
        <w:shd w:fill="0D7377" w:val="clear"/>
        <w:spacing w:after="240" w:before="0"/>
        <w:ind w:left="180" w:right="180"/>
      </w:pPr>
      <w:r>
        <w:rPr>
          <w:rFonts w:ascii="Arial" w:cs="Arial" w:eastAsia="Arial" w:hAnsi="Arial"/>
          <w:b/>
          <w:bCs/>
          <w:color w:val="FFFFFF"/>
          <w:sz w:val="30"/>
          <w:szCs w:val="30"/>
        </w:rPr>
        <w:t xml:space="preserve">12. Bootstrap Philosophy &amp; Funding Position</w:t>
      </w:r>
    </w:p>
    <w:p>
      <w:pPr>
        <w:pStyle w:val="Heading2"/>
        <w:pBdr>
          <w:bottom w:val="single" w:color="0D7377" w:sz="3" w:space="1"/>
        </w:pBdr>
        <w:spacing w:after="120" w:before="300"/>
      </w:pPr>
      <w:r>
        <w:rPr>
          <w:rFonts w:ascii="Arial" w:cs="Arial" w:eastAsia="Arial" w:hAnsi="Arial"/>
          <w:b/>
          <w:bCs/>
          <w:color w:val="0D7377"/>
          <w:sz w:val="26"/>
          <w:szCs w:val="26"/>
        </w:rPr>
        <w:t xml:space="preserve">Why We Are Not Raising Equity Now</w:t>
      </w:r>
    </w:p>
    <w:p>
      <w:pPr>
        <w:spacing w:after="80" w:before="80"/>
      </w:pPr>
      <w:r>
        <w:rPr>
          <w:rFonts w:ascii="Arial" w:cs="Arial" w:eastAsia="Arial" w:hAnsi="Arial"/>
          <w:color w:val="2C3E50"/>
          <w:sz w:val="22"/>
          <w:szCs w:val="22"/>
        </w:rPr>
        <w:t xml:space="preserve">Raising equity at pre-traction gives away a large percentage of a product that has significantly more built than most Series A companies. The time cost of pitching, negotiating, and reporting to investors is time not spent on the product and on contractor acquisition. Bootstrap discipline also forces better decisions.</w:t>
      </w:r>
    </w:p>
    <w:p>
      <w:pPr>
        <w:spacing w:after="60" w:before="60"/>
      </w:pPr>
      <w:r>
        <w:t xml:space="preserve"/>
      </w:r>
    </w:p>
    <w:p>
      <w:pPr>
        <w:pStyle w:val="Heading2"/>
        <w:pBdr>
          <w:bottom w:val="single" w:color="0D7377" w:sz="3" w:space="1"/>
        </w:pBdr>
        <w:spacing w:after="120" w:before="300"/>
      </w:pPr>
      <w:r>
        <w:rPr>
          <w:rFonts w:ascii="Arial" w:cs="Arial" w:eastAsia="Arial" w:hAnsi="Arial"/>
          <w:b/>
          <w:bCs/>
          <w:color w:val="0D7377"/>
          <w:sz w:val="26"/>
          <w:szCs w:val="26"/>
        </w:rPr>
        <w:t xml:space="preserve">When to Consider Raising</w:t>
      </w:r>
    </w:p>
    <w:p>
      <w:pPr>
        <w:spacing w:after="80" w:before="80"/>
      </w:pPr>
      <w:r>
        <w:rPr>
          <w:rFonts w:ascii="Arial" w:cs="Arial" w:eastAsia="Arial" w:hAnsi="Arial"/>
          <w:color w:val="2C3E50"/>
          <w:sz w:val="22"/>
          <w:szCs w:val="22"/>
        </w:rPr>
        <w:t xml:space="preserve">The correct moment is after demonstrating the core loop works at scale: contractors bid, jobs complete, payments release, users return. The target milestone before considering investment is 1,000 completed jobs, £500K annualised GMV, and positive unit economics on the transaction fee. At that point, capital accelerates city expansion — it does not fund the core product, which already exists.</w:t>
      </w:r>
    </w:p>
    <w:p>
      <w:pPr>
        <w:spacing w:after="60" w:before="60"/>
      </w:pPr>
      <w:r>
        <w:t xml:space="preserve"/>
      </w:r>
    </w:p>
    <w:p>
      <w:pPr>
        <w:pStyle w:val="ListParagraph"/>
        <w:numPr>
          <w:ilvl w:val="0"/>
          <w:numId w:val="2"/>
        </w:numPr>
        <w:spacing w:after="60" w:before="60"/>
      </w:pPr>
      <w:r>
        <w:rPr>
          <w:rFonts w:ascii="Arial" w:cs="Arial" w:eastAsia="Arial" w:hAnsi="Arial"/>
          <w:color w:val="2C3E50"/>
          <w:sz w:val="22"/>
          <w:szCs w:val="22"/>
        </w:rPr>
        <w:t xml:space="preserve">If raising: prioritise revenue-based financing or a single strategic angel with property industry background.</w:t>
      </w:r>
    </w:p>
    <w:p>
      <w:pPr>
        <w:pStyle w:val="ListParagraph"/>
        <w:numPr>
          <w:ilvl w:val="0"/>
          <w:numId w:val="2"/>
        </w:numPr>
        <w:spacing w:after="60" w:before="60"/>
      </w:pPr>
      <w:r>
        <w:rPr>
          <w:rFonts w:ascii="Arial" w:cs="Arial" w:eastAsia="Arial" w:hAnsi="Arial"/>
          <w:color w:val="2C3E50"/>
          <w:sz w:val="22"/>
          <w:szCs w:val="22"/>
        </w:rPr>
        <w:t xml:space="preserve">Avoid giving away more than 15% at seed — this business has more built than most founders raise seed for.</w:t>
      </w:r>
    </w:p>
    <w:p>
      <w:pPr>
        <w:pStyle w:val="ListParagraph"/>
        <w:numPr>
          <w:ilvl w:val="0"/>
          <w:numId w:val="2"/>
        </w:numPr>
        <w:spacing w:after="60" w:before="60"/>
      </w:pPr>
      <w:r>
        <w:rPr>
          <w:rFonts w:ascii="Arial" w:cs="Arial" w:eastAsia="Arial" w:hAnsi="Arial"/>
          <w:color w:val="2C3E50"/>
          <w:sz w:val="22"/>
          <w:szCs w:val="22"/>
        </w:rPr>
        <w:t xml:space="preserve">The building surveyor AI, ESG scoring, and agency portal are enterprise features that command enterprise valuations if the consumer base is established first.</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F5" w:val="clear"/>
            <w:tcMar>
              <w:top w:type="dxa" w:w="160"/>
              <w:left w:type="dxa" w:w="260"/>
              <w:bottom w:type="dxa" w:w="160"/>
              <w:right w:type="dxa" w:w="260"/>
            </w:tcMar>
          </w:tcPr>
          <w:p>
            <w:r>
              <w:rPr>
                <w:rFonts w:ascii="Arial" w:cs="Arial" w:eastAsia="Arial" w:hAnsi="Arial"/>
                <w:i/>
                <w:iCs/>
                <w:color w:val="2C3E50"/>
                <w:sz w:val="22"/>
                <w:szCs w:val="22"/>
              </w:rPr>
              <w:t xml:space="preserve">The goal remains the same: build a business that does not need investors — and therefore never has to take their money on unfavourable terms.</w:t>
            </w:r>
          </w:p>
        </w:tc>
      </w:tr>
    </w:tbl>
    <w:p>
      <w:pPr>
        <w:pStyle w:val="Heading1"/>
        <w:pageBreakBefore/>
        <w:pBdr>
          <w:bottom w:val="single" w:color="14A085" w:sz="6" w:space="1"/>
        </w:pBdr>
        <w:shd w:fill="0D7377" w:val="clear"/>
        <w:spacing w:after="240" w:before="0"/>
        <w:ind w:left="180" w:right="180"/>
      </w:pPr>
      <w:r>
        <w:rPr>
          <w:rFonts w:ascii="Arial" w:cs="Arial" w:eastAsia="Arial" w:hAnsi="Arial"/>
          <w:b/>
          <w:bCs/>
          <w:color w:val="FFFFFF"/>
          <w:sz w:val="30"/>
          <w:szCs w:val="30"/>
        </w:rPr>
        <w:t xml:space="preserve">13. Success Metrics — What Good Looks Like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26"/>
        <w:gridCol w:w="2500"/>
        <w:gridCol w:w="2500"/>
      </w:tblGrid>
      <w:tr>
        <w:tc>
          <w:tcPr>
            <w:tcW w:type="dxa" w:w="3008"/>
            <w:tcBorders>
              <w:top w:val="single" w:color="CCCCCC" w:sz="1"/>
              <w:left w:val="single" w:color="CCCCCC" w:sz="1"/>
              <w:bottom w:val="single" w:color="CCCCCC" w:sz="1"/>
              <w:right w:val="single" w:color="CCCCCC" w:sz="1"/>
            </w:tcBorders>
            <w:shd w:fill="0D7377" w:val="clear"/>
            <w:tcMar>
              <w:top w:type="dxa" w:w="80"/>
              <w:left w:type="dxa" w:w="110"/>
              <w:bottom w:type="dxa" w:w="80"/>
              <w:right w:type="dxa" w:w="110"/>
            </w:tcMar>
          </w:tcPr>
          <w:p>
            <w:r>
              <w:rPr>
                <w:rFonts w:ascii="Arial" w:cs="Arial" w:eastAsia="Arial" w:hAnsi="Arial"/>
                <w:b/>
                <w:bCs/>
                <w:color w:val="FFFFFF"/>
                <w:sz w:val="21"/>
                <w:szCs w:val="21"/>
              </w:rPr>
              <w:t xml:space="preserve">Metric</w:t>
            </w:r>
          </w:p>
        </w:tc>
        <w:tc>
          <w:tcPr>
            <w:tcW w:type="dxa" w:w="3008"/>
            <w:tcBorders>
              <w:top w:val="single" w:color="CCCCCC" w:sz="1"/>
              <w:left w:val="single" w:color="CCCCCC" w:sz="1"/>
              <w:bottom w:val="single" w:color="CCCCCC" w:sz="1"/>
              <w:right w:val="single" w:color="CCCCCC" w:sz="1"/>
            </w:tcBorders>
            <w:shd w:fill="0D7377" w:val="clear"/>
            <w:tcMar>
              <w:top w:type="dxa" w:w="80"/>
              <w:left w:type="dxa" w:w="110"/>
              <w:bottom w:type="dxa" w:w="80"/>
              <w:right w:type="dxa" w:w="110"/>
            </w:tcMar>
          </w:tcPr>
          <w:p>
            <w:r>
              <w:rPr>
                <w:rFonts w:ascii="Arial" w:cs="Arial" w:eastAsia="Arial" w:hAnsi="Arial"/>
                <w:b/>
                <w:bCs/>
                <w:color w:val="FFFFFF"/>
                <w:sz w:val="21"/>
                <w:szCs w:val="21"/>
              </w:rPr>
              <w:t xml:space="preserve">Month 6 Target</w:t>
            </w:r>
          </w:p>
        </w:tc>
        <w:tc>
          <w:tcPr>
            <w:tcW w:type="dxa" w:w="3010"/>
            <w:tcBorders>
              <w:top w:val="single" w:color="CCCCCC" w:sz="1"/>
              <w:left w:val="single" w:color="CCCCCC" w:sz="1"/>
              <w:bottom w:val="single" w:color="CCCCCC" w:sz="1"/>
              <w:right w:val="single" w:color="CCCCCC" w:sz="1"/>
            </w:tcBorders>
            <w:shd w:fill="0D7377" w:val="clear"/>
            <w:tcMar>
              <w:top w:type="dxa" w:w="80"/>
              <w:left w:type="dxa" w:w="110"/>
              <w:bottom w:type="dxa" w:w="80"/>
              <w:right w:type="dxa" w:w="110"/>
            </w:tcMar>
          </w:tcPr>
          <w:p>
            <w:r>
              <w:rPr>
                <w:rFonts w:ascii="Arial" w:cs="Arial" w:eastAsia="Arial" w:hAnsi="Arial"/>
                <w:b/>
                <w:bCs/>
                <w:color w:val="FFFFFF"/>
                <w:sz w:val="21"/>
                <w:szCs w:val="21"/>
              </w:rPr>
              <w:t xml:space="preserve">Month 12 Target</w:t>
            </w:r>
          </w:p>
        </w:tc>
      </w:tr>
      <w:tr>
        <w:tc>
          <w:tcPr>
            <w:tcW w:type="dxa" w:w="4026"/>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Active contractors</w:t>
            </w:r>
          </w:p>
        </w:tc>
        <w:tc>
          <w:tcPr>
            <w:tcW w:type="dxa" w:w="2500"/>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50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200</w:t>
            </w:r>
          </w:p>
        </w:tc>
      </w:tr>
      <w:tr>
        <w:tc>
          <w:tcPr>
            <w:tcW w:type="dxa" w:w="4026"/>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DBS-verified contractors (%)</w:t>
            </w:r>
          </w:p>
        </w:tc>
        <w:tc>
          <w:tcPr>
            <w:tcW w:type="dxa" w:w="2500"/>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&gt;60%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&gt;80%</w:t>
            </w:r>
          </w:p>
        </w:tc>
      </w:tr>
      <w:tr>
        <w:tc>
          <w:tcPr>
            <w:tcW w:type="dxa" w:w="4026"/>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Registered homeowners</w:t>
            </w:r>
          </w:p>
        </w:tc>
        <w:tc>
          <w:tcPr>
            <w:tcW w:type="dxa" w:w="2500"/>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200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1,000</w:t>
            </w:r>
          </w:p>
        </w:tc>
      </w:tr>
      <w:tr>
        <w:tc>
          <w:tcPr>
            <w:tcW w:type="dxa" w:w="4026"/>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Total completed jobs</w:t>
            </w:r>
          </w:p>
        </w:tc>
        <w:tc>
          <w:tcPr>
            <w:tcW w:type="dxa" w:w="2500"/>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100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1,500</w:t>
            </w:r>
          </w:p>
        </w:tc>
      </w:tr>
      <w:tr>
        <w:tc>
          <w:tcPr>
            <w:tcW w:type="dxa" w:w="4026"/>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Monthly GMV</w:t>
            </w:r>
          </w:p>
        </w:tc>
        <w:tc>
          <w:tcPr>
            <w:tcW w:type="dxa" w:w="2500"/>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£18,000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£140,000</w:t>
            </w:r>
          </w:p>
        </w:tc>
      </w:tr>
      <w:tr>
        <w:tc>
          <w:tcPr>
            <w:tcW w:type="dxa" w:w="4026"/>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Total monthly revenue</w:t>
            </w:r>
          </w:p>
        </w:tc>
        <w:tc>
          <w:tcPr>
            <w:tcW w:type="dxa" w:w="2500"/>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£0 (free phase)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~£10,000</w:t>
            </w:r>
          </w:p>
        </w:tc>
      </w:tr>
      <w:tr>
        <w:tc>
          <w:tcPr>
            <w:tcW w:type="dxa" w:w="4026"/>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Job post-to-completion rate</w:t>
            </w:r>
          </w:p>
        </w:tc>
        <w:tc>
          <w:tcPr>
            <w:tcW w:type="dxa" w:w="2500"/>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&gt;65%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&gt;75%</w:t>
            </w:r>
          </w:p>
        </w:tc>
      </w:tr>
      <w:tr>
        <w:tc>
          <w:tcPr>
            <w:tcW w:type="dxa" w:w="4026"/>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Homeowner repeat usage (2nd job within 60 days)</w:t>
            </w:r>
          </w:p>
        </w:tc>
        <w:tc>
          <w:tcPr>
            <w:tcW w:type="dxa" w:w="2500"/>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&gt;20%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&gt;35%</w:t>
            </w:r>
          </w:p>
        </w:tc>
      </w:tr>
      <w:tr>
        <w:tc>
          <w:tcPr>
            <w:tcW w:type="dxa" w:w="4026"/>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Contractor subscription uptake (%)</w:t>
            </w:r>
          </w:p>
        </w:tc>
        <w:tc>
          <w:tcPr>
            <w:tcW w:type="dxa" w:w="2500"/>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N/A (free phase)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&gt;25% on paid tier</w:t>
            </w:r>
          </w:p>
        </w:tc>
      </w:tr>
      <w:tr>
        <w:tc>
          <w:tcPr>
            <w:tcW w:type="dxa" w:w="4026"/>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B2B accounts (landlord + agency)</w:t>
            </w:r>
          </w:p>
        </w:tc>
        <w:tc>
          <w:tcPr>
            <w:tcW w:type="dxa" w:w="2500"/>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color w:val="2C3E50"/>
                <w:sz w:val="21"/>
                <w:szCs w:val="21"/>
              </w:rPr>
              <w:t xml:space="preserve">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2C3E50"/>
                <w:sz w:val="21"/>
                <w:szCs w:val="21"/>
              </w:rPr>
              <w:t xml:space="preserve">5–10</w:t>
            </w:r>
          </w:p>
        </w:tc>
      </w:tr>
    </w:tbl>
    <w:p>
      <w:pPr>
        <w:spacing w:after="60" w:before="60"/>
      </w:pPr>
      <w:r>
        <w:t xml:space="preserve"/>
      </w:r>
    </w:p>
    <w:p>
      <w:pPr>
        <w:pStyle w:val="Heading1"/>
        <w:pageBreakBefore/>
        <w:pBdr>
          <w:bottom w:val="single" w:color="14A085" w:sz="6" w:space="1"/>
        </w:pBdr>
        <w:shd w:fill="0D7377" w:val="clear"/>
        <w:spacing w:after="240" w:before="0"/>
        <w:ind w:left="180" w:right="180"/>
      </w:pPr>
      <w:r>
        <w:rPr>
          <w:rFonts w:ascii="Arial" w:cs="Arial" w:eastAsia="Arial" w:hAnsi="Arial"/>
          <w:b/>
          <w:bCs/>
          <w:color w:val="FFFFFF"/>
          <w:sz w:val="30"/>
          <w:szCs w:val="30"/>
        </w:rPr>
        <w:t xml:space="preserve">Closing Statement</w:t>
      </w:r>
    </w:p>
    <w:p>
      <w:pPr>
        <w:spacing w:after="80" w:before="80"/>
      </w:pPr>
      <w:r>
        <w:rPr>
          <w:rFonts w:ascii="Arial" w:cs="Arial" w:eastAsia="Arial" w:hAnsi="Arial"/>
          <w:color w:val="2C3E50"/>
          <w:sz w:val="22"/>
          <w:szCs w:val="22"/>
        </w:rPr>
        <w:t xml:space="preserve">What the codebase review revealed is that Mintenance is not a startup with an idea — it is a fully-engineered platform waiting for users. Thirteen AI agents, DBS verification infrastructure, a complete B2B portal for landlords and letting agents, subscription billing, escrow with automated dispute resolution, and building surveyor AI — all built by one engineer.</w:t>
      </w:r>
    </w:p>
    <w:p>
      <w:pPr>
        <w:spacing w:after="60" w:before="60"/>
      </w:pPr>
      <w:r>
        <w:t xml:space="preserve"/>
      </w:r>
    </w:p>
    <w:p>
      <w:pPr>
        <w:spacing w:after="80" w:before="80"/>
      </w:pPr>
      <w:r>
        <w:rPr>
          <w:rFonts w:ascii="Arial" w:cs="Arial" w:eastAsia="Arial" w:hAnsi="Arial"/>
          <w:color w:val="2C3E50"/>
          <w:sz w:val="22"/>
          <w:szCs w:val="22"/>
        </w:rPr>
        <w:t xml:space="preserve">The competitive position is stronger than v1 of this plan described. The revenue projections are lower due to the corrected 5% fee rate, but the revenue model is richer — transaction fees, three contractor subscription tiers, and two B2B tiers create five distinct revenue streams that no competitor currently offers in combination.</w:t>
      </w:r>
    </w:p>
    <w:p>
      <w:pPr>
        <w:spacing w:after="60" w:before="60"/>
      </w:pPr>
      <w:r>
        <w:t xml:space="preserve"/>
      </w:r>
    </w:p>
    <w:p>
      <w:pPr>
        <w:spacing w:after="80" w:before="80"/>
      </w:pPr>
      <w:r>
        <w:rPr>
          <w:rFonts w:ascii="Arial" w:cs="Arial" w:eastAsia="Arial" w:hAnsi="Arial"/>
          <w:color w:val="2C3E50"/>
          <w:sz w:val="22"/>
          <w:szCs w:val="22"/>
        </w:rPr>
        <w:t xml:space="preserve">The challenge is not product. It is filling the platform with the first 50 verified contractors and the first 200 homeowners. That is a marketing and outreach problem — and it is the problem that Liam is specifically positioned to solve.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F5" w:val="clear"/>
            <w:tcMar>
              <w:top w:type="dxa" w:w="160"/>
              <w:left w:type="dxa" w:w="260"/>
              <w:bottom w:type="dxa" w:w="160"/>
              <w:right w:type="dxa" w:w="260"/>
            </w:tcMar>
          </w:tcPr>
          <w:p>
            <w:r>
              <w:rPr>
                <w:rFonts w:ascii="Arial" w:cs="Arial" w:eastAsia="Arial" w:hAnsi="Arial"/>
                <w:i/>
                <w:iCs/>
                <w:color w:val="2C3E50"/>
                <w:sz w:val="22"/>
                <w:szCs w:val="22"/>
              </w:rPr>
              <w:t xml:space="preserve">Version 3 of this plan will be written when Mintenance has 100 completed jobs and real data replaces these projections. Every metric above should be considered a hypothesis to be tested, not a target to be reported.</w:t>
            </w:r>
          </w:p>
        </w:tc>
      </w:tr>
    </w:tbl>
    <w:p>
      <w:pPr>
        <w:spacing w:after="60" w:before="60"/>
      </w:pPr>
      <w:r>
        <w:t xml:space="preserve"/>
      </w:r>
    </w:p>
    <w:p>
      <w:pPr>
        <w:spacing w:after="120" w:before="480"/>
        <w:jc w:val="center"/>
      </w:pPr>
      <w:r>
        <w:rPr>
          <w:rFonts w:ascii="Arial" w:cs="Arial" w:eastAsia="Arial" w:hAnsi="Arial"/>
          <w:b/>
          <w:bCs/>
          <w:color w:val="0D7377"/>
          <w:sz w:val="24"/>
          <w:szCs w:val="24"/>
        </w:rPr>
        <w:t xml:space="preserve">mintenance.co.uk  •  gloire@mintenance.co.uk</w:t>
      </w:r>
    </w:p>
    <w:p>
      <w:pPr>
        <w:spacing w:after="0" w:before="0"/>
        <w:jc w:val="center"/>
      </w:pPr>
      <w:r>
        <w:rPr>
          <w:rFonts w:ascii="Arial" w:cs="Arial" w:eastAsia="Arial" w:hAnsi="Arial"/>
          <w:i/>
          <w:iCs/>
          <w:color w:val="7F8C8D"/>
          <w:sz w:val="20"/>
          <w:szCs w:val="20"/>
        </w:rPr>
        <w:t xml:space="preserve">Version 2  |  March 2026  |  Confidential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377" w:sz="3" w:space="1"/>
      </w:pBdr>
      <w:tabs>
        <w:tab w:val="right" w:pos="9026"/>
      </w:tabs>
    </w:pPr>
    <w:r>
      <w:rPr>
        <w:rFonts w:ascii="Arial" w:cs="Arial" w:eastAsia="Arial" w:hAnsi="Arial"/>
        <w:color w:val="7F8C8D"/>
        <w:sz w:val="18"/>
        <w:szCs w:val="18"/>
      </w:rPr>
      <w:t xml:space="preserve">mintenance.co.uk  |  gloire@mintenance.co.uk</w:t>
    </w:r>
    <w:r>
      <w:rPr>
        <w:rFonts w:ascii="Arial" w:cs="Arial" w:eastAsia="Arial" w:hAnsi="Arial"/>
        <w:color w:val="7F8C8D"/>
        <w:sz w:val="18"/>
        <w:szCs w:val="18"/>
      </w:rPr>
      <w:t xml:space="preserve">	Page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3" w:space="1"/>
      </w:pBdr>
      <w:tabs>
        <w:tab w:val="right" w:pos="9026"/>
      </w:tabs>
    </w:pPr>
    <w:r>
      <w:rPr>
        <w:rFonts w:ascii="Arial" w:cs="Arial" w:eastAsia="Arial" w:hAnsi="Arial"/>
        <w:color w:val="7F8C8D"/>
        <w:sz w:val="18"/>
        <w:szCs w:val="18"/>
      </w:rPr>
      <w:t xml:space="preserve">MINTENANCE  |  Strategic Business Plan v2 — Codebase Edition</w:t>
    </w:r>
    <w:r>
      <w:rPr>
        <w:rFonts w:ascii="Arial" w:cs="Arial" w:eastAsia="Arial" w:hAnsi="Arial"/>
        <w:i/>
        <w:iCs/>
        <w:color w:val="7F8C8D"/>
        <w:sz w:val="18"/>
        <w:szCs w:val="18"/>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FFFFFF"/>
      <w:sz w:val="30"/>
      <w:szCs w:val="30"/>
    </w:rPr>
  </w:style>
  <w:style w:type="paragraph" w:styleId="Heading2">
    <w:name w:val="Heading 2"/>
    <w:basedOn w:val="Normal"/>
    <w:next w:val="Normal"/>
    <w:qFormat/>
    <w:pPr>
      <w:spacing w:after="120" w:before="300"/>
      <w:outlineLvl w:val="1"/>
    </w:pPr>
    <w:rPr>
      <w:rFonts w:ascii="Arial" w:cs="Arial" w:eastAsia="Arial" w:hAnsi="Arial"/>
      <w:b/>
      <w:bCs/>
      <w:color w:val="0D7377"/>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2026-03-24T16:01:39.810Z</dcterms:created>
  <dcterms:modified xsi:type="dcterms:W3CDTF">2026-03-24T16:01:39.811Z</dcterms:modified>
</cp:coreProperties>
</file>

<file path=docProps/custom.xml><?xml version="1.0" encoding="utf-8"?>
<Properties xmlns="http://schemas.openxmlformats.org/officeDocument/2006/custom-properties" xmlns:vt="http://schemas.openxmlformats.org/officeDocument/2006/docPropsVTypes"/>
</file>