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D7377"/>
          <w:sz w:val="72"/>
          <w:szCs w:val="72"/>
        </w:rPr>
        <w:t xml:space="preserve">MINTENANCE</w:t>
      </w:r>
    </w:p>
    <w:p>
      <w:pPr>
        <w:spacing w:after="180" w:before="0"/>
        <w:jc w:val="center"/>
      </w:pPr>
      <w:r>
        <w:rPr>
          <w:rFonts w:ascii="Arial" w:cs="Arial" w:eastAsia="Arial" w:hAnsi="Arial"/>
          <w:color w:val="2C3E50"/>
          <w:sz w:val="34"/>
          <w:szCs w:val="34"/>
        </w:rPr>
        <w:t xml:space="preserve">Legal, Insurance &amp; IP Requirements Register</w:t>
      </w:r>
    </w:p>
    <w:p>
      <w:pPr>
        <w:spacing w:after="360" w:before="0"/>
        <w:jc w:val="center"/>
      </w:pPr>
      <w:r>
        <w:rPr>
          <w:rFonts w:ascii="Arial" w:cs="Arial" w:eastAsia="Arial" w:hAnsi="Arial"/>
          <w:i/>
          <w:iCs/>
          <w:color w:val="7F8C8D"/>
          <w:sz w:val="24"/>
          <w:szCs w:val="24"/>
        </w:rPr>
        <w:t xml:space="preserve">Based on actual codebase analysis  |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40"/>
              <w:left w:type="dxa" w:w="240"/>
              <w:bottom w:type="dxa" w:w="140"/>
              <w:right w:type="dxa" w:w="240"/>
            </w:tcMar>
          </w:tcPr>
          <w:p>
            <w:r>
              <w:rPr>
                <w:rFonts w:ascii="Arial" w:cs="Arial" w:eastAsia="Arial" w:hAnsi="Arial"/>
                <w:i/>
                <w:iCs/>
                <w:color w:val="2C3E50"/>
                <w:sz w:val="22"/>
                <w:szCs w:val="22"/>
              </w:rPr>
              <w:t xml:space="preserve">This document was produced by analysing the Mintenance codebase directly — including Stripe Connect integration, escrow logic, DBS check routes, GDPR endpoints, geolocation handling, OpenAI API usage, and data collected at registration. All recommendations are specific to what the platform actually does, not generic startup advice.</w:t>
            </w:r>
          </w:p>
        </w:tc>
      </w:tr>
    </w:tbl>
    <w:p>
      <w:pPr>
        <w:spacing w:after="60" w:before="60"/>
      </w:pPr>
      <w:r>
        <w:t xml:space="preserve"/>
      </w:r>
    </w:p>
    <w:p>
      <w:pPr>
        <w:spacing w:after="80" w:before="480"/>
        <w:jc w:val="center"/>
      </w:pPr>
      <w:r>
        <w:rPr>
          <w:rFonts w:ascii="Arial" w:cs="Arial" w:eastAsia="Arial" w:hAnsi="Arial"/>
          <w:b/>
          <w:bCs/>
          <w:color w:val="C0392B"/>
          <w:sz w:val="22"/>
          <w:szCs w:val="22"/>
        </w:rPr>
        <w:t xml:space="preserve">IMPORTANT DISCLAIMER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CEA" w:val="clear"/>
            <w:tcMar>
              <w:top w:type="dxa" w:w="140"/>
              <w:left w:type="dxa" w:w="240"/>
              <w:bottom w:type="dxa" w:w="140"/>
              <w:right w:type="dxa" w:w="240"/>
            </w:tcMar>
          </w:tcPr>
          <w:p>
            <w:r>
              <w:rPr>
                <w:rFonts w:ascii="Arial" w:cs="Arial" w:eastAsia="Arial" w:hAnsi="Arial"/>
                <w:i/>
                <w:iCs/>
                <w:color w:val="C0392B"/>
                <w:sz w:val="22"/>
                <w:szCs w:val="22"/>
              </w:rPr>
              <w:t xml:space="preserve">Nothing in this document constitutes legal advice. Mintenance should consult a qualified UK solicitor (ideally one specialising in fintech/marketplace law) before launch. This document is a structured briefing to make those solicitor conversations faster and cheaper.</w:t>
            </w:r>
          </w:p>
        </w:tc>
      </w:tr>
    </w:tbl>
    <w:p>
      <w:r>
        <w:br w:type="page"/>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Master Checklist — Priority Order</w:t>
      </w:r>
    </w:p>
    <w:p>
      <w:pPr>
        <w:spacing w:after="80" w:before="80"/>
      </w:pPr>
      <w:r>
        <w:rPr>
          <w:rFonts w:ascii="Arial" w:cs="Arial" w:eastAsia="Arial" w:hAnsi="Arial"/>
          <w:color w:val="2C3E50"/>
          <w:sz w:val="22"/>
          <w:szCs w:val="22"/>
        </w:rPr>
        <w:t xml:space="preserve">The table below shows every legal, insurance and IP requirement identified from the codebase. Items are ordered by risk: CRITICAL items must be resolved before accepting a single real payment. HIGH items must be resolved before or at public launch.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800"/>
        <w:gridCol w:w="3626"/>
      </w:tblGrid>
      <w:tr>
        <w:tc>
          <w:tcPr>
            <w:tcW w:type="dxa" w:w="2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W w:type="dxa" w:w="1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Priority</w:t>
            </w:r>
          </w:p>
        </w:tc>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Est. Cost</w:t>
            </w:r>
          </w:p>
        </w:tc>
        <w:tc>
          <w:tcPr>
            <w:tcW w:type="dxa" w:w="362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Why (from codebase)</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Stripe Connect — FCA legal confirmation</w:t>
            </w:r>
          </w:p>
        </w:tc>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1"/>
                <w:szCs w:val="21"/>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CRITICAL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Escrow + Stripe transfers in PayoutService.ts / FeeTransferService.ts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Companies House — Ltd registration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£12 one-off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CRITICAL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Must exist before accepting payments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ICO Registration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£40/year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CRITICAL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DBS criminal data, geolocation, photos, payment data collected</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Privacy Policy (special category)</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£400–900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CRITICAL</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DBS route processes criminal records — requires explicit consent</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Platform T&amp;Cs (homeowners + contractors)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£600–1,200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HIGH</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Escrow, 7-day auto-release, admin mediation, 5% fee all need legal terms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Data Processing Agreements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£0–200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HIGH</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Stripe, Supabase, OpenAI, DBS providers all process personal data</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Business bank account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£0/month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HIGH</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Required before Stripe payouts can be configured</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Cyber Liability Insurance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£300–600/year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HIGH</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Payment card data + special category data (DBS)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Trademark — 'Mintenance'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£220–350 one-off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HIGH</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Brand protection before marketing spend begins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Professional Indemnity Insurance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£200–500/year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MEDIUM</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Escrow dispute mediation admin role creates PI exposure</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Contractor Insurance requirements (T&amp;C clause)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£0 (T&amp;C clause)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MEDIUM</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Platform connects tradespeople to homes — liability must be clear</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OpenAI Data Processing Addendum</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MEDIUM</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AI routes send job descriptions and user queries to OpenAI (US)</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Background Check provider DPAs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£0–200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MEDIUM</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Checkr/Sterling are US companies — need SCCs for GDPR</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.com domain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£8–12/year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LOW</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mintenance.com should be registered to prevent brand squatting</w:t>
            </w:r>
          </w:p>
        </w:tc>
      </w:tr>
      <w:tr>
        <w:tc>
          <w:tcPr>
            <w:tcW w:type="dxa" w:w="26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1"/>
                <w:szCs w:val="21"/>
              </w:rPr>
              <w:t xml:space="preserve">Directors &amp; Officers Insurance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1"/>
                <w:szCs w:val="21"/>
              </w:rPr>
              <w:t xml:space="preserve">£150–400/year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1"/>
                <w:szCs w:val="21"/>
              </w:rPr>
              <w:t xml:space="preserve">LOW</w:t>
            </w:r>
          </w:p>
        </w:tc>
        <w:tc>
          <w:tcPr>
            <w:tcW w:type="dxa" w:w="36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7F8C8D"/>
                <w:sz w:val="20"/>
                <w:szCs w:val="20"/>
              </w:rPr>
              <w:t xml:space="preserve">Optional at bootstrap stage but worth considering as Ltd directors</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 Stripe Connect &amp; FCA Compliance — CRITICAL</w:t>
      </w:r>
    </w:p>
    <w:p>
      <w:pPr>
        <w:pStyle w:val="Heading2"/>
        <w:pBdr>
          <w:bottom w:val="single" w:color="0D7377" w:sz="3" w:space="1"/>
        </w:pBdr>
        <w:spacing w:after="120" w:before="320"/>
      </w:pPr>
      <w:r>
        <w:rPr>
          <w:rFonts w:ascii="Arial" w:cs="Arial" w:eastAsia="Arial" w:hAnsi="Arial"/>
          <w:b/>
          <w:bCs/>
          <w:color w:val="0D7377"/>
          <w:sz w:val="26"/>
          <w:szCs w:val="26"/>
        </w:rPr>
        <w:t xml:space="preserve">What the Codebase Does</w:t>
      </w:r>
    </w:p>
    <w:p>
      <w:pPr>
        <w:spacing w:after="80" w:before="80"/>
      </w:pPr>
      <w:r>
        <w:rPr>
          <w:rFonts w:ascii="Arial" w:cs="Arial" w:eastAsia="Arial" w:hAnsi="Arial"/>
          <w:color w:val="2C3E50"/>
          <w:sz w:val="22"/>
          <w:szCs w:val="22"/>
        </w:rPr>
        <w:t xml:space="preserve">Reading PayoutService.ts, FeeTransferService.ts, and the escrow release routes reveals the full payment flow:</w:t>
      </w:r>
    </w:p>
    <w:p>
      <w:pPr>
        <w:spacing w:after="6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Homeowner pays via Stripe PaymentIntent (create-intent, confirm-intent routes)</w:t>
      </w:r>
    </w:p>
    <w:p>
      <w:pPr>
        <w:pStyle w:val="ListParagraph"/>
        <w:numPr>
          <w:ilvl w:val="0"/>
          <w:numId w:val="2"/>
        </w:numPr>
        <w:spacing w:after="60" w:before="60"/>
      </w:pPr>
      <w:r>
        <w:rPr>
          <w:rFonts w:ascii="Arial" w:cs="Arial" w:eastAsia="Arial" w:hAnsi="Arial"/>
          <w:color w:val="2C3E50"/>
          <w:sz w:val="22"/>
          <w:szCs w:val="22"/>
        </w:rPr>
        <w:t xml:space="preserve">Funds are held by Stripe while the job is in progress (escrow 'held' state)</w:t>
      </w:r>
    </w:p>
    <w:p>
      <w:pPr>
        <w:pStyle w:val="ListParagraph"/>
        <w:numPr>
          <w:ilvl w:val="0"/>
          <w:numId w:val="2"/>
        </w:numPr>
        <w:spacing w:after="60" w:before="60"/>
      </w:pPr>
      <w:r>
        <w:rPr>
          <w:rFonts w:ascii="Arial" w:cs="Arial" w:eastAsia="Arial" w:hAnsi="Arial"/>
          <w:color w:val="2C3E50"/>
          <w:sz w:val="22"/>
          <w:szCs w:val="22"/>
        </w:rPr>
        <w:t xml:space="preserve">On homeowner approval — or after 7 days via escrow-auto-release cron job — Mintenance triggers a Stripe Transfer to the contractor's connected account</w:t>
      </w:r>
    </w:p>
    <w:p>
      <w:pPr>
        <w:pStyle w:val="ListParagraph"/>
        <w:numPr>
          <w:ilvl w:val="0"/>
          <w:numId w:val="2"/>
        </w:numPr>
        <w:spacing w:after="60" w:before="60"/>
      </w:pPr>
      <w:r>
        <w:rPr>
          <w:rFonts w:ascii="Arial" w:cs="Arial" w:eastAsia="Arial" w:hAnsi="Arial"/>
          <w:color w:val="2C3E50"/>
          <w:sz w:val="22"/>
          <w:szCs w:val="22"/>
        </w:rPr>
        <w:t xml:space="preserve">Platform takes a 5% fee (min £0.50, max £50.00) via FeeCalculationService.ts</w:t>
      </w:r>
    </w:p>
    <w:p>
      <w:pPr>
        <w:pStyle w:val="ListParagraph"/>
        <w:numPr>
          <w:ilvl w:val="0"/>
          <w:numId w:val="2"/>
        </w:numPr>
        <w:spacing w:after="60" w:before="60"/>
      </w:pPr>
      <w:r>
        <w:rPr>
          <w:rFonts w:ascii="Arial" w:cs="Arial" w:eastAsia="Arial" w:hAnsi="Arial"/>
          <w:color w:val="2C3E50"/>
          <w:sz w:val="22"/>
          <w:szCs w:val="22"/>
        </w:rPr>
        <w:t xml:space="preserve">Stripe UK rates (1.5% + £0.20) are tracked separately for accounting</w:t>
      </w:r>
    </w:p>
    <w:p>
      <w:pPr>
        <w:pStyle w:val="ListParagraph"/>
        <w:numPr>
          <w:ilvl w:val="0"/>
          <w:numId w:val="2"/>
        </w:numPr>
        <w:spacing w:after="60" w:before="60"/>
      </w:pPr>
      <w:r>
        <w:rPr>
          <w:rFonts w:ascii="Arial" w:cs="Arial" w:eastAsia="Arial" w:hAnsi="Arial"/>
          <w:color w:val="2C3E50"/>
          <w:sz w:val="22"/>
          <w:szCs w:val="22"/>
        </w:rPr>
        <w:t xml:space="preserve">The contractor connected account is set up via a Supabase Edge Function (setup-contractor-payout) that creates a Stripe Express account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40"/>
              <w:left w:type="dxa" w:w="240"/>
              <w:bottom w:type="dxa" w:w="140"/>
              <w:right w:type="dxa" w:w="240"/>
            </w:tcMar>
          </w:tcPr>
          <w:p>
            <w:r>
              <w:rPr>
                <w:rFonts w:ascii="Arial" w:cs="Arial" w:eastAsia="Arial" w:hAnsi="Arial"/>
                <w:i/>
                <w:iCs/>
                <w:color w:val="2C3E50"/>
                <w:sz w:val="22"/>
                <w:szCs w:val="22"/>
              </w:rPr>
              <w:t xml:space="preserve">The architecture is correct: Stripe holds the funds, not Mintenance's bank account. This is the legally safe structure. The key question is whether Mintenance's role in deciding WHEN to release funds (admin approval routes, dispute mediation, auto-release trigger) constitutes 'payment services' under UK law.</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The FCA Question</w:t>
      </w:r>
    </w:p>
    <w:p>
      <w:pPr>
        <w:spacing w:after="80" w:before="80"/>
      </w:pPr>
      <w:r>
        <w:rPr>
          <w:rFonts w:ascii="Arial" w:cs="Arial" w:eastAsia="Arial" w:hAnsi="Arial"/>
          <w:color w:val="2C3E50"/>
          <w:sz w:val="22"/>
          <w:szCs w:val="22"/>
        </w:rPr>
        <w:t xml:space="preserve">The UK Payment Services Regulations 2017 (implementing PSD2) covers 'payment initiation services' and 'account information services'. Running a marketplace where you trigger Stripe transfers sits in a grey area. There are three possible positions: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Position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Explanation</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Agent of Stripe (exempt)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Mintenance acts as a commercial agent introducing transactions on Stripe's platform. Stripe is FCA-authorised; Mintenance is covered as its agent. This is the desired position and is achievable if structured correctly with Stripe.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Small Payment Institution (SPI)</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If Mintenance has control over fund release decisions (which it does via admin routes), it may need to register as a Small Payment Institution with the FCA. Cost: ~£500 application fee + compliance overhead.</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Full Payment Institution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Unlikely to be required at this scale, but if monthly payment volume exceeds £3M it becomes relevant. Cost: £10,000+ in legal and FCA fees.</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Action Required</w:t>
      </w:r>
    </w:p>
    <w:p>
      <w:pPr>
        <w:spacing w:after="80" w:before="80"/>
      </w:pPr>
      <w:r>
        <w:rPr>
          <w:rFonts w:ascii="Arial" w:cs="Arial" w:eastAsia="Arial" w:hAnsi="Arial"/>
          <w:color w:val="2C3E50"/>
          <w:sz w:val="22"/>
          <w:szCs w:val="22"/>
        </w:rPr>
        <w:t xml:space="preserve">One hour with a UK fintech solicitor (~£250–350) to confirm whether the current Stripe Connect setup qualifies for the 'commercial agent' exemption. This is the single most important pre-launch legal conversation. Specifically, ask them to review:</w:t>
      </w:r>
    </w:p>
    <w:p>
      <w:pPr>
        <w:pStyle w:val="ListParagraph"/>
        <w:numPr>
          <w:ilvl w:val="0"/>
          <w:numId w:val="2"/>
        </w:numPr>
        <w:spacing w:after="60" w:before="60"/>
      </w:pPr>
      <w:r>
        <w:rPr>
          <w:rFonts w:ascii="Arial" w:cs="Arial" w:eastAsia="Arial" w:hAnsi="Arial"/>
          <w:color w:val="2C3E50"/>
          <w:sz w:val="22"/>
          <w:szCs w:val="22"/>
        </w:rPr>
        <w:t xml:space="preserve">The escrow-auto-release cron job (admin/escrow/approve route) — Mintenance has administrative control over release timing</w:t>
      </w:r>
    </w:p>
    <w:p>
      <w:pPr>
        <w:pStyle w:val="ListParagraph"/>
        <w:numPr>
          <w:ilvl w:val="0"/>
          <w:numId w:val="2"/>
        </w:numPr>
        <w:spacing w:after="60" w:before="60"/>
      </w:pPr>
      <w:r>
        <w:rPr>
          <w:rFonts w:ascii="Arial" w:cs="Arial" w:eastAsia="Arial" w:hAnsi="Arial"/>
          <w:color w:val="2C3E50"/>
          <w:sz w:val="22"/>
          <w:szCs w:val="22"/>
        </w:rPr>
        <w:t xml:space="preserve">The admin/escrow/reject route — Mintenance can block payment to contractors</w:t>
      </w:r>
    </w:p>
    <w:p>
      <w:pPr>
        <w:pStyle w:val="ListParagraph"/>
        <w:numPr>
          <w:ilvl w:val="0"/>
          <w:numId w:val="2"/>
        </w:numPr>
        <w:spacing w:after="60" w:before="60"/>
      </w:pPr>
      <w:r>
        <w:rPr>
          <w:rFonts w:ascii="Arial" w:cs="Arial" w:eastAsia="Arial" w:hAnsi="Arial"/>
          <w:color w:val="2C3E50"/>
          <w:sz w:val="22"/>
          <w:szCs w:val="22"/>
        </w:rPr>
        <w:t xml:space="preserve">The disputes/mediation route — Mintenance acts as a quasi-arbiter of payment disputes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40"/>
              <w:left w:type="dxa" w:w="240"/>
              <w:bottom w:type="dxa" w:w="140"/>
              <w:right w:type="dxa" w:w="240"/>
            </w:tcMar>
          </w:tcPr>
          <w:p>
            <w:r>
              <w:rPr>
                <w:rFonts w:ascii="Arial" w:cs="Arial" w:eastAsia="Arial" w:hAnsi="Arial"/>
                <w:i/>
                <w:iCs/>
                <w:color w:val="E65100"/>
                <w:sz w:val="22"/>
                <w:szCs w:val="22"/>
              </w:rPr>
              <w:t xml:space="preserve">If any of these put Mintenance outside the agent exemption, registering as a Small Payment Institution is the correct route. It costs ~£500 and takes 3–6 months. This is not a blocker if started now alongside development.</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2. Companies House — Ltd Registration — CRITICAL</w:t>
      </w:r>
    </w:p>
    <w:p>
      <w:pPr>
        <w:pStyle w:val="Heading2"/>
        <w:pBdr>
          <w:bottom w:val="single" w:color="0D7377" w:sz="3" w:space="1"/>
        </w:pBdr>
        <w:spacing w:after="120" w:before="320"/>
      </w:pPr>
      <w:r>
        <w:rPr>
          <w:rFonts w:ascii="Arial" w:cs="Arial" w:eastAsia="Arial" w:hAnsi="Arial"/>
          <w:b/>
          <w:bCs/>
          <w:color w:val="0D7377"/>
          <w:sz w:val="26"/>
          <w:szCs w:val="26"/>
        </w:rPr>
        <w:t xml:space="preserve">Why It Is Needed</w:t>
      </w:r>
    </w:p>
    <w:p>
      <w:pPr>
        <w:spacing w:after="80" w:before="80"/>
      </w:pPr>
      <w:r>
        <w:rPr>
          <w:rFonts w:ascii="Arial" w:cs="Arial" w:eastAsia="Arial" w:hAnsi="Arial"/>
          <w:color w:val="2C3E50"/>
          <w:sz w:val="22"/>
          <w:szCs w:val="22"/>
        </w:rPr>
        <w:t xml:space="preserve">Stripe requires a registered legal entity to set up a platform Connect account. You cannot accept payments into a personal account at scale. A Ltd company also separates personal liability from business liability — essential when you are holding homeowner funds in escrow.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What to register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Mintenance Ltd (check availability at Companies House first)</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Cost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£12 online via Companies House web incorporation service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Time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Same day to 24 hours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What you need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Company name, registered address (can be home), at least one director, share structure (50/50 between Gloire and Liam recommended)</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Important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Update your Stripe account, Supabase billing, and all supplier agreements to the Ltd entity name immediately after registering</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Shareholders Agreement</w:t>
      </w:r>
    </w:p>
    <w:p>
      <w:pPr>
        <w:spacing w:after="80" w:before="80"/>
      </w:pPr>
      <w:r>
        <w:rPr>
          <w:rFonts w:ascii="Arial" w:cs="Arial" w:eastAsia="Arial" w:hAnsi="Arial"/>
          <w:color w:val="2C3E50"/>
          <w:sz w:val="22"/>
          <w:szCs w:val="22"/>
        </w:rPr>
        <w:t xml:space="preserve">With two co-founders, a Shareholders Agreement is strongly advisable. It sets out what happens if one founder leaves, how decisions are made, and how equity is handled. Without one, disputes default to Companies Act rules which may not reflect your intentions. Cost via a specialist: £500–1,000. Template services (Rocket Lawyer, Docue): £50–150 (less robust but functional at early stage).</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3. ICO Registration — CRITICAL</w:t>
      </w:r>
    </w:p>
    <w:p>
      <w:pPr>
        <w:pStyle w:val="Heading2"/>
        <w:pBdr>
          <w:bottom w:val="single" w:color="0D7377" w:sz="3" w:space="1"/>
        </w:pBdr>
        <w:spacing w:after="120" w:before="320"/>
      </w:pPr>
      <w:r>
        <w:rPr>
          <w:rFonts w:ascii="Arial" w:cs="Arial" w:eastAsia="Arial" w:hAnsi="Arial"/>
          <w:b/>
          <w:bCs/>
          <w:color w:val="0D7377"/>
          <w:sz w:val="26"/>
          <w:szCs w:val="26"/>
        </w:rPr>
        <w:t xml:space="preserve">What Data Mintenance Actually Processes (from codebase)</w:t>
      </w:r>
    </w:p>
    <w:p>
      <w:pPr>
        <w:spacing w:after="80" w:before="80"/>
      </w:pPr>
      <w:r>
        <w:rPr>
          <w:rFonts w:ascii="Arial" w:cs="Arial" w:eastAsia="Arial" w:hAnsi="Arial"/>
          <w:color w:val="2C3E50"/>
          <w:sz w:val="22"/>
          <w:szCs w:val="22"/>
        </w:rPr>
        <w:t xml:space="preserve">The codebase collects and processes the following personal data, confirmed by reading registration route, jobs API, GDPR routes, and DBS check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82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Source in Codebase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Email, name, phone, password hash</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Personal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1"/>
                <w:szCs w:val="21"/>
              </w:rPr>
              <w:t xml:space="preserve">api/auth/register/route.ts line 36</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Job geolocation (lat/long) + property 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Personal</w:t>
            </w:r>
          </w:p>
        </w:tc>
        <w:tc>
          <w:tcPr>
            <w:tcW w:type="dxa" w:w="3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1"/>
                <w:szCs w:val="21"/>
              </w:rPr>
              <w:t xml:space="preserve">api/jobs/[id]/enable-location-sharing, nearby-contractors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Property photos (before/after job)</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Personal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1"/>
                <w:szCs w:val="21"/>
              </w:rPr>
              <w:t xml:space="preserve">api/jobs/[id]/photos/before and after routes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Payment card data (via Stripe)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Financial</w:t>
            </w:r>
          </w:p>
        </w:tc>
        <w:tc>
          <w:tcPr>
            <w:tcW w:type="dxa" w:w="3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1"/>
                <w:szCs w:val="21"/>
              </w:rPr>
              <w:t xml:space="preserve">payments/create-intent, confirm-intent routes</w:t>
            </w:r>
          </w:p>
        </w:tc>
      </w:tr>
      <w:tr>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1"/>
                <w:szCs w:val="21"/>
              </w:rPr>
              <w:t xml:space="preserve">DBS criminal record data (basic/standard/enhanced)</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1"/>
                <w:szCs w:val="21"/>
              </w:rPr>
              <w:t xml:space="preserve">SPECIAL CATEGORY</w:t>
            </w:r>
          </w:p>
        </w:tc>
        <w:tc>
          <w:tcPr>
            <w:tcW w:type="dxa" w:w="38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i/>
                <w:iCs/>
                <w:color w:val="C0392B"/>
                <w:sz w:val="21"/>
                <w:szCs w:val="21"/>
              </w:rPr>
              <w:t xml:space="preserve">api/contractor/dbs-check/route.ts (DBSCheckService)</w:t>
            </w:r>
          </w:p>
        </w:tc>
      </w:tr>
      <w:tr>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1"/>
                <w:szCs w:val="21"/>
              </w:rPr>
              <w:t xml:space="preserve">Background check data (Checkr/Sterling/GoodHire)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21"/>
                <w:szCs w:val="21"/>
              </w:rPr>
              <w:t xml:space="preserve">SPECIAL CATEGORY</w:t>
            </w:r>
          </w:p>
        </w:tc>
        <w:tc>
          <w:tcPr>
            <w:tcW w:type="dxa" w:w="382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i/>
                <w:iCs/>
                <w:color w:val="E65100"/>
                <w:sz w:val="21"/>
                <w:szCs w:val="21"/>
              </w:rPr>
              <w:t xml:space="preserve">api/contractor/background-check/route.ts (checkr, goodhire, sterling providers)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MFA / TOTP secrets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Sensitive personal</w:t>
            </w:r>
          </w:p>
        </w:tc>
        <w:tc>
          <w:tcPr>
            <w:tcW w:type="dxa" w:w="3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1"/>
                <w:szCs w:val="21"/>
              </w:rPr>
              <w:t xml:space="preserve">api/auth/mfa/ routes (TOTP enroll, verify,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Job descriptions (sent to OpenAI for analysis)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1"/>
                <w:szCs w:val="21"/>
              </w:rPr>
              <w:t xml:space="preserve">Personal + third-party</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1"/>
                <w:szCs w:val="21"/>
              </w:rPr>
              <w:t xml:space="preserve">api/ai/analyze, api/ai/generate-embedding (.env: OPENAI_API_KEY)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CEA" w:val="clear"/>
            <w:tcMar>
              <w:top w:type="dxa" w:w="140"/>
              <w:left w:type="dxa" w:w="240"/>
              <w:bottom w:type="dxa" w:w="140"/>
              <w:right w:type="dxa" w:w="240"/>
            </w:tcMar>
          </w:tcPr>
          <w:p>
            <w:r>
              <w:rPr>
                <w:rFonts w:ascii="Arial" w:cs="Arial" w:eastAsia="Arial" w:hAnsi="Arial"/>
                <w:i/>
                <w:iCs/>
                <w:color w:val="C0392B"/>
                <w:sz w:val="22"/>
                <w:szCs w:val="22"/>
              </w:rPr>
              <w:t xml:space="preserve">The DBS (criminal record) data is the most legally significant. Under UK GDPR, criminal conviction data is 'special category' data requiring explicit consent and substantial justification. The Privacy Policy must explicitly address this, and you may need a Data Protection Impact Assessment (DPIA) before processing it.</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ICO Registration</w:t>
      </w:r>
    </w:p>
    <w:p>
      <w:pPr>
        <w:spacing w:after="80" w:before="80"/>
      </w:pPr>
      <w:r>
        <w:rPr>
          <w:rFonts w:ascii="Arial" w:cs="Arial" w:eastAsia="Arial" w:hAnsi="Arial"/>
          <w:color w:val="2C3E50"/>
          <w:sz w:val="22"/>
          <w:szCs w:val="22"/>
        </w:rPr>
        <w:t xml:space="preserve">Register at ico.org.uk as a Data Controller. The fee depends on your tier — as a small organisation (under 10 staff, under £2M turnover) the fee is £40/year. Registration takes approximately 10 minutes online. Failure to register when processing personal data is a criminal offence under the Data Protection Act 2018.</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4. Privacy Policy — CRITICAL</w:t>
      </w:r>
    </w:p>
    <w:p>
      <w:pPr>
        <w:pStyle w:val="Heading2"/>
        <w:pBdr>
          <w:bottom w:val="single" w:color="0D7377" w:sz="3" w:space="1"/>
        </w:pBdr>
        <w:spacing w:after="120" w:before="320"/>
      </w:pPr>
      <w:r>
        <w:rPr>
          <w:rFonts w:ascii="Arial" w:cs="Arial" w:eastAsia="Arial" w:hAnsi="Arial"/>
          <w:b/>
          <w:bCs/>
          <w:color w:val="0D7377"/>
          <w:sz w:val="26"/>
          <w:szCs w:val="26"/>
        </w:rPr>
        <w:t xml:space="preserve">What It Must Cover (Specific to Mintenance's Data)</w:t>
      </w:r>
    </w:p>
    <w:p>
      <w:pPr>
        <w:spacing w:after="80" w:before="80"/>
      </w:pPr>
      <w:r>
        <w:rPr>
          <w:rFonts w:ascii="Arial" w:cs="Arial" w:eastAsia="Arial" w:hAnsi="Arial"/>
          <w:color w:val="2C3E50"/>
          <w:sz w:val="22"/>
          <w:szCs w:val="22"/>
        </w:rPr>
        <w:t xml:space="preserve">A generic Privacy Policy template will not be adequate. Based on the codebase, the Mintenance Privacy Policy must explicitly address each of the following:</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4.1 Standard Personal Data</w:t>
      </w:r>
    </w:p>
    <w:p>
      <w:pPr>
        <w:pStyle w:val="ListParagraph"/>
        <w:numPr>
          <w:ilvl w:val="0"/>
          <w:numId w:val="2"/>
        </w:numPr>
        <w:spacing w:after="60" w:before="60"/>
      </w:pPr>
      <w:r>
        <w:rPr>
          <w:rFonts w:ascii="Arial" w:cs="Arial" w:eastAsia="Arial" w:hAnsi="Arial"/>
          <w:color w:val="2C3E50"/>
          <w:sz w:val="22"/>
          <w:szCs w:val="22"/>
        </w:rPr>
        <w:t xml:space="preserve">Name, email, phone number collected at registration (auth/register)</w:t>
      </w:r>
    </w:p>
    <w:p>
      <w:pPr>
        <w:pStyle w:val="ListParagraph"/>
        <w:numPr>
          <w:ilvl w:val="0"/>
          <w:numId w:val="2"/>
        </w:numPr>
        <w:spacing w:after="60" w:before="60"/>
      </w:pPr>
      <w:r>
        <w:rPr>
          <w:rFonts w:ascii="Arial" w:cs="Arial" w:eastAsia="Arial" w:hAnsi="Arial"/>
          <w:color w:val="2C3E50"/>
          <w:sz w:val="22"/>
          <w:szCs w:val="22"/>
        </w:rPr>
        <w:t xml:space="preserve">How long it is stored and when it is deleted (GDPR retention periods)</w:t>
      </w:r>
    </w:p>
    <w:p>
      <w:pPr>
        <w:pStyle w:val="ListParagraph"/>
        <w:numPr>
          <w:ilvl w:val="0"/>
          <w:numId w:val="2"/>
        </w:numPr>
        <w:spacing w:after="60" w:before="60"/>
      </w:pPr>
      <w:r>
        <w:rPr>
          <w:rFonts w:ascii="Arial" w:cs="Arial" w:eastAsia="Arial" w:hAnsi="Arial"/>
          <w:color w:val="2C3E50"/>
          <w:sz w:val="22"/>
          <w:szCs w:val="22"/>
        </w:rPr>
        <w:t xml:space="preserve">User's right to access, delete and export data (fully built in codebase: gdpr/export-data, gdpr/delete-data, gdpr/anonymize-data routes — this is excellent and should be referenced)</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4.2 Geolocation Data</w:t>
      </w:r>
    </w:p>
    <w:p>
      <w:pPr>
        <w:pStyle w:val="ListParagraph"/>
        <w:numPr>
          <w:ilvl w:val="0"/>
          <w:numId w:val="2"/>
        </w:numPr>
        <w:spacing w:after="60" w:before="60"/>
      </w:pPr>
      <w:r>
        <w:rPr>
          <w:rFonts w:ascii="Arial" w:cs="Arial" w:eastAsia="Arial" w:hAnsi="Arial"/>
          <w:color w:val="2C3E50"/>
          <w:sz w:val="22"/>
          <w:szCs w:val="22"/>
        </w:rPr>
        <w:t xml:space="preserve">The platform collects precise geolocation coordinates when a homeowner enables location sharing for a job (jobs/[id]/enable-location-sharing)</w:t>
      </w:r>
    </w:p>
    <w:p>
      <w:pPr>
        <w:pStyle w:val="ListParagraph"/>
        <w:numPr>
          <w:ilvl w:val="0"/>
          <w:numId w:val="2"/>
        </w:numPr>
        <w:spacing w:after="60" w:before="60"/>
      </w:pPr>
      <w:r>
        <w:rPr>
          <w:rFonts w:ascii="Arial" w:cs="Arial" w:eastAsia="Arial" w:hAnsi="Arial"/>
          <w:color w:val="2C3E50"/>
          <w:sz w:val="22"/>
          <w:szCs w:val="22"/>
        </w:rPr>
        <w:t xml:space="preserve">Contractor matching uses these coordinates (jobs/[id]/nearby-contractors, jobs/[id]/matched-contractors)</w:t>
      </w:r>
    </w:p>
    <w:p>
      <w:pPr>
        <w:pStyle w:val="ListParagraph"/>
        <w:numPr>
          <w:ilvl w:val="0"/>
          <w:numId w:val="2"/>
        </w:numPr>
        <w:spacing w:after="60" w:before="60"/>
      </w:pPr>
      <w:r>
        <w:rPr>
          <w:rFonts w:ascii="Arial" w:cs="Arial" w:eastAsia="Arial" w:hAnsi="Arial"/>
          <w:color w:val="2C3E50"/>
          <w:sz w:val="22"/>
          <w:szCs w:val="22"/>
        </w:rPr>
        <w:t xml:space="preserve">The legal basis for processing geolocation data (likely legitimate interest for matching purposes) must be stated</w:t>
      </w:r>
    </w:p>
    <w:p>
      <w:pPr>
        <w:pStyle w:val="ListParagraph"/>
        <w:numPr>
          <w:ilvl w:val="0"/>
          <w:numId w:val="2"/>
        </w:numPr>
        <w:spacing w:after="60" w:before="60"/>
      </w:pPr>
      <w:r>
        <w:rPr>
          <w:rFonts w:ascii="Arial" w:cs="Arial" w:eastAsia="Arial" w:hAnsi="Arial"/>
          <w:color w:val="2C3E50"/>
          <w:sz w:val="22"/>
          <w:szCs w:val="22"/>
        </w:rPr>
        <w:t xml:space="preserve">Users must be able to opt out without losing core platform functionality</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4.3 Criminal Record / DBS Data (CRITICAL ADDITION)</w:t>
      </w:r>
    </w:p>
    <w:p>
      <w:pPr>
        <w:spacing w:after="80" w:before="80"/>
      </w:pPr>
      <w:r>
        <w:rPr>
          <w:rFonts w:ascii="Arial" w:cs="Arial" w:eastAsia="Arial" w:hAnsi="Arial"/>
          <w:color w:val="2C3E50"/>
          <w:sz w:val="22"/>
          <w:szCs w:val="22"/>
        </w:rPr>
        <w:t xml:space="preserve">This section is the most important and most likely to be missing from a template Privacy Policy. The platform initiates DBS checks (basic, standard, enhanced) on contractors via DBSCheckService. Under UK GDPR:</w:t>
      </w:r>
    </w:p>
    <w:p>
      <w:pPr>
        <w:pStyle w:val="ListParagraph"/>
        <w:numPr>
          <w:ilvl w:val="0"/>
          <w:numId w:val="2"/>
        </w:numPr>
        <w:spacing w:after="60" w:before="60"/>
      </w:pPr>
      <w:r>
        <w:rPr>
          <w:rFonts w:ascii="Arial" w:cs="Arial" w:eastAsia="Arial" w:hAnsi="Arial"/>
          <w:color w:val="2C3E50"/>
          <w:sz w:val="22"/>
          <w:szCs w:val="22"/>
        </w:rPr>
        <w:t xml:space="preserve">Criminal conviction data requires an explicit lawful basis under Schedule 1 DPA 2018</w:t>
      </w:r>
    </w:p>
    <w:p>
      <w:pPr>
        <w:pStyle w:val="ListParagraph"/>
        <w:numPr>
          <w:ilvl w:val="0"/>
          <w:numId w:val="2"/>
        </w:numPr>
        <w:spacing w:after="60" w:before="60"/>
      </w:pPr>
      <w:r>
        <w:rPr>
          <w:rFonts w:ascii="Arial" w:cs="Arial" w:eastAsia="Arial" w:hAnsi="Arial"/>
          <w:color w:val="2C3E50"/>
          <w:sz w:val="22"/>
          <w:szCs w:val="22"/>
        </w:rPr>
        <w:t xml:space="preserve">Most appropriate basis: substantial public interest (safeguarding) or employment purposes</w:t>
      </w:r>
    </w:p>
    <w:p>
      <w:pPr>
        <w:pStyle w:val="ListParagraph"/>
        <w:numPr>
          <w:ilvl w:val="0"/>
          <w:numId w:val="2"/>
        </w:numPr>
        <w:spacing w:after="60" w:before="60"/>
      </w:pPr>
      <w:r>
        <w:rPr>
          <w:rFonts w:ascii="Arial" w:cs="Arial" w:eastAsia="Arial" w:hAnsi="Arial"/>
          <w:color w:val="2C3E50"/>
          <w:sz w:val="22"/>
          <w:szCs w:val="22"/>
        </w:rPr>
        <w:t xml:space="preserve">Explicit consent of the contractor must be obtained separately from general T&amp;C acceptance</w:t>
      </w:r>
    </w:p>
    <w:p>
      <w:pPr>
        <w:pStyle w:val="ListParagraph"/>
        <w:numPr>
          <w:ilvl w:val="0"/>
          <w:numId w:val="2"/>
        </w:numPr>
        <w:spacing w:after="60" w:before="60"/>
      </w:pPr>
      <w:r>
        <w:rPr>
          <w:rFonts w:ascii="Arial" w:cs="Arial" w:eastAsia="Arial" w:hAnsi="Arial"/>
          <w:color w:val="2C3E50"/>
          <w:sz w:val="22"/>
          <w:szCs w:val="22"/>
        </w:rPr>
        <w:t xml:space="preserve">A Data Protection Impact Assessment (DPIA) is required before processing criminal data at scale</w:t>
      </w:r>
    </w:p>
    <w:p>
      <w:pPr>
        <w:pStyle w:val="ListParagraph"/>
        <w:numPr>
          <w:ilvl w:val="0"/>
          <w:numId w:val="2"/>
        </w:numPr>
        <w:spacing w:after="60" w:before="60"/>
      </w:pPr>
      <w:r>
        <w:rPr>
          <w:rFonts w:ascii="Arial" w:cs="Arial" w:eastAsia="Arial" w:hAnsi="Arial"/>
          <w:color w:val="2C3E50"/>
          <w:sz w:val="22"/>
          <w:szCs w:val="22"/>
        </w:rPr>
        <w:t xml:space="preserve">The Privacy Policy must name which DBS providers are used (dbs_online, gbgroup, ucheck) and confirm they are registered DBS umbrella bodies or Registered Bodies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4.4 Background Check Providers (US Data Transfer Issue)</w:t>
      </w:r>
    </w:p>
    <w:p>
      <w:pPr>
        <w:spacing w:after="80" w:before="80"/>
      </w:pPr>
      <w:r>
        <w:rPr>
          <w:rFonts w:ascii="Arial" w:cs="Arial" w:eastAsia="Arial" w:hAnsi="Arial"/>
          <w:color w:val="2C3E50"/>
          <w:sz w:val="22"/>
          <w:szCs w:val="22"/>
        </w:rPr>
        <w:t xml:space="preserve">The codebase integrates Checkr, GoodHire, and Sterling as background check providers. All three are US-based companies. Transferring personal data to the US requires:</w:t>
      </w:r>
    </w:p>
    <w:p>
      <w:pPr>
        <w:pStyle w:val="ListParagraph"/>
        <w:numPr>
          <w:ilvl w:val="0"/>
          <w:numId w:val="2"/>
        </w:numPr>
        <w:spacing w:after="60" w:before="60"/>
      </w:pPr>
      <w:r>
        <w:rPr>
          <w:rFonts w:ascii="Arial" w:cs="Arial" w:eastAsia="Arial" w:hAnsi="Arial"/>
          <w:color w:val="2C3E50"/>
          <w:sz w:val="22"/>
          <w:szCs w:val="22"/>
        </w:rPr>
        <w:t xml:space="preserve">Standard Contractual Clauses (SCCs) or UK International Data Transfer Agreements (IDTAs) in place with each provider</w:t>
      </w:r>
    </w:p>
    <w:p>
      <w:pPr>
        <w:pStyle w:val="ListParagraph"/>
        <w:numPr>
          <w:ilvl w:val="0"/>
          <w:numId w:val="2"/>
        </w:numPr>
        <w:spacing w:after="60" w:before="60"/>
      </w:pPr>
      <w:r>
        <w:rPr>
          <w:rFonts w:ascii="Arial" w:cs="Arial" w:eastAsia="Arial" w:hAnsi="Arial"/>
          <w:color w:val="2C3E50"/>
          <w:sz w:val="22"/>
          <w:szCs w:val="22"/>
        </w:rPr>
        <w:t xml:space="preserve">A Transfer Impact Assessment (TIA) confirming the data is adequately protected</w:t>
      </w:r>
    </w:p>
    <w:p>
      <w:pPr>
        <w:pStyle w:val="ListParagraph"/>
        <w:numPr>
          <w:ilvl w:val="0"/>
          <w:numId w:val="2"/>
        </w:numPr>
        <w:spacing w:after="60" w:before="60"/>
      </w:pPr>
      <w:r>
        <w:rPr>
          <w:rFonts w:ascii="Arial" w:cs="Arial" w:eastAsia="Arial" w:hAnsi="Arial"/>
          <w:color w:val="2C3E50"/>
          <w:sz w:val="22"/>
          <w:szCs w:val="22"/>
        </w:rPr>
        <w:t xml:space="preserve">The Privacy Policy must disclose that data may be transferred outside the UK and explain the safeguards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4.5 OpenAI Data Processing</w:t>
      </w:r>
    </w:p>
    <w:p>
      <w:pPr>
        <w:spacing w:after="80" w:before="80"/>
      </w:pPr>
      <w:r>
        <w:rPr>
          <w:rFonts w:ascii="Arial" w:cs="Arial" w:eastAsia="Arial" w:hAnsi="Arial"/>
          <w:color w:val="2C3E50"/>
          <w:sz w:val="22"/>
          <w:szCs w:val="22"/>
        </w:rPr>
        <w:t xml:space="preserve">Job descriptions and search queries are sent to OpenAI via the api/ai/analyze, api/ai/generate-embedding, and api/ai/search routes. The OPENAI_API_KEY is confirmed in the .env configuration. This means user-generated content is processed by OpenAI (a US company). Required steps:</w:t>
      </w:r>
    </w:p>
    <w:p>
      <w:pPr>
        <w:pStyle w:val="ListParagraph"/>
        <w:numPr>
          <w:ilvl w:val="0"/>
          <w:numId w:val="2"/>
        </w:numPr>
        <w:spacing w:after="60" w:before="60"/>
      </w:pPr>
      <w:r>
        <w:rPr>
          <w:rFonts w:ascii="Arial" w:cs="Arial" w:eastAsia="Arial" w:hAnsi="Arial"/>
          <w:color w:val="2C3E50"/>
          <w:sz w:val="22"/>
          <w:szCs w:val="22"/>
        </w:rPr>
        <w:t xml:space="preserve">Sign OpenAI's Data Processing Addendum (DPA) — available free at platform.openai.com. This is a 10-minute task and costs nothing.</w:t>
      </w:r>
    </w:p>
    <w:p>
      <w:pPr>
        <w:pStyle w:val="ListParagraph"/>
        <w:numPr>
          <w:ilvl w:val="0"/>
          <w:numId w:val="2"/>
        </w:numPr>
        <w:spacing w:after="60" w:before="60"/>
      </w:pPr>
      <w:r>
        <w:rPr>
          <w:rFonts w:ascii="Arial" w:cs="Arial" w:eastAsia="Arial" w:hAnsi="Arial"/>
          <w:color w:val="2C3E50"/>
          <w:sz w:val="22"/>
          <w:szCs w:val="22"/>
        </w:rPr>
        <w:t xml:space="preserve">Confirm whether OpenAI uses API data for model training (current policy: it does not by default with the API, but this should be confirmed in the DPA)</w:t>
      </w:r>
    </w:p>
    <w:p>
      <w:pPr>
        <w:pStyle w:val="ListParagraph"/>
        <w:numPr>
          <w:ilvl w:val="0"/>
          <w:numId w:val="2"/>
        </w:numPr>
        <w:spacing w:after="60" w:before="60"/>
      </w:pPr>
      <w:r>
        <w:rPr>
          <w:rFonts w:ascii="Arial" w:cs="Arial" w:eastAsia="Arial" w:hAnsi="Arial"/>
          <w:color w:val="2C3E50"/>
          <w:sz w:val="22"/>
          <w:szCs w:val="22"/>
        </w:rPr>
        <w:t xml:space="preserve">Disclose in the Privacy Policy that job content may be processed by AI systems including OpenAI</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4.6 Sub-Processors to List</w:t>
      </w:r>
    </w:p>
    <w:p>
      <w:pPr>
        <w:spacing w:after="80" w:before="80"/>
      </w:pPr>
      <w:r>
        <w:rPr>
          <w:rFonts w:ascii="Arial" w:cs="Arial" w:eastAsia="Arial" w:hAnsi="Arial"/>
          <w:color w:val="2C3E50"/>
          <w:sz w:val="22"/>
          <w:szCs w:val="22"/>
        </w:rPr>
        <w:t xml:space="preserve">The Privacy Policy must list all sub-processors. Based on the codebase, these include:</w:t>
      </w:r>
    </w:p>
    <w:p>
      <w:pPr>
        <w:pStyle w:val="ListParagraph"/>
        <w:numPr>
          <w:ilvl w:val="0"/>
          <w:numId w:val="2"/>
        </w:numPr>
        <w:spacing w:after="60" w:before="60"/>
      </w:pPr>
      <w:r>
        <w:rPr>
          <w:rFonts w:ascii="Arial" w:cs="Arial" w:eastAsia="Arial" w:hAnsi="Arial"/>
          <w:color w:val="2C3E50"/>
          <w:sz w:val="22"/>
          <w:szCs w:val="22"/>
        </w:rPr>
        <w:t xml:space="preserve">Stripe — payment processing and contractor payout accounts (UK-registered, FCA-authorised)</w:t>
      </w:r>
    </w:p>
    <w:p>
      <w:pPr>
        <w:pStyle w:val="ListParagraph"/>
        <w:numPr>
          <w:ilvl w:val="0"/>
          <w:numId w:val="2"/>
        </w:numPr>
        <w:spacing w:after="60" w:before="60"/>
      </w:pPr>
      <w:r>
        <w:rPr>
          <w:rFonts w:ascii="Arial" w:cs="Arial" w:eastAsia="Arial" w:hAnsi="Arial"/>
          <w:color w:val="2C3E50"/>
          <w:sz w:val="22"/>
          <w:szCs w:val="22"/>
        </w:rPr>
        <w:t xml:space="preserve">Supabase — database and file storage hosting (has GDPR-compliant DPA available)</w:t>
      </w:r>
    </w:p>
    <w:p>
      <w:pPr>
        <w:pStyle w:val="ListParagraph"/>
        <w:numPr>
          <w:ilvl w:val="0"/>
          <w:numId w:val="2"/>
        </w:numPr>
        <w:spacing w:after="60" w:before="60"/>
      </w:pPr>
      <w:r>
        <w:rPr>
          <w:rFonts w:ascii="Arial" w:cs="Arial" w:eastAsia="Arial" w:hAnsi="Arial"/>
          <w:color w:val="2C3E50"/>
          <w:sz w:val="22"/>
          <w:szCs w:val="22"/>
        </w:rPr>
        <w:t xml:space="preserve">OpenAI — AI analysis and embeddings (US company, DPA required)</w:t>
      </w:r>
    </w:p>
    <w:p>
      <w:pPr>
        <w:pStyle w:val="ListParagraph"/>
        <w:numPr>
          <w:ilvl w:val="0"/>
          <w:numId w:val="2"/>
        </w:numPr>
        <w:spacing w:after="60" w:before="60"/>
      </w:pPr>
      <w:r>
        <w:rPr>
          <w:rFonts w:ascii="Arial" w:cs="Arial" w:eastAsia="Arial" w:hAnsi="Arial"/>
          <w:color w:val="2C3E50"/>
          <w:sz w:val="22"/>
          <w:szCs w:val="22"/>
        </w:rPr>
        <w:t xml:space="preserve">Checkr / GoodHire / Sterling — background checks (US companies, SCCs / IDTAs required)</w:t>
      </w:r>
    </w:p>
    <w:p>
      <w:pPr>
        <w:pStyle w:val="ListParagraph"/>
        <w:numPr>
          <w:ilvl w:val="0"/>
          <w:numId w:val="2"/>
        </w:numPr>
        <w:spacing w:after="60" w:before="60"/>
      </w:pPr>
      <w:r>
        <w:rPr>
          <w:rFonts w:ascii="Arial" w:cs="Arial" w:eastAsia="Arial" w:hAnsi="Arial"/>
          <w:color w:val="2C3E50"/>
          <w:sz w:val="22"/>
          <w:szCs w:val="22"/>
        </w:rPr>
        <w:t xml:space="preserve">DBS Online / GB Group / uCheck — UK DBS check providers (UK companies)</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Cost</w:t>
      </w:r>
    </w:p>
    <w:p>
      <w:pPr>
        <w:spacing w:after="80" w:before="80"/>
      </w:pPr>
      <w:r>
        <w:rPr>
          <w:rFonts w:ascii="Arial" w:cs="Arial" w:eastAsia="Arial" w:hAnsi="Arial"/>
          <w:color w:val="2C3E50"/>
          <w:sz w:val="22"/>
          <w:szCs w:val="22"/>
        </w:rPr>
        <w:t xml:space="preserve">A solicitor-drafted Privacy Policy covering all of the above: £400–900. Given the DBS and US data transfer elements, a template service will not adequately cover your specific position. The solicitor work is a one-time cost. Budget for £600.</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5. Platform Terms &amp; Conditions — HIGH</w:t>
      </w:r>
    </w:p>
    <w:p>
      <w:pPr>
        <w:pStyle w:val="Heading2"/>
        <w:pBdr>
          <w:bottom w:val="single" w:color="0D7377" w:sz="3" w:space="1"/>
        </w:pBdr>
        <w:spacing w:after="120" w:before="320"/>
      </w:pPr>
      <w:r>
        <w:rPr>
          <w:rFonts w:ascii="Arial" w:cs="Arial" w:eastAsia="Arial" w:hAnsi="Arial"/>
          <w:b/>
          <w:bCs/>
          <w:color w:val="0D7377"/>
          <w:sz w:val="26"/>
          <w:szCs w:val="26"/>
        </w:rPr>
        <w:t xml:space="preserve">What Needs to Be Covered</w:t>
      </w:r>
    </w:p>
    <w:p>
      <w:pPr>
        <w:spacing w:after="80" w:before="80"/>
      </w:pPr>
      <w:r>
        <w:rPr>
          <w:rFonts w:ascii="Arial" w:cs="Arial" w:eastAsia="Arial" w:hAnsi="Arial"/>
          <w:color w:val="2C3E50"/>
          <w:sz w:val="22"/>
          <w:szCs w:val="22"/>
        </w:rPr>
        <w:t xml:space="preserve">The Mintenance T&amp;Cs must be split into three documents to be properly enforceable: General Platform Terms (both user types), Homeowner Specific Terms, and Contractor Specific Terms. Based on the codebase, the following sections are non-negotiable:</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5.1 Escrow Terms (from escrow routes)</w:t>
      </w:r>
    </w:p>
    <w:p>
      <w:pPr>
        <w:pStyle w:val="ListParagraph"/>
        <w:numPr>
          <w:ilvl w:val="0"/>
          <w:numId w:val="2"/>
        </w:numPr>
        <w:spacing w:after="60" w:before="60"/>
      </w:pPr>
      <w:r>
        <w:rPr>
          <w:rFonts w:ascii="Arial" w:cs="Arial" w:eastAsia="Arial" w:hAnsi="Arial"/>
          <w:color w:val="2C3E50"/>
          <w:sz w:val="22"/>
          <w:szCs w:val="22"/>
        </w:rPr>
        <w:t xml:space="preserve">What 'held' means: homeowner's payment is lodged with Stripe; neither party can access it</w:t>
      </w:r>
    </w:p>
    <w:p>
      <w:pPr>
        <w:pStyle w:val="ListParagraph"/>
        <w:numPr>
          <w:ilvl w:val="0"/>
          <w:numId w:val="2"/>
        </w:numPr>
        <w:spacing w:after="60" w:before="60"/>
      </w:pPr>
      <w:r>
        <w:rPr>
          <w:rFonts w:ascii="Arial" w:cs="Arial" w:eastAsia="Arial" w:hAnsi="Arial"/>
          <w:color w:val="2C3E50"/>
          <w:sz w:val="22"/>
          <w:szCs w:val="22"/>
        </w:rPr>
        <w:t xml:space="preserve">Release conditions: homeowner approves via api/escrow/[id]/homeowner/approve, OR 7 days pass without action (cron/escrow-auto-release)</w:t>
      </w:r>
    </w:p>
    <w:p>
      <w:pPr>
        <w:pStyle w:val="ListParagraph"/>
        <w:numPr>
          <w:ilvl w:val="0"/>
          <w:numId w:val="2"/>
        </w:numPr>
        <w:spacing w:after="60" w:before="60"/>
      </w:pPr>
      <w:r>
        <w:rPr>
          <w:rFonts w:ascii="Arial" w:cs="Arial" w:eastAsia="Arial" w:hAnsi="Arial"/>
          <w:color w:val="2C3E50"/>
          <w:sz w:val="22"/>
          <w:szCs w:val="22"/>
        </w:rPr>
        <w:t xml:space="preserve">Rejection conditions: homeowner can reject via api/escrow/[id]/homeowner/reject — what triggers this and what happens next</w:t>
      </w:r>
    </w:p>
    <w:p>
      <w:pPr>
        <w:pStyle w:val="ListParagraph"/>
        <w:numPr>
          <w:ilvl w:val="0"/>
          <w:numId w:val="2"/>
        </w:numPr>
        <w:spacing w:after="60" w:before="60"/>
      </w:pPr>
      <w:r>
        <w:rPr>
          <w:rFonts w:ascii="Arial" w:cs="Arial" w:eastAsia="Arial" w:hAnsi="Arial"/>
          <w:color w:val="2C3E50"/>
          <w:sz w:val="22"/>
          <w:szCs w:val="22"/>
        </w:rPr>
        <w:t xml:space="preserve">Admin review: homeowner or contractor can request admin review via api/escrow/[id]/request-admin-review — must clarify that admin decisions are final (and what 'final' means legally)</w:t>
      </w:r>
    </w:p>
    <w:p>
      <w:pPr>
        <w:pStyle w:val="ListParagraph"/>
        <w:numPr>
          <w:ilvl w:val="0"/>
          <w:numId w:val="2"/>
        </w:numPr>
        <w:spacing w:after="60" w:before="60"/>
      </w:pPr>
      <w:r>
        <w:rPr>
          <w:rFonts w:ascii="Arial" w:cs="Arial" w:eastAsia="Arial" w:hAnsi="Arial"/>
          <w:color w:val="2C3E50"/>
          <w:sz w:val="22"/>
          <w:szCs w:val="22"/>
        </w:rPr>
        <w:t xml:space="preserve">Dispute process: admin/escrow/approve and admin/escrow/reject show admin has override power — the T&amp;Cs must make this explicit and define the criteria admin uses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5.2 Fee Structure (from FeeCalculationService.ts)</w:t>
      </w:r>
    </w:p>
    <w:p>
      <w:pPr>
        <w:pStyle w:val="ListParagraph"/>
        <w:numPr>
          <w:ilvl w:val="0"/>
          <w:numId w:val="2"/>
        </w:numPr>
        <w:spacing w:after="60" w:before="60"/>
      </w:pPr>
      <w:r>
        <w:rPr>
          <w:rFonts w:ascii="Arial" w:cs="Arial" w:eastAsia="Arial" w:hAnsi="Arial"/>
          <w:color w:val="2C3E50"/>
          <w:sz w:val="22"/>
          <w:szCs w:val="22"/>
        </w:rPr>
        <w:t xml:space="preserve">Platform fee: 5% of job value, minimum £0.50, maximum £50.00</w:t>
      </w:r>
    </w:p>
    <w:p>
      <w:pPr>
        <w:pStyle w:val="ListParagraph"/>
        <w:numPr>
          <w:ilvl w:val="0"/>
          <w:numId w:val="2"/>
        </w:numPr>
        <w:spacing w:after="60" w:before="60"/>
      </w:pPr>
      <w:r>
        <w:rPr>
          <w:rFonts w:ascii="Arial" w:cs="Arial" w:eastAsia="Arial" w:hAnsi="Arial"/>
          <w:color w:val="2C3E50"/>
          <w:sz w:val="22"/>
          <w:szCs w:val="22"/>
        </w:rPr>
        <w:t xml:space="preserve">This fee is deducted from the contractor's payout on escrow release — must be stated clearly</w:t>
      </w:r>
    </w:p>
    <w:p>
      <w:pPr>
        <w:pStyle w:val="ListParagraph"/>
        <w:numPr>
          <w:ilvl w:val="0"/>
          <w:numId w:val="2"/>
        </w:numPr>
        <w:spacing w:after="60" w:before="60"/>
      </w:pPr>
      <w:r>
        <w:rPr>
          <w:rFonts w:ascii="Arial" w:cs="Arial" w:eastAsia="Arial" w:hAnsi="Arial"/>
          <w:color w:val="2C3E50"/>
          <w:sz w:val="22"/>
          <w:szCs w:val="22"/>
        </w:rPr>
        <w:t xml:space="preserve">Stripe processing fee (1.5% + £0.20 UK rate) is a separate cost — clarify who bears it</w:t>
      </w:r>
    </w:p>
    <w:p>
      <w:pPr>
        <w:pStyle w:val="ListParagraph"/>
        <w:numPr>
          <w:ilvl w:val="0"/>
          <w:numId w:val="2"/>
        </w:numPr>
        <w:spacing w:after="60" w:before="60"/>
      </w:pPr>
      <w:r>
        <w:rPr>
          <w:rFonts w:ascii="Arial" w:cs="Arial" w:eastAsia="Arial" w:hAnsi="Arial"/>
          <w:color w:val="2C3E50"/>
          <w:sz w:val="22"/>
          <w:szCs w:val="22"/>
        </w:rPr>
        <w:t xml:space="preserve">Subscription tiers (api/subscriptions/create, plans, cancel routes exist) — if these are going live, the subscription terms must be included</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5.3 Contractor Obligations</w:t>
      </w:r>
    </w:p>
    <w:p>
      <w:pPr>
        <w:pStyle w:val="ListParagraph"/>
        <w:numPr>
          <w:ilvl w:val="0"/>
          <w:numId w:val="2"/>
        </w:numPr>
        <w:spacing w:after="60" w:before="60"/>
      </w:pPr>
      <w:r>
        <w:rPr>
          <w:rFonts w:ascii="Arial" w:cs="Arial" w:eastAsia="Arial" w:hAnsi="Arial"/>
          <w:color w:val="2C3E50"/>
          <w:sz w:val="22"/>
          <w:szCs w:val="22"/>
        </w:rPr>
        <w:t xml:space="preserve">Must hold valid Public Liability Insurance (minimum £1M — specify this clearly)</w:t>
      </w:r>
    </w:p>
    <w:p>
      <w:pPr>
        <w:pStyle w:val="ListParagraph"/>
        <w:numPr>
          <w:ilvl w:val="0"/>
          <w:numId w:val="2"/>
        </w:numPr>
        <w:spacing w:after="60" w:before="60"/>
      </w:pPr>
      <w:r>
        <w:rPr>
          <w:rFonts w:ascii="Arial" w:cs="Arial" w:eastAsia="Arial" w:hAnsi="Arial"/>
          <w:color w:val="2C3E50"/>
          <w:sz w:val="22"/>
          <w:szCs w:val="22"/>
        </w:rPr>
        <w:t xml:space="preserve">Must not misrepresent qualifications or certifications (contractor/certifications route)</w:t>
      </w:r>
    </w:p>
    <w:p>
      <w:pPr>
        <w:pStyle w:val="ListParagraph"/>
        <w:numPr>
          <w:ilvl w:val="0"/>
          <w:numId w:val="2"/>
        </w:numPr>
        <w:spacing w:after="60" w:before="60"/>
      </w:pPr>
      <w:r>
        <w:rPr>
          <w:rFonts w:ascii="Arial" w:cs="Arial" w:eastAsia="Arial" w:hAnsi="Arial"/>
          <w:color w:val="2C3E50"/>
          <w:sz w:val="22"/>
          <w:szCs w:val="22"/>
        </w:rPr>
        <w:t xml:space="preserve">Must have valid DBS check if working in domestic properties (or the platform should make this optional and clearly state it is not verified at launch)</w:t>
      </w:r>
    </w:p>
    <w:p>
      <w:pPr>
        <w:pStyle w:val="ListParagraph"/>
        <w:numPr>
          <w:ilvl w:val="0"/>
          <w:numId w:val="2"/>
        </w:numPr>
        <w:spacing w:after="60" w:before="60"/>
      </w:pPr>
      <w:r>
        <w:rPr>
          <w:rFonts w:ascii="Arial" w:cs="Arial" w:eastAsia="Arial" w:hAnsi="Arial"/>
          <w:color w:val="2C3E50"/>
          <w:sz w:val="22"/>
          <w:szCs w:val="22"/>
        </w:rPr>
        <w:t xml:space="preserve">Photo quality requirements for job start and completion (photo verification service)</w:t>
      </w:r>
    </w:p>
    <w:p>
      <w:pPr>
        <w:pStyle w:val="ListParagraph"/>
        <w:numPr>
          <w:ilvl w:val="0"/>
          <w:numId w:val="2"/>
        </w:numPr>
        <w:spacing w:after="60" w:before="60"/>
      </w:pPr>
      <w:r>
        <w:rPr>
          <w:rFonts w:ascii="Arial" w:cs="Arial" w:eastAsia="Arial" w:hAnsi="Arial"/>
          <w:color w:val="2C3E50"/>
          <w:sz w:val="22"/>
          <w:szCs w:val="22"/>
        </w:rPr>
        <w:t xml:space="preserve">7-day auto-release: if the homeowner does not respond, funds release automatically — this must be in T&amp;Cs for contractor protection</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5.4 Homeowner Obligations</w:t>
      </w:r>
    </w:p>
    <w:p>
      <w:pPr>
        <w:pStyle w:val="ListParagraph"/>
        <w:numPr>
          <w:ilvl w:val="0"/>
          <w:numId w:val="2"/>
        </w:numPr>
        <w:spacing w:after="60" w:before="60"/>
      </w:pPr>
      <w:r>
        <w:rPr>
          <w:rFonts w:ascii="Arial" w:cs="Arial" w:eastAsia="Arial" w:hAnsi="Arial"/>
          <w:color w:val="2C3E50"/>
          <w:sz w:val="22"/>
          <w:szCs w:val="22"/>
        </w:rPr>
        <w:t xml:space="preserve">Providing accurate job descriptions (AI analysis flags this — api/ai/analyze route)</w:t>
      </w:r>
    </w:p>
    <w:p>
      <w:pPr>
        <w:pStyle w:val="ListParagraph"/>
        <w:numPr>
          <w:ilvl w:val="0"/>
          <w:numId w:val="2"/>
        </w:numPr>
        <w:spacing w:after="60" w:before="60"/>
      </w:pPr>
      <w:r>
        <w:rPr>
          <w:rFonts w:ascii="Arial" w:cs="Arial" w:eastAsia="Arial" w:hAnsi="Arial"/>
          <w:color w:val="2C3E50"/>
          <w:sz w:val="22"/>
          <w:szCs w:val="22"/>
        </w:rPr>
        <w:t xml:space="preserve">Must approve or reject within 7 days — consequences of inaction (auto-release)</w:t>
      </w:r>
    </w:p>
    <w:p>
      <w:pPr>
        <w:pStyle w:val="ListParagraph"/>
        <w:numPr>
          <w:ilvl w:val="0"/>
          <w:numId w:val="2"/>
        </w:numPr>
        <w:spacing w:after="60" w:before="60"/>
      </w:pPr>
      <w:r>
        <w:rPr>
          <w:rFonts w:ascii="Arial" w:cs="Arial" w:eastAsia="Arial" w:hAnsi="Arial"/>
          <w:color w:val="2C3E50"/>
          <w:sz w:val="22"/>
          <w:szCs w:val="22"/>
        </w:rPr>
        <w:t xml:space="preserve">Platform is not liable for quality of contractor work — Mintenance is an introducer, not an employer of contractors</w:t>
      </w:r>
    </w:p>
    <w:p>
      <w:pPr>
        <w:pStyle w:val="ListParagraph"/>
        <w:numPr>
          <w:ilvl w:val="0"/>
          <w:numId w:val="2"/>
        </w:numPr>
        <w:spacing w:after="60" w:before="60"/>
      </w:pPr>
      <w:r>
        <w:rPr>
          <w:rFonts w:ascii="Arial" w:cs="Arial" w:eastAsia="Arial" w:hAnsi="Arial"/>
          <w:color w:val="2C3E50"/>
          <w:sz w:val="22"/>
          <w:szCs w:val="22"/>
        </w:rPr>
        <w:t xml:space="preserve">Dispute process and timeframes</w:t>
      </w:r>
    </w:p>
    <w:p>
      <w:pPr>
        <w:spacing w:after="60" w:before="60"/>
      </w:pPr>
      <w:r>
        <w:t xml:space="preserve"/>
      </w:r>
    </w:p>
    <w:p>
      <w:pPr>
        <w:pStyle w:val="Heading3"/>
        <w:spacing w:after="80" w:before="200"/>
      </w:pPr>
      <w:r>
        <w:rPr>
          <w:rFonts w:ascii="Arial" w:cs="Arial" w:eastAsia="Arial" w:hAnsi="Arial"/>
          <w:b/>
          <w:bCs/>
          <w:color w:val="2C3E50"/>
          <w:sz w:val="24"/>
          <w:szCs w:val="24"/>
        </w:rPr>
        <w:t xml:space="preserve">5.5 Liability Limitation</w:t>
      </w:r>
    </w:p>
    <w:p>
      <w:pPr>
        <w:spacing w:after="80" w:before="80"/>
      </w:pPr>
      <w:r>
        <w:rPr>
          <w:rFonts w:ascii="Arial" w:cs="Arial" w:eastAsia="Arial" w:hAnsi="Arial"/>
          <w:color w:val="2C3E50"/>
          <w:sz w:val="22"/>
          <w:szCs w:val="22"/>
        </w:rPr>
        <w:t xml:space="preserve">Critical: Mintenance must limit its liability to the value of the disputed transaction. Without this clause, a contractor who believes they were wrongly denied payment could sue for consequential losses (lost profits, reputational damage, etc.). This is standard marketplace practice but must be drafted by a solicitor to be enforceable.</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Cost</w:t>
      </w:r>
    </w:p>
    <w:p>
      <w:pPr>
        <w:spacing w:after="80" w:before="80"/>
      </w:pPr>
      <w:r>
        <w:rPr>
          <w:rFonts w:ascii="Arial" w:cs="Arial" w:eastAsia="Arial" w:hAnsi="Arial"/>
          <w:color w:val="2C3E50"/>
          <w:sz w:val="22"/>
          <w:szCs w:val="22"/>
        </w:rPr>
        <w:t xml:space="preserve">Three documents (General Terms, Homeowner Terms, Contractor Terms): £600–1,200 via a UK marketplace/tech solicitor. This is lower if you use the codebase breakdown above as a brief — it dramatically reduces the solicitor's research time.</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6. Data Processing Agreements (DPAs) — HIGH</w:t>
      </w:r>
    </w:p>
    <w:p>
      <w:pPr>
        <w:spacing w:after="80" w:before="80"/>
      </w:pPr>
      <w:r>
        <w:rPr>
          <w:rFonts w:ascii="Arial" w:cs="Arial" w:eastAsia="Arial" w:hAnsi="Arial"/>
          <w:color w:val="2C3E50"/>
          <w:sz w:val="22"/>
          <w:szCs w:val="22"/>
        </w:rPr>
        <w:t xml:space="preserve">Under UK GDPR Article 28, a controller (Mintenance) must have a written contract with every processor. All the services listed below process personal data on behalf of Mintenance.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800"/>
        <w:gridCol w:w="2226"/>
      </w:tblGrid>
      <w:tr>
        <w:tc>
          <w:tcPr>
            <w:tcW w:type="dxa" w:w="260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Processor</w:t>
            </w:r>
          </w:p>
        </w:tc>
        <w:tc>
          <w:tcPr>
            <w:tcW w:type="dxa" w:w="120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UK/US</w:t>
            </w:r>
          </w:p>
        </w:tc>
        <w:tc>
          <w:tcPr>
            <w:tcW w:type="dxa" w:w="120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DPA Available?</w:t>
            </w:r>
          </w:p>
        </w:tc>
        <w:tc>
          <w:tcPr>
            <w:tcW w:type="dxa" w:w="1800"/>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Where to Get It</w:t>
            </w:r>
          </w:p>
        </w:tc>
        <w:tc>
          <w:tcPr>
            <w:tcW w:type="dxa" w:w="2226"/>
            <w:tcBorders>
              <w:top w:val="single" w:color="CCCCCC" w:sz="1"/>
              <w:left w:val="single" w:color="CCCCCC" w:sz="1"/>
              <w:bottom w:val="single" w:color="CCCCCC" w:sz="1"/>
              <w:right w:val="single" w:color="CCCCCC" w:sz="1"/>
            </w:tcBorders>
            <w:shd w:fill="0D7377" w:val="clear"/>
            <w:tcMar>
              <w:top w:type="dxa" w:w="80"/>
              <w:left w:type="dxa" w:w="110"/>
              <w:bottom w:type="dxa" w:w="80"/>
              <w:right w:type="dxa" w:w="110"/>
            </w:tcMar>
          </w:tcPr>
          <w:p>
            <w:r>
              <w:rPr>
                <w:rFonts w:ascii="Arial" w:cs="Arial" w:eastAsia="Arial" w:hAnsi="Arial"/>
                <w:b/>
                <w:bCs/>
                <w:color w:val="FFFFFF"/>
                <w:sz w:val="21"/>
                <w:szCs w:val="21"/>
              </w:rPr>
              <w:t xml:space="preserve">Action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Stripe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UK (FCA authorised)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Stripe Data Processing Agreement at stripe.com/legal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Accept via Stripe Dashboard — 5 min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Supabase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US (but DPA available)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supabase.com/privacy (DPA linked)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Request / accept via Supabase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OpenAI</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platform.openai.com/privacy (DPA)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Accept via OpenAI dashboard — FREE, 10 mins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Checkr (background checks)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 (but needs SCCs)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Checkr.com enterprise DPA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Requires Standard Contractual Clauses + Transfer Impact Assessment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Sterling (background checks)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 (needs SCCs)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sterlingcheck.com legal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Same as Checkr — SCC/IDTA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GoodHire (background checks)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 (needs SCCs)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goodhire.com/legal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Same as Checkr — SCC/IDTA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uCheck (DBS)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ucheck.co.uk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Simple DPA — UK company, no transfer issues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GB Group (DBS/ID verification)</w:t>
            </w:r>
          </w:p>
        </w:tc>
        <w:tc>
          <w:tcPr>
            <w:tcW w:type="dxa" w:w="12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UK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Yes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10"/>
              <w:bottom w:type="dxa" w:w="80"/>
              <w:right w:type="dxa" w:w="110"/>
            </w:tcMar>
          </w:tcPr>
          <w:p>
            <w:r>
              <w:rPr>
                <w:rFonts w:ascii="Arial" w:cs="Arial" w:eastAsia="Arial" w:hAnsi="Arial"/>
                <w:b w:val="false"/>
                <w:bCs w:val="false"/>
                <w:color w:val="2C3E50"/>
                <w:sz w:val="20"/>
                <w:szCs w:val="20"/>
              </w:rPr>
              <w:t xml:space="preserve">gbgplc.com/legal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20"/>
                <w:szCs w:val="20"/>
              </w:rPr>
              <w:t xml:space="preserve">UK company — standard DPA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40"/>
              <w:left w:type="dxa" w:w="240"/>
              <w:bottom w:type="dxa" w:w="140"/>
              <w:right w:type="dxa" w:w="240"/>
            </w:tcMar>
          </w:tcPr>
          <w:p>
            <w:r>
              <w:rPr>
                <w:rFonts w:ascii="Arial" w:cs="Arial" w:eastAsia="Arial" w:hAnsi="Arial"/>
                <w:i/>
                <w:iCs/>
                <w:color w:val="E65100"/>
                <w:sz w:val="22"/>
                <w:szCs w:val="22"/>
              </w:rPr>
              <w:t xml:space="preserve">The US background check providers (Checkr, GoodHire, Sterling) are the most complex. Each requires Standard Contractual Clauses (SCCs) or UK IDTAs. A UK solicitor can provide template SCCs for ~£200. Alternatively, consider using only UK-based providers at launch (uCheck, GB Group, Access) to avoid the international transfer overhead entirely.</w:t>
            </w:r>
          </w:p>
        </w:tc>
      </w:tr>
    </w:tbl>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7. Insurance — HIGH</w:t>
      </w:r>
    </w:p>
    <w:p>
      <w:pPr>
        <w:pStyle w:val="Heading2"/>
        <w:pBdr>
          <w:bottom w:val="single" w:color="0D7377" w:sz="3" w:space="1"/>
        </w:pBdr>
        <w:spacing w:after="120" w:before="320"/>
      </w:pPr>
      <w:r>
        <w:rPr>
          <w:rFonts w:ascii="Arial" w:cs="Arial" w:eastAsia="Arial" w:hAnsi="Arial"/>
          <w:b/>
          <w:bCs/>
          <w:color w:val="0D7377"/>
          <w:sz w:val="26"/>
          <w:szCs w:val="26"/>
        </w:rPr>
        <w:t xml:space="preserve">7.1 Cyber Liability Insurance — Most Critical Policy</w:t>
      </w:r>
    </w:p>
    <w:p>
      <w:pPr>
        <w:spacing w:after="80" w:before="80"/>
      </w:pPr>
      <w:r>
        <w:rPr>
          <w:rFonts w:ascii="Arial" w:cs="Arial" w:eastAsia="Arial" w:hAnsi="Arial"/>
          <w:color w:val="2C3E50"/>
          <w:sz w:val="22"/>
          <w:szCs w:val="22"/>
        </w:rPr>
        <w:t xml:space="preserve">Mintenance holds payment card data (via Stripe), geolocation of residential properties, and DBS / criminal record data on contractors. A cyber incident affecting any of these would trigger ICO reporting obligations (within 72 hours), potential fines, and user notification costs. Cyber insurance covers:</w:t>
      </w:r>
    </w:p>
    <w:p>
      <w:pPr>
        <w:pStyle w:val="ListParagraph"/>
        <w:numPr>
          <w:ilvl w:val="0"/>
          <w:numId w:val="2"/>
        </w:numPr>
        <w:spacing w:after="60" w:before="60"/>
      </w:pPr>
      <w:r>
        <w:rPr>
          <w:rFonts w:ascii="Arial" w:cs="Arial" w:eastAsia="Arial" w:hAnsi="Arial"/>
          <w:color w:val="2C3E50"/>
          <w:sz w:val="22"/>
          <w:szCs w:val="22"/>
        </w:rPr>
        <w:t xml:space="preserve">Incident response costs (forensic investigation, legal notification)</w:t>
      </w:r>
    </w:p>
    <w:p>
      <w:pPr>
        <w:pStyle w:val="ListParagraph"/>
        <w:numPr>
          <w:ilvl w:val="0"/>
          <w:numId w:val="2"/>
        </w:numPr>
        <w:spacing w:after="60" w:before="60"/>
      </w:pPr>
      <w:r>
        <w:rPr>
          <w:rFonts w:ascii="Arial" w:cs="Arial" w:eastAsia="Arial" w:hAnsi="Arial"/>
          <w:color w:val="2C3E50"/>
          <w:sz w:val="22"/>
          <w:szCs w:val="22"/>
        </w:rPr>
        <w:t xml:space="preserve">ICO fine coverage (up to the policy limit — note GDPR fines can be up to £17.5M or 4% of turnover)</w:t>
      </w:r>
    </w:p>
    <w:p>
      <w:pPr>
        <w:pStyle w:val="ListParagraph"/>
        <w:numPr>
          <w:ilvl w:val="0"/>
          <w:numId w:val="2"/>
        </w:numPr>
        <w:spacing w:after="60" w:before="60"/>
      </w:pPr>
      <w:r>
        <w:rPr>
          <w:rFonts w:ascii="Arial" w:cs="Arial" w:eastAsia="Arial" w:hAnsi="Arial"/>
          <w:color w:val="2C3E50"/>
          <w:sz w:val="22"/>
          <w:szCs w:val="22"/>
        </w:rPr>
        <w:t xml:space="preserve">Third-party claims if a breach causes financial loss to users</w:t>
      </w:r>
    </w:p>
    <w:p>
      <w:pPr>
        <w:pStyle w:val="ListParagraph"/>
        <w:numPr>
          <w:ilvl w:val="0"/>
          <w:numId w:val="2"/>
        </w:numPr>
        <w:spacing w:after="60" w:before="60"/>
      </w:pPr>
      <w:r>
        <w:rPr>
          <w:rFonts w:ascii="Arial" w:cs="Arial" w:eastAsia="Arial" w:hAnsi="Arial"/>
          <w:color w:val="2C3E50"/>
          <w:sz w:val="22"/>
          <w:szCs w:val="22"/>
        </w:rPr>
        <w:t xml:space="preserve">Reputational PR costs</w:t>
      </w:r>
    </w:p>
    <w:p>
      <w:pPr>
        <w:spacing w:after="60" w:before="60"/>
      </w:pPr>
      <w:r>
        <w:t xml:space="preserve"/>
      </w:r>
    </w:p>
    <w:p>
      <w:pPr>
        <w:spacing w:after="80" w:before="80"/>
      </w:pPr>
      <w:r>
        <w:rPr>
          <w:rFonts w:ascii="Arial" w:cs="Arial" w:eastAsia="Arial" w:hAnsi="Arial"/>
          <w:color w:val="2C3E50"/>
          <w:sz w:val="22"/>
          <w:szCs w:val="22"/>
        </w:rPr>
        <w:t xml:space="preserve">Recommended providers for UK startups: Hiscox, AXA XL, CFC Underwriting, Aviva.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Estimated annual premium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£300–600/year at bootstrap scale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Coverage limit to seek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£500,000–£1,000,000 for early stage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Key trigger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DBS / criminal data + payment card data stored via Stripe makes this HIGH priority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When to buy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Before first real user signs up and certainly before first payment is processed</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7.2 Professional Indemnity Insurance</w:t>
      </w:r>
    </w:p>
    <w:p>
      <w:pPr>
        <w:spacing w:after="80" w:before="80"/>
      </w:pPr>
      <w:r>
        <w:rPr>
          <w:rFonts w:ascii="Arial" w:cs="Arial" w:eastAsia="Arial" w:hAnsi="Arial"/>
          <w:color w:val="2C3E50"/>
          <w:sz w:val="22"/>
          <w:szCs w:val="22"/>
        </w:rPr>
        <w:t xml:space="preserve">The admin routes for escrow approval, rejection, and mediation (admin/escrow/approve, admin/escrow/reject, disputes/[id]/mediation) mean Mintenance staff make quasi-judicial decisions about who gets paid. If a contractor believes an admin made the wrong call and lost them £2,000, they could bring a claim. Professional Indemnity covers legal defence costs and damages for claims arising from professional decisions.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Estimated annual premium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£200–500/year at early stage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Coverage limit to seek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£250,000 minimum for early stage</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Key trigger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Admin escrow mediation role is a professional service — dispute about a £5K job could lead to a PI claim</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When to buy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Before accepting first payment / before admin mediation is activated</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7.3 Directors &amp; Officers (D&amp;O) Insurance</w:t>
      </w:r>
    </w:p>
    <w:p>
      <w:pPr>
        <w:spacing w:after="80" w:before="80"/>
      </w:pPr>
      <w:r>
        <w:rPr>
          <w:rFonts w:ascii="Arial" w:cs="Arial" w:eastAsia="Arial" w:hAnsi="Arial"/>
          <w:color w:val="2C3E50"/>
          <w:sz w:val="22"/>
          <w:szCs w:val="22"/>
        </w:rPr>
        <w:t xml:space="preserve">Once you register as Mintenance Ltd, Gloire and Liam become company directors. D&amp;O insurance protects directors personally against claims brought against them in their director capacity (e.g., wrongful trading, breach of duty). Low risk at this stage but worth noting.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Estimated annual premium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£150–400/year</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Priority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LOW at bootstrap stage — revisit when the company has employees or significant assets</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7.4 What Mintenance Should NOT Insure</w:t>
      </w:r>
    </w:p>
    <w:p>
      <w:pPr>
        <w:spacing w:after="80" w:before="80"/>
      </w:pPr>
      <w:r>
        <w:rPr>
          <w:rFonts w:ascii="Arial" w:cs="Arial" w:eastAsia="Arial" w:hAnsi="Arial"/>
          <w:color w:val="2C3E50"/>
          <w:sz w:val="22"/>
          <w:szCs w:val="22"/>
        </w:rPr>
        <w:t xml:space="preserve">The platform should NOT take out Public Liability Insurance on behalf of contractors — this must be the contractor's own responsibility and must be stated in the T&amp;Cs. If Mintenance inadvertently implies it covers contractor work quality or contractor PL, it creates enormous liability exposure.</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8. Intellectual Property — HIGH</w:t>
      </w:r>
    </w:p>
    <w:p>
      <w:pPr>
        <w:pStyle w:val="Heading2"/>
        <w:pBdr>
          <w:bottom w:val="single" w:color="0D7377" w:sz="3" w:space="1"/>
        </w:pBdr>
        <w:spacing w:after="120" w:before="320"/>
      </w:pPr>
      <w:r>
        <w:rPr>
          <w:rFonts w:ascii="Arial" w:cs="Arial" w:eastAsia="Arial" w:hAnsi="Arial"/>
          <w:b/>
          <w:bCs/>
          <w:color w:val="0D7377"/>
          <w:sz w:val="26"/>
          <w:szCs w:val="26"/>
        </w:rPr>
        <w:t xml:space="preserve">8.1 Trademark Registration</w:t>
      </w:r>
    </w:p>
    <w:p>
      <w:pPr>
        <w:spacing w:after="80" w:before="80"/>
      </w:pPr>
      <w:r>
        <w:rPr>
          <w:rFonts w:ascii="Arial" w:cs="Arial" w:eastAsia="Arial" w:hAnsi="Arial"/>
          <w:color w:val="2C3E50"/>
          <w:sz w:val="22"/>
          <w:szCs w:val="22"/>
        </w:rPr>
        <w:t xml:space="preserve">'Mintenance' should be registered as a UK trademark before marketing spend begins. If the name gains brand recognition without trademark protection, a third party can register it and force a rebrand.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Where to register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UK Intellectual Property Office (UKIPO) at gov.uk/intellectual-property</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Classes to register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Class 35 (advertising/business services marketplace) + Class 42 (software/tech platform) = £220–350 total</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Timeline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4 months for examination; trademark is active immediately on filing for enforcement purposes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Cost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2"/>
                <w:szCs w:val="22"/>
              </w:rPr>
              <w:t xml:space="preserve">£170 first class + £50 each additional class = £220 for 2 classes</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Also register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mintenance.com domain (~£8–12/year) — currently only .co.uk is held</w:t>
            </w:r>
          </w:p>
        </w:tc>
      </w:tr>
      <w:tr>
        <w:tc>
          <w:tcPr>
            <w:tcW w:type="dxa" w:w="3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Logo</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2"/>
                <w:szCs w:val="22"/>
              </w:rPr>
              <w:t xml:space="preserve">Consider registering the Mintenance logo as a figurative mark separately if a distinctive logo is being developed</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8.2 Copyright (Automatic — No Action Needed)</w:t>
      </w:r>
    </w:p>
    <w:p>
      <w:pPr>
        <w:spacing w:after="80" w:before="80"/>
      </w:pPr>
      <w:r>
        <w:rPr>
          <w:rFonts w:ascii="Arial" w:cs="Arial" w:eastAsia="Arial" w:hAnsi="Arial"/>
          <w:color w:val="2C3E50"/>
          <w:sz w:val="22"/>
          <w:szCs w:val="22"/>
        </w:rPr>
        <w:t xml:space="preserve">Under UK law, copyright subsists automatically in original works from the moment of creation. The Mintenance codebase, UI designs, written content, and documentation are all protected by copyright from the moment they were written. No registration is required. Maintain git history as evidence of creation date. Make sure all third-party libraries are used under compatible open-source licences (MIT, Apache 2.0 are fine; GPL can be problematic for commercial SaaS — worth a 30-minute licence audit of the package.json dependencies).</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8.3 Code Ownership</w:t>
      </w:r>
    </w:p>
    <w:p>
      <w:pPr>
        <w:spacing w:after="80" w:before="80"/>
      </w:pPr>
      <w:r>
        <w:rPr>
          <w:rFonts w:ascii="Arial" w:cs="Arial" w:eastAsia="Arial" w:hAnsi="Arial"/>
          <w:color w:val="2C3E50"/>
          <w:sz w:val="22"/>
          <w:szCs w:val="22"/>
        </w:rPr>
        <w:t xml:space="preserve">Because Gloire is building the codebase primarily (with AI assistance), and Liam is not writing code, the Shareholders Agreement should explicitly state that all IP created by either founder in the course of their work for Mintenance Ltd is assigned to and owned by the company. Without this clause, IP created by founders before the company is formally incorporated technically belongs to them personally, not to the company. A solicitor can add a standard IP assignment clause to the Shareholders Agreement for no additional cost.</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9. Contractor Insurance &amp; Compliance Requirements</w:t>
      </w:r>
    </w:p>
    <w:p>
      <w:pPr>
        <w:spacing w:after="80" w:before="80"/>
      </w:pPr>
      <w:r>
        <w:rPr>
          <w:rFonts w:ascii="Arial" w:cs="Arial" w:eastAsia="Arial" w:hAnsi="Arial"/>
          <w:color w:val="2C3E50"/>
          <w:sz w:val="22"/>
          <w:szCs w:val="22"/>
        </w:rPr>
        <w:t xml:space="preserve">Mintenance connects homeowners with contractors who enter private residences. The platform must clearly define what insurance and compliance contractors are required to hold. This protects both homeowners and Mintenance's liability position.</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Required (must state in Contractor T&amp;Cs)</w:t>
      </w:r>
    </w:p>
    <w:p>
      <w:pPr>
        <w:pStyle w:val="ListParagraph"/>
        <w:numPr>
          <w:ilvl w:val="0"/>
          <w:numId w:val="2"/>
        </w:numPr>
        <w:spacing w:after="60" w:before="60"/>
      </w:pPr>
      <w:r>
        <w:rPr>
          <w:rFonts w:ascii="Arial" w:cs="Arial" w:eastAsia="Arial" w:hAnsi="Arial"/>
          <w:color w:val="2C3E50"/>
          <w:sz w:val="22"/>
          <w:szCs w:val="22"/>
        </w:rPr>
        <w:t xml:space="preserve">Public Liability Insurance: minimum £1,000,000 per occurrence. This is standard for any tradesperson entering a residential property. Without it, Mintenance could face liability if a contractor damages property or causes injury.</w:t>
      </w:r>
    </w:p>
    <w:p>
      <w:pPr>
        <w:pStyle w:val="ListParagraph"/>
        <w:numPr>
          <w:ilvl w:val="0"/>
          <w:numId w:val="2"/>
        </w:numPr>
        <w:spacing w:after="60" w:before="60"/>
      </w:pPr>
      <w:r>
        <w:rPr>
          <w:rFonts w:ascii="Arial" w:cs="Arial" w:eastAsia="Arial" w:hAnsi="Arial"/>
          <w:color w:val="2C3E50"/>
          <w:sz w:val="22"/>
          <w:szCs w:val="22"/>
        </w:rPr>
        <w:t xml:space="preserve">For gas engineers: Gas Safe registration (legally required in the UK for all gas work — verify via Gas Safe Register API or manual check).</w:t>
      </w:r>
    </w:p>
    <w:p>
      <w:pPr>
        <w:pStyle w:val="ListParagraph"/>
        <w:numPr>
          <w:ilvl w:val="0"/>
          <w:numId w:val="2"/>
        </w:numPr>
        <w:spacing w:after="60" w:before="60"/>
      </w:pPr>
      <w:r>
        <w:rPr>
          <w:rFonts w:ascii="Arial" w:cs="Arial" w:eastAsia="Arial" w:hAnsi="Arial"/>
          <w:color w:val="2C3E50"/>
          <w:sz w:val="22"/>
          <w:szCs w:val="22"/>
        </w:rPr>
        <w:t xml:space="preserve">For electricians: NICEIC, NAPIT, or Part P registration for domestic electrical work (legally required for notifiable electrical work under Building Regulations).</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Recommended (strongly encourage, log in contractor profile)</w:t>
      </w:r>
    </w:p>
    <w:p>
      <w:pPr>
        <w:pStyle w:val="ListParagraph"/>
        <w:numPr>
          <w:ilvl w:val="0"/>
          <w:numId w:val="2"/>
        </w:numPr>
        <w:spacing w:after="60" w:before="60"/>
      </w:pPr>
      <w:r>
        <w:rPr>
          <w:rFonts w:ascii="Arial" w:cs="Arial" w:eastAsia="Arial" w:hAnsi="Arial"/>
          <w:color w:val="2C3E50"/>
          <w:sz w:val="22"/>
          <w:szCs w:val="22"/>
        </w:rPr>
        <w:t xml:space="preserve">Employers Liability Insurance (if the contractor employs anyone)</w:t>
      </w:r>
    </w:p>
    <w:p>
      <w:pPr>
        <w:pStyle w:val="ListParagraph"/>
        <w:numPr>
          <w:ilvl w:val="0"/>
          <w:numId w:val="2"/>
        </w:numPr>
        <w:spacing w:after="60" w:before="60"/>
      </w:pPr>
      <w:r>
        <w:rPr>
          <w:rFonts w:ascii="Arial" w:cs="Arial" w:eastAsia="Arial" w:hAnsi="Arial"/>
          <w:color w:val="2C3E50"/>
          <w:sz w:val="22"/>
          <w:szCs w:val="22"/>
        </w:rPr>
        <w:t xml:space="preserve">Tool and plant insurance</w:t>
      </w:r>
    </w:p>
    <w:p>
      <w:pPr>
        <w:pStyle w:val="ListParagraph"/>
        <w:numPr>
          <w:ilvl w:val="0"/>
          <w:numId w:val="2"/>
        </w:numPr>
        <w:spacing w:after="60" w:before="60"/>
      </w:pPr>
      <w:r>
        <w:rPr>
          <w:rFonts w:ascii="Arial" w:cs="Arial" w:eastAsia="Arial" w:hAnsi="Arial"/>
          <w:color w:val="2C3E50"/>
          <w:sz w:val="22"/>
          <w:szCs w:val="22"/>
        </w:rPr>
        <w:t xml:space="preserve">Professional Indemnity Insurance for design or advisory work</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Platform Position</w:t>
      </w:r>
    </w:p>
    <w:p>
      <w:pPr>
        <w:spacing w:after="80" w:before="80"/>
      </w:pPr>
      <w:r>
        <w:rPr>
          <w:rFonts w:ascii="Arial" w:cs="Arial" w:eastAsia="Arial" w:hAnsi="Arial"/>
          <w:color w:val="2C3E50"/>
          <w:sz w:val="22"/>
          <w:szCs w:val="22"/>
        </w:rPr>
        <w:t xml:space="preserve">Mintenance should state clearly in the T&amp;Cs that it is an introducer only and does not employ, supervise, or warrant the work of any contractor. The contractor/certifications route in the codebase stores certification data — at launch, the platform should either verify this data or make clear in the UI that certifications are self-declared and not independently verified by Mintenance.</w:t>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10. Total Cost Summary</w:t>
      </w:r>
    </w:p>
    <w:p>
      <w:pPr>
        <w:spacing w:after="80" w:before="80"/>
      </w:pPr>
      <w:r>
        <w:rPr>
          <w:rFonts w:ascii="Arial" w:cs="Arial" w:eastAsia="Arial" w:hAnsi="Arial"/>
          <w:color w:val="2C3E50"/>
          <w:sz w:val="22"/>
          <w:szCs w:val="22"/>
        </w:rPr>
        <w:t xml:space="preserve">The table below shows the full cost of launching Mintenance legally and with appropriate protection, separated into one-off costs and ongoing annual costs.</w:t>
      </w:r>
    </w:p>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One-Off Costs (do before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Low Estimate</w:t>
            </w:r>
          </w:p>
        </w:tc>
        <w:tc>
          <w:tcPr>
            <w:tcW w:type="dxa" w:w="2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High Estimate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Companies House Ltd registration</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£12</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Solicitor (1hr FCA/Stripe Connect confirmation)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Privacy Policy (special category / DBS / US transfers)</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£900</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Platform T&amp;Cs (General + Homeowner + Contractor)</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£1,200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Shareholders Agreement</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UK Trademark — 'Mintenance' (2 classes)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SCCs / IDTAs for US data transfers (US background check providers)</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OpenAI DPA acceptance (zero cost)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mintenance.com domain</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£8</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r>
      <w:tr>
        <w:tc>
          <w:tcPr>
            <w:tcW w:type="dxa" w:w="5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TOTAL ONE-OFF</w:t>
            </w:r>
          </w:p>
        </w:tc>
        <w:tc>
          <w:tcPr>
            <w:tcW w:type="dxa" w:w="2013"/>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£1,490</w:t>
            </w:r>
          </w:p>
        </w:tc>
        <w:tc>
          <w:tcPr>
            <w:tcW w:type="dxa" w:w="2013"/>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£4,024</w:t>
            </w:r>
          </w:p>
        </w:tc>
      </w:tr>
    </w:tbl>
    <w:p>
      <w:pPr>
        <w:spacing w:after="60" w:before="60"/>
      </w:pPr>
      <w:r>
        <w:t xml:space="preserve"/>
      </w:r>
    </w:p>
    <w:p>
      <w:pPr>
        <w:pStyle w:val="Heading2"/>
        <w:pBdr>
          <w:bottom w:val="single" w:color="0D7377" w:sz="3" w:space="1"/>
        </w:pBdr>
        <w:spacing w:after="120" w:before="320"/>
      </w:pPr>
      <w:r>
        <w:rPr>
          <w:rFonts w:ascii="Arial" w:cs="Arial" w:eastAsia="Arial" w:hAnsi="Arial"/>
          <w:b/>
          <w:bCs/>
          <w:color w:val="0D7377"/>
          <w:sz w:val="26"/>
          <w:szCs w:val="26"/>
        </w:rPr>
        <w:t xml:space="preserve">Annual / Recurring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Low</w:t>
            </w:r>
          </w:p>
        </w:tc>
        <w:tc>
          <w:tcPr>
            <w:tcW w:type="dxa" w:w="20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High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ICO registration</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£40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Cyber Liability Insurance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£600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 Indemnity Insurance</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£200</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r>
      <w:tr>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Companies House annual confirmation statement</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renewals (.co.uk + .com)</w:t>
            </w:r>
          </w:p>
        </w:tc>
        <w:tc>
          <w:tcPr>
            <w:tcW w:type="dxa" w:w="20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£14</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50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TOTAL ANNUAL RECURRING</w:t>
            </w:r>
          </w:p>
        </w:tc>
        <w:tc>
          <w:tcPr>
            <w:tcW w:type="dxa" w:w="2013"/>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£567/yr</w:t>
            </w:r>
          </w:p>
        </w:tc>
        <w:tc>
          <w:tcPr>
            <w:tcW w:type="dxa" w:w="2013"/>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r>
              <w:rPr>
                <w:rFonts w:ascii="Arial" w:cs="Arial" w:eastAsia="Arial" w:hAnsi="Arial"/>
                <w:b/>
                <w:bCs/>
                <w:color w:val="0D7377"/>
                <w:sz w:val="22"/>
                <w:szCs w:val="22"/>
              </w:rPr>
              <w:t xml:space="preserve">£1,173/yr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F5" w:val="clear"/>
            <w:tcMar>
              <w:top w:type="dxa" w:w="140"/>
              <w:left w:type="dxa" w:w="240"/>
              <w:bottom w:type="dxa" w:w="140"/>
              <w:right w:type="dxa" w:w="240"/>
            </w:tcMar>
          </w:tcPr>
          <w:p>
            <w:r>
              <w:rPr>
                <w:rFonts w:ascii="Arial" w:cs="Arial" w:eastAsia="Arial" w:hAnsi="Arial"/>
                <w:i/>
                <w:iCs/>
                <w:color w:val="2C3E50"/>
                <w:sz w:val="22"/>
                <w:szCs w:val="22"/>
              </w:rPr>
              <w:t xml:space="preserve">REALISTIC TOTAL TO LAUNCH LEGALLY: £2,000–5,200 one-off + £570–1,170/year. The wide range reflects whether you use template services (lower cost, less tailored) vs a solicitor (higher cost, properly specific to Mintenance). Given the DBS special category data and escrow financial mechanics, the solicitor route is strongly recommended for the Privacy Policy and T&amp;Cs. Budget £3,000 total for the first year of legal compliance.</w:t>
            </w:r>
          </w:p>
        </w:tc>
      </w:tr>
    </w:tbl>
    <w:p>
      <w:pPr>
        <w:spacing w:after="60" w:before="60"/>
      </w:pPr>
      <w:r>
        <w:t xml:space="preserve"/>
      </w:r>
    </w:p>
    <w:p>
      <w:pPr>
        <w:pStyle w:val="Heading1"/>
        <w:pageBreakBefore/>
        <w:pBdr>
          <w:bottom w:val="single" w:color="14A085" w:sz="6" w:space="1"/>
        </w:pBdr>
        <w:shd w:fill="0D7377" w:val="clear"/>
        <w:spacing w:after="240" w:before="0"/>
        <w:ind w:left="180" w:right="180"/>
      </w:pPr>
      <w:r>
        <w:rPr>
          <w:rFonts w:ascii="Arial" w:cs="Arial" w:eastAsia="Arial" w:hAnsi="Arial"/>
          <w:b/>
          <w:bCs/>
          <w:color w:val="FFFFFF"/>
          <w:sz w:val="30"/>
          <w:szCs w:val="30"/>
        </w:rPr>
        <w:t xml:space="preserve">11. Zero-Cost Actions — Do This Week</w:t>
      </w:r>
    </w:p>
    <w:p>
      <w:pPr>
        <w:spacing w:after="80" w:before="80"/>
      </w:pPr>
      <w:r>
        <w:rPr>
          <w:rFonts w:ascii="Arial" w:cs="Arial" w:eastAsia="Arial" w:hAnsi="Arial"/>
          <w:color w:val="2C3E50"/>
          <w:sz w:val="22"/>
          <w:szCs w:val="22"/>
        </w:rPr>
        <w:t xml:space="preserve">Several important compliance steps cost nothing and take under an hour each. These should be completed immediately regardless of budget: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2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Where</w:t>
            </w:r>
          </w:p>
        </w:tc>
        <w:tc>
          <w:tcPr>
            <w:tcW w:type="dxa" w:w="251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 Stripe Data Processing Agreement</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Stripe Dashboard &gt; Settings &gt; Legal</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minutes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Accept OpenAI Data Processing Addendum</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platform.openai.com &gt; Settings &gt; Privacy</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10 minutes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 Supabase DPA</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supabase.com/privacy or Supabase support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minutes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Check mintenance.com domain availability</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GoDaddy, Namecheap, or 123-reg</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5 minutes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'Mintenance' trademark availability at UKIPO</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trademarks.ipo.gov.uk/ipo-tmtext</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minutes</w:t>
            </w:r>
          </w:p>
        </w:tc>
      </w:tr>
      <w:tr>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Enable Stripe test mode checkout to confirm escrow flow before going live</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 Dashboard + your test environment</w:t>
            </w:r>
          </w:p>
        </w:tc>
        <w:tc>
          <w:tcPr>
            <w:tcW w:type="dxa" w:w="2513"/>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30 minutes</w:t>
            </w:r>
          </w:p>
        </w:tc>
      </w:tr>
    </w:tbl>
    <w:p>
      <w:pPr>
        <w:spacing w:after="60" w:before="60"/>
      </w:pPr>
      <w:r>
        <w:t xml:space="preserve"/>
      </w:r>
    </w:p>
    <w:p>
      <w:pPr>
        <w:spacing w:after="120" w:before="480"/>
        <w:jc w:val="center"/>
      </w:pPr>
      <w:r>
        <w:rPr>
          <w:rFonts w:ascii="Arial" w:cs="Arial" w:eastAsia="Arial" w:hAnsi="Arial"/>
          <w:b/>
          <w:bCs/>
          <w:color w:val="0D7377"/>
          <w:sz w:val="24"/>
          <w:szCs w:val="24"/>
        </w:rPr>
        <w:t xml:space="preserve">mintenance.co.uk  •  gloire@mintenance.co.uk</w:t>
      </w:r>
    </w:p>
    <w:p>
      <w:pPr>
        <w:spacing w:after="0" w:before="0"/>
        <w:jc w:val="center"/>
      </w:pPr>
      <w:r>
        <w:rPr>
          <w:rFonts w:ascii="Arial" w:cs="Arial" w:eastAsia="Arial" w:hAnsi="Arial"/>
          <w:i/>
          <w:iCs/>
          <w:color w:val="7F8C8D"/>
          <w:sz w:val="20"/>
          <w:szCs w:val="20"/>
        </w:rPr>
        <w:t xml:space="preserve">Document version 1.0  |  March 2026  |  Confidential  |  Not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3" w:space="1"/>
      </w:pBdr>
      <w:tabs>
        <w:tab w:val="right" w:pos="9026"/>
      </w:tabs>
    </w:pPr>
    <w:r>
      <w:rPr>
        <w:rFonts w:ascii="Arial" w:cs="Arial" w:eastAsia="Arial" w:hAnsi="Arial"/>
        <w:color w:val="7F8C8D"/>
        <w:sz w:val="18"/>
        <w:szCs w:val="18"/>
      </w:rPr>
      <w:t xml:space="preserve">mintenance.co.uk  |  Not legal advice — consult a qualified solicitor before taking action.</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3" w:space="1"/>
      </w:pBdr>
      <w:tabs>
        <w:tab w:val="right" w:pos="9026"/>
      </w:tabs>
    </w:pPr>
    <w:r>
      <w:rPr>
        <w:rFonts w:ascii="Arial" w:cs="Arial" w:eastAsia="Arial" w:hAnsi="Arial"/>
        <w:color w:val="7F8C8D"/>
        <w:sz w:val="18"/>
        <w:szCs w:val="18"/>
      </w:rPr>
      <w:t xml:space="preserve">MINTENANCE  |  Legal, Insurance &amp; IP Register</w:t>
    </w:r>
    <w:r>
      <w:rPr>
        <w:rFonts w:ascii="Arial" w:cs="Arial" w:eastAsia="Arial" w:hAnsi="Arial"/>
        <w:i/>
        <w:iCs/>
        <w:color w:val="7F8C8D"/>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2026-03-24T15:42:26.321Z</dcterms:created>
  <dcterms:modified xsi:type="dcterms:W3CDTF">2026-03-24T15:42:26.322Z</dcterms:modified>
</cp:coreProperties>
</file>

<file path=docProps/custom.xml><?xml version="1.0" encoding="utf-8"?>
<Properties xmlns="http://schemas.openxmlformats.org/officeDocument/2006/custom-properties" xmlns:vt="http://schemas.openxmlformats.org/officeDocument/2006/docPropsVTypes"/>
</file>