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DOCUMENTATION TECHNIQUE DES INDICATEURS</w:t>
      </w:r>
    </w:p>
    <w:p>
      <w:pPr>
        <w:pStyle w:val="Heading1"/>
        <w:jc w:val="center"/>
      </w:pPr>
      <w:r>
        <w:t>Analyse des Données Économiques et Sociales Européennes</w:t>
      </w:r>
    </w:p>
    <w:p/>
    <w:p>
      <w:r>
        <w:rPr>
          <w:b/>
        </w:rPr>
        <w:t>Version: 3.0</w:t>
        <w:br/>
      </w:r>
      <w:r>
        <w:t>Date: 15 Décembre 2024</w:t>
        <w:br/>
      </w:r>
      <w:r>
        <w:t>Auteur: Équipe d'Analyse de Données</w:t>
        <w:br/>
      </w:r>
      <w:r>
        <w:t>Classification: Usage Interne</w:t>
      </w:r>
    </w:p>
    <w:p>
      <w:r>
        <w:br w:type="page"/>
      </w:r>
    </w:p>
    <w:p>
      <w:pPr>
        <w:pStyle w:val="Heading1"/>
      </w:pPr>
      <w:r>
        <w:t>TABLE DES MATIÈRES</w:t>
      </w:r>
    </w:p>
    <w:p>
      <w:r>
        <w:rPr>
          <w:b/>
        </w:rPr>
        <w:t>1. INTRODUCTION</w:t>
      </w:r>
    </w:p>
    <w:p>
      <w:r>
        <w:t xml:space="preserve">   1.1 Contexte de l'Analyse</w:t>
      </w:r>
    </w:p>
    <w:p>
      <w:r>
        <w:t xml:space="preserve">   1.2 Portée du Document</w:t>
      </w:r>
    </w:p>
    <w:p>
      <w:r>
        <w:t xml:space="preserve">   1.3 Sources des Données</w:t>
      </w:r>
    </w:p>
    <w:p>
      <w:r>
        <w:rPr>
          <w:b/>
        </w:rPr>
        <w:t>2. INDICATEURS DE CROISSANCE ANNUELLE</w:t>
      </w:r>
    </w:p>
    <w:p>
      <w:r>
        <w:t xml:space="preserve">   2.1 Taux de Croissance du PIB par Habitant</w:t>
      </w:r>
    </w:p>
    <w:p>
      <w:r>
        <w:t xml:space="preserve">   2.2 Taux de Croissance des Dépenses Culturelles</w:t>
      </w:r>
    </w:p>
    <w:p>
      <w:r>
        <w:t xml:space="preserve">   2.3 Taux de Croissance des Points FIFA</w:t>
      </w:r>
    </w:p>
    <w:p>
      <w:r>
        <w:rPr>
          <w:b/>
        </w:rPr>
        <w:t>3. RATIOS ET PROPORTIONS</w:t>
      </w:r>
    </w:p>
    <w:p>
      <w:r>
        <w:t xml:space="preserve">   3.1 Ratio Dépenses Publiques/Privées</w:t>
      </w:r>
    </w:p>
    <w:p>
      <w:r>
        <w:t xml:space="preserve">   3.2 Ratio Dépenses Culturelles/PIB</w:t>
      </w:r>
    </w:p>
    <w:p>
      <w:r>
        <w:rPr>
          <w:b/>
        </w:rPr>
        <w:t>4. INDICES COMPOSITES</w:t>
      </w:r>
    </w:p>
    <w:p>
      <w:r>
        <w:t xml:space="preserve">   4.1 Indice de Développement Régional (IDR)</w:t>
      </w:r>
    </w:p>
    <w:p>
      <w:r>
        <w:t xml:space="preserve">   4.2 Indice Sport-Culture (ISC)</w:t>
      </w:r>
    </w:p>
    <w:p>
      <w:r>
        <w:t xml:space="preserve">   4.3 Indice de Bien-être Jeunesse (IBJ)</w:t>
      </w:r>
    </w:p>
    <w:p>
      <w:r>
        <w:rPr>
          <w:b/>
        </w:rPr>
        <w:t>5. CLASSIFICATIONS PAR CATÉGORIE</w:t>
      </w:r>
    </w:p>
    <w:p>
      <w:r>
        <w:t xml:space="preserve">   5.1 Catégorisation par Revenu</w:t>
      </w:r>
    </w:p>
    <w:p>
      <w:r>
        <w:t xml:space="preserve">   5.2 Performance Football Internationale</w:t>
      </w:r>
    </w:p>
    <w:p>
      <w:r>
        <w:t xml:space="preserve">   5.3 Engagement Culturel National</w:t>
      </w:r>
    </w:p>
    <w:p>
      <w:r>
        <w:rPr>
          <w:b/>
        </w:rPr>
        <w:t>6. INDICATEURS DE MOYENNE MOBILE</w:t>
      </w:r>
    </w:p>
    <w:p>
      <w:r>
        <w:t xml:space="preserve">   6.1 Méthodologie des Moyennes Mobiles</w:t>
      </w:r>
    </w:p>
    <w:p>
      <w:r>
        <w:t xml:space="preserve">   6.2 Analyse Comparative France</w:t>
      </w:r>
    </w:p>
    <w:p>
      <w:r>
        <w:rPr>
          <w:b/>
        </w:rPr>
        <w:t>7. ANALYSE RÉGIONALE COMPARATIVE</w:t>
      </w:r>
    </w:p>
    <w:p>
      <w:r>
        <w:t xml:space="preserve">   7.1 Fracture Ouest/Est</w:t>
      </w:r>
    </w:p>
    <w:p>
      <w:r>
        <w:t xml:space="preserve">   7.2 Dynamique de Convergence</w:t>
      </w:r>
    </w:p>
    <w:p>
      <w:r>
        <w:rPr>
          <w:b/>
        </w:rPr>
        <w:t>8. GUIDE D'INTERPRÉTATION</w:t>
      </w:r>
    </w:p>
    <w:p>
      <w:r>
        <w:t xml:space="preserve">   8.1 Profils Pays Types</w:t>
      </w:r>
    </w:p>
    <w:p>
      <w:r>
        <w:t xml:space="preserve">   8.2 Alertes Méthodologiques</w:t>
      </w:r>
    </w:p>
    <w:p>
      <w:r>
        <w:t xml:space="preserve">   8.3 Intégration Power BI</w:t>
      </w:r>
    </w:p>
    <w:p>
      <w:r>
        <w:rPr>
          <w:b/>
        </w:rPr>
        <w:t>9. ANNEXES</w:t>
      </w:r>
    </w:p>
    <w:p>
      <w:r>
        <w:t xml:space="preserve">   9.1 Glossaire des Termes</w:t>
      </w:r>
    </w:p>
    <w:p>
      <w:r>
        <w:t xml:space="preserve">   9.2 Références Méthodologiques</w:t>
      </w:r>
    </w:p>
    <w:p>
      <w:r>
        <w:t xml:space="preserve">   9.3 Contacts et Support</w:t>
      </w:r>
    </w:p>
    <w:p>
      <w:r>
        <w:br w:type="page"/>
      </w:r>
    </w:p>
    <w:p>
      <w:pPr>
        <w:pStyle w:val="Heading1"/>
      </w:pPr>
      <w:r>
        <w:t>1. INTRODUCTION</w:t>
      </w:r>
    </w:p>
    <w:p>
      <w:pPr>
        <w:pStyle w:val="Heading2"/>
      </w:pPr>
      <w:r>
        <w:t>1.1 Contexte de l'Analyse</w:t>
      </w:r>
    </w:p>
    <w:p>
      <w:r>
        <w:t>Ce document présente la méthodologie complète de calcul et d'interprétation des indicateurs développés pour l'analyse comparative des pays européens. L'objectif est de fournir un cadre standardisé pour l'évaluation des performances économiques, sociales et culturelles sur la période 2015-2021.</w:t>
      </w:r>
    </w:p>
    <w:p>
      <w:pPr>
        <w:pStyle w:val="Heading2"/>
      </w:pPr>
      <w:r>
        <w:t>1.2 Portée du Document</w:t>
      </w:r>
    </w:p>
    <w:p>
      <w:r>
        <w:t>Ce document couvre:</w:t>
      </w:r>
    </w:p>
    <w:p>
      <w:pPr>
        <w:pStyle w:val="ListBullet"/>
      </w:pPr>
      <w:r>
        <w:t>Description détaillée des formules de calcul</w:t>
      </w:r>
    </w:p>
    <w:p>
      <w:pPr>
        <w:pStyle w:val="ListBullet"/>
      </w:pPr>
      <w:r>
        <w:t>Guides d'interprétation avec exemples concrets par pays</w:t>
      </w:r>
    </w:p>
    <w:p>
      <w:pPr>
        <w:pStyle w:val="ListBullet"/>
      </w:pPr>
      <w:r>
        <w:t>Méthodologie des pondérations pour les indices composites</w:t>
      </w:r>
    </w:p>
    <w:p>
      <w:pPr>
        <w:pStyle w:val="ListBullet"/>
      </w:pPr>
      <w:r>
        <w:t>Recommandations d'utilisation dans Power BI</w:t>
      </w:r>
    </w:p>
    <w:p>
      <w:pPr>
        <w:pStyle w:val="ListBullet"/>
      </w:pPr>
      <w:r>
        <w:t>Alertes méthodologiques et limites d'interprétation</w:t>
      </w:r>
    </w:p>
    <w:p>
      <w:pPr>
        <w:pStyle w:val="Heading2"/>
      </w:pPr>
      <w:r>
        <w:t>1.3 Sources des Données</w:t>
      </w:r>
    </w:p>
    <w:p>
      <w:pPr>
        <w:pStyle w:val="ListBullet"/>
      </w:pPr>
      <w:r>
        <w:t>Eurostat (données économiques et sociales)</w:t>
      </w:r>
    </w:p>
    <w:p>
      <w:pPr>
        <w:pStyle w:val="ListBullet"/>
      </w:pPr>
      <w:r>
        <w:t>FIFA (classements et points football)</w:t>
      </w:r>
    </w:p>
    <w:p>
      <w:pPr>
        <w:pStyle w:val="ListBullet"/>
      </w:pPr>
      <w:r>
        <w:t>PNUD (Indice de Développement Humain)</w:t>
      </w:r>
    </w:p>
    <w:p>
      <w:pPr>
        <w:pStyle w:val="ListBullet"/>
      </w:pPr>
      <w:r>
        <w:t>Bases de données culturelles nationales</w:t>
      </w:r>
    </w:p>
    <w:p>
      <w:pPr>
        <w:pStyle w:val="ListBullet"/>
      </w:pPr>
      <w:r>
        <w:t>OCDE (comparaisons internationales)</w:t>
      </w:r>
    </w:p>
    <w:p>
      <w:r>
        <w:br w:type="page"/>
      </w:r>
    </w:p>
    <w:p>
      <w:pPr>
        <w:pStyle w:val="Heading1"/>
      </w:pPr>
      <w:r>
        <w:t>2. INDICATEURS DE CROISSANCE ANNUELLE</w:t>
      </w:r>
    </w:p>
    <w:p>
      <w:pPr>
        <w:pStyle w:val="Heading2"/>
      </w:pPr>
      <w:r>
        <w:t>2.1 Taux de Croissance du PIB par Habitant</w:t>
      </w:r>
    </w:p>
    <w:p>
      <w:r>
        <w:t>Formule de Calcul:</w:t>
      </w:r>
    </w:p>
    <w:p>
      <w:r>
        <w:rPr>
          <w:i/>
        </w:rPr>
        <w:t>Taux_croissance_PIB = [(PIB_année_t - PIB_année_t-1) / PIB_année_t-1] × 100</w:t>
      </w:r>
    </w:p>
    <w:p>
      <w:r>
        <w:t>Échelle d'Interprétation:</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Fourchette</w:t>
            </w:r>
          </w:p>
        </w:tc>
        <w:tc>
          <w:tcPr>
            <w:tcW w:type="dxa" w:w="2880"/>
          </w:tcPr>
          <w:p>
            <w:r>
              <w:t>Interprétation</w:t>
            </w:r>
          </w:p>
        </w:tc>
        <w:tc>
          <w:tcPr>
            <w:tcW w:type="dxa" w:w="2880"/>
          </w:tcPr>
          <w:p>
            <w:r>
              <w:t>Exemple Type</w:t>
            </w:r>
          </w:p>
        </w:tc>
      </w:tr>
      <w:tr>
        <w:tc>
          <w:tcPr>
            <w:tcW w:type="dxa" w:w="2880"/>
          </w:tcPr>
          <w:p>
            <w:r>
              <w:t>&gt; 3%</w:t>
            </w:r>
          </w:p>
        </w:tc>
        <w:tc>
          <w:tcPr>
            <w:tcW w:type="dxa" w:w="2880"/>
          </w:tcPr>
          <w:p>
            <w:r>
              <w:t>Croissance forte</w:t>
            </w:r>
          </w:p>
        </w:tc>
        <w:tc>
          <w:tcPr>
            <w:tcW w:type="dxa" w:w="2880"/>
          </w:tcPr>
          <w:p>
            <w:r>
              <w:t>Irlande 2021 (+15.2%)</w:t>
            </w:r>
          </w:p>
        </w:tc>
      </w:tr>
      <w:tr>
        <w:tc>
          <w:tcPr>
            <w:tcW w:type="dxa" w:w="2880"/>
          </w:tcPr>
          <w:p>
            <w:r>
              <w:t>1% - 3%</w:t>
            </w:r>
          </w:p>
        </w:tc>
        <w:tc>
          <w:tcPr>
            <w:tcW w:type="dxa" w:w="2880"/>
          </w:tcPr>
          <w:p>
            <w:r>
              <w:t>Croissance modérée</w:t>
            </w:r>
          </w:p>
        </w:tc>
        <w:tc>
          <w:tcPr>
            <w:tcW w:type="dxa" w:w="2880"/>
          </w:tcPr>
          <w:p>
            <w:r>
              <w:t>France 2019 (+1.2%)</w:t>
            </w:r>
          </w:p>
        </w:tc>
      </w:tr>
      <w:tr>
        <w:tc>
          <w:tcPr>
            <w:tcW w:type="dxa" w:w="2880"/>
          </w:tcPr>
          <w:p>
            <w:r>
              <w:t>-1% - 1%</w:t>
            </w:r>
          </w:p>
        </w:tc>
        <w:tc>
          <w:tcPr>
            <w:tcW w:type="dxa" w:w="2880"/>
          </w:tcPr>
          <w:p>
            <w:r>
              <w:t>Stagnation</w:t>
            </w:r>
          </w:p>
        </w:tc>
        <w:tc>
          <w:tcPr>
            <w:tcW w:type="dxa" w:w="2880"/>
          </w:tcPr>
          <w:p>
            <w:r>
              <w:t>Italie 2018 (+0.8%)</w:t>
            </w:r>
          </w:p>
        </w:tc>
      </w:tr>
      <w:tr>
        <w:tc>
          <w:tcPr>
            <w:tcW w:type="dxa" w:w="2880"/>
          </w:tcPr>
          <w:p>
            <w:r>
              <w:t>&lt; -1%</w:t>
            </w:r>
          </w:p>
        </w:tc>
        <w:tc>
          <w:tcPr>
            <w:tcW w:type="dxa" w:w="2880"/>
          </w:tcPr>
          <w:p>
            <w:r>
              <w:t>Récession</w:t>
            </w:r>
          </w:p>
        </w:tc>
        <w:tc>
          <w:tcPr>
            <w:tcW w:type="dxa" w:w="2880"/>
          </w:tcPr>
          <w:p>
            <w:r>
              <w:t>Allemagne 2020 (-3.1%)</w:t>
            </w:r>
          </w:p>
        </w:tc>
      </w:tr>
    </w:tbl>
    <w:p>
      <w:pPr>
        <w:pStyle w:val="Heading2"/>
      </w:pPr>
      <w:r>
        <w:t>2.2 Taux de Croissance des Dépenses Culturelles</w:t>
      </w:r>
    </w:p>
    <w:p>
      <w:r>
        <w:t>Formule de Calcul:</w:t>
      </w:r>
    </w:p>
    <w:p>
      <w:r>
        <w:rPr>
          <w:i/>
        </w:rPr>
        <w:t>Taux_culture = [(Dépenses_culture_t - Dépenses_culture_t-1) / Dépenses_culture_t-1] × 100</w:t>
      </w:r>
    </w:p>
    <w:p>
      <w:pPr>
        <w:pStyle w:val="Heading2"/>
      </w:pPr>
      <w:r>
        <w:t>2.3 Taux de Croissance des Points FIFA</w:t>
      </w:r>
    </w:p>
    <w:p>
      <w:r>
        <w:t>Formule de Calcul:</w:t>
      </w:r>
    </w:p>
    <w:p>
      <w:r>
        <w:rPr>
          <w:i/>
        </w:rPr>
        <w:t>Taux_FIFA = [(Points_FIFA_t - Points_FIFA_t-1) / Points_FIFA_t-1] × 100</w:t>
      </w:r>
    </w:p>
    <w:p>
      <w:r>
        <w:br w:type="page"/>
      </w:r>
    </w:p>
    <w:p>
      <w:pPr>
        <w:pStyle w:val="Heading1"/>
      </w:pPr>
      <w:r>
        <w:t>3. RATIOS ET PROPORTIONS</w:t>
      </w:r>
    </w:p>
    <w:p>
      <w:pPr>
        <w:pStyle w:val="Heading2"/>
      </w:pPr>
      <w:r>
        <w:t>3.1 Ratio Dépenses Publiques/Privées</w:t>
      </w:r>
    </w:p>
    <w:p>
      <w:r>
        <w:t>Formule:</w:t>
      </w:r>
    </w:p>
    <w:p>
      <w:r>
        <w:rPr>
          <w:i/>
        </w:rPr>
        <w:t>Ratio = Dépenses_publiques_culture / Dépenses_privées_culture</w:t>
      </w:r>
    </w:p>
    <w:p>
      <w:r>
        <w:t>Interprétation des Modèles: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Ratio</w:t>
            </w:r>
          </w:p>
        </w:tc>
        <w:tc>
          <w:tcPr>
            <w:tcW w:type="dxa" w:w="2880"/>
          </w:tcPr>
          <w:p>
            <w:r>
              <w:t>Modèle</w:t>
            </w:r>
          </w:p>
        </w:tc>
        <w:tc>
          <w:tcPr>
            <w:tcW w:type="dxa" w:w="2880"/>
          </w:tcPr>
          <w:p>
            <w:r>
              <w:t>Exemple</w:t>
            </w:r>
          </w:p>
        </w:tc>
      </w:tr>
      <w:tr>
        <w:tc>
          <w:tcPr>
            <w:tcW w:type="dxa" w:w="2880"/>
          </w:tcPr>
          <w:p>
            <w:r>
              <w:t>&gt; 1.2</w:t>
            </w:r>
          </w:p>
        </w:tc>
        <w:tc>
          <w:tcPr>
            <w:tcW w:type="dxa" w:w="2880"/>
          </w:tcPr>
          <w:p>
            <w:r>
              <w:t>Étatique fort</w:t>
            </w:r>
          </w:p>
        </w:tc>
        <w:tc>
          <w:tcPr>
            <w:tcW w:type="dxa" w:w="2880"/>
          </w:tcPr>
          <w:p>
            <w:r>
              <w:t>Suède (1.15)</w:t>
            </w:r>
          </w:p>
        </w:tc>
      </w:tr>
      <w:tr>
        <w:tc>
          <w:tcPr>
            <w:tcW w:type="dxa" w:w="2880"/>
          </w:tcPr>
          <w:p>
            <w:r>
              <w:t>0.8 - 1.2</w:t>
            </w:r>
          </w:p>
        </w:tc>
        <w:tc>
          <w:tcPr>
            <w:tcW w:type="dxa" w:w="2880"/>
          </w:tcPr>
          <w:p>
            <w:r>
              <w:t>Mixte équilibré</w:t>
            </w:r>
          </w:p>
        </w:tc>
        <w:tc>
          <w:tcPr>
            <w:tcW w:type="dxa" w:w="2880"/>
          </w:tcPr>
          <w:p>
            <w:r>
              <w:t>France (0.87)</w:t>
            </w:r>
          </w:p>
        </w:tc>
      </w:tr>
      <w:tr>
        <w:tc>
          <w:tcPr>
            <w:tcW w:type="dxa" w:w="2880"/>
          </w:tcPr>
          <w:p>
            <w:r>
              <w:t>&lt; 0.8</w:t>
            </w:r>
          </w:p>
        </w:tc>
        <w:tc>
          <w:tcPr>
            <w:tcW w:type="dxa" w:w="2880"/>
          </w:tcPr>
          <w:p>
            <w:r>
              <w:t>Privé dominant</w:t>
            </w:r>
          </w:p>
        </w:tc>
        <w:tc>
          <w:tcPr>
            <w:tcW w:type="dxa" w:w="2880"/>
          </w:tcPr>
          <w:p>
            <w:r>
              <w:t>Allemagne (0.54)</w:t>
            </w:r>
          </w:p>
        </w:tc>
      </w:tr>
    </w:tbl>
    <w:p>
      <w:pPr>
        <w:pStyle w:val="Heading2"/>
      </w:pPr>
      <w:r>
        <w:t>3.2 Ratio Dépenses Culturelles/PIB</w:t>
      </w:r>
    </w:p>
    <w:p>
      <w:r>
        <w:t>Formule:</w:t>
      </w:r>
    </w:p>
    <w:p>
      <w:r>
        <w:rPr>
          <w:i/>
        </w:rPr>
        <w:t>Ratio = (Dépenses_culturelles / PIB_total) × 100</w:t>
      </w:r>
    </w:p>
    <w:p>
      <w:r>
        <w:br w:type="page"/>
      </w:r>
    </w:p>
    <w:p>
      <w:pPr>
        <w:pStyle w:val="Heading1"/>
      </w:pPr>
      <w:r>
        <w:t>4. INDICES COMPOSITES</w:t>
      </w:r>
    </w:p>
    <w:p>
      <w:pPr>
        <w:pStyle w:val="Heading2"/>
      </w:pPr>
      <w:r>
        <w:t>4.1 Indice de Développement Régional (IDR)</w:t>
      </w:r>
    </w:p>
    <w:p>
      <w:r>
        <w:t>Architecture de l'Indice: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Composante</w:t>
            </w:r>
          </w:p>
        </w:tc>
        <w:tc>
          <w:tcPr>
            <w:tcW w:type="dxa" w:w="2880"/>
          </w:tcPr>
          <w:p>
            <w:r>
              <w:t>Pondération</w:t>
            </w:r>
          </w:p>
        </w:tc>
        <w:tc>
          <w:tcPr>
            <w:tcW w:type="dxa" w:w="2880"/>
          </w:tcPr>
          <w:p>
            <w:r>
              <w:t>Justification</w:t>
            </w:r>
          </w:p>
        </w:tc>
      </w:tr>
      <w:tr>
        <w:tc>
          <w:tcPr>
            <w:tcW w:type="dxa" w:w="2880"/>
          </w:tcPr>
          <w:p>
            <w:r>
              <w:t>PIB/habitant</w:t>
            </w:r>
          </w:p>
        </w:tc>
        <w:tc>
          <w:tcPr>
            <w:tcW w:type="dxa" w:w="2880"/>
          </w:tcPr>
          <w:p>
            <w:r>
              <w:t>30%</w:t>
            </w:r>
          </w:p>
        </w:tc>
        <w:tc>
          <w:tcPr>
            <w:tcW w:type="dxa" w:w="2880"/>
          </w:tcPr>
          <w:p>
            <w:r>
              <w:t>Richesse économique</w:t>
            </w:r>
          </w:p>
        </w:tc>
      </w:tr>
      <w:tr>
        <w:tc>
          <w:tcPr>
            <w:tcW w:type="dxa" w:w="2880"/>
          </w:tcPr>
          <w:p>
            <w:r>
              <w:t>IDH</w:t>
            </w:r>
          </w:p>
        </w:tc>
        <w:tc>
          <w:tcPr>
            <w:tcW w:type="dxa" w:w="2880"/>
          </w:tcPr>
          <w:p>
            <w:r>
              <w:t>30%</w:t>
            </w:r>
          </w:p>
        </w:tc>
        <w:tc>
          <w:tcPr>
            <w:tcW w:type="dxa" w:w="2880"/>
          </w:tcPr>
          <w:p>
            <w:r>
              <w:t>Développement humain</w:t>
            </w:r>
          </w:p>
        </w:tc>
      </w:tr>
      <w:tr>
        <w:tc>
          <w:tcPr>
            <w:tcW w:type="dxa" w:w="2880"/>
          </w:tcPr>
          <w:p>
            <w:r>
              <w:t>Espérance de vie</w:t>
            </w:r>
          </w:p>
        </w:tc>
        <w:tc>
          <w:tcPr>
            <w:tcW w:type="dxa" w:w="2880"/>
          </w:tcPr>
          <w:p>
            <w:r>
              <w:t>20%</w:t>
            </w:r>
          </w:p>
        </w:tc>
        <w:tc>
          <w:tcPr>
            <w:tcW w:type="dxa" w:w="2880"/>
          </w:tcPr>
          <w:p>
            <w:r>
              <w:t>Santé et qualité de vie</w:t>
            </w:r>
          </w:p>
        </w:tc>
      </w:tr>
      <w:tr>
        <w:tc>
          <w:tcPr>
            <w:tcW w:type="dxa" w:w="2880"/>
          </w:tcPr>
          <w:p>
            <w:r>
              <w:t>Chômage jeunes</w:t>
            </w:r>
          </w:p>
        </w:tc>
        <w:tc>
          <w:tcPr>
            <w:tcW w:type="dxa" w:w="2880"/>
          </w:tcPr>
          <w:p>
            <w:r>
              <w:t>20%</w:t>
            </w:r>
          </w:p>
        </w:tc>
        <w:tc>
          <w:tcPr>
            <w:tcW w:type="dxa" w:w="2880"/>
          </w:tcPr>
          <w:p>
            <w:r>
              <w:t>Avenir et mobilité sociale</w:t>
            </w:r>
          </w:p>
        </w:tc>
      </w:tr>
    </w:tbl>
    <w:p>
      <w:r>
        <w:t>Classement 2021 (Top 5):</w:t>
      </w:r>
    </w:p>
    <w:p>
      <w:pPr>
        <w:pStyle w:val="ListBullet"/>
      </w:pPr>
      <w:r>
        <w:t>Danemark : 87.2 points</w:t>
      </w:r>
    </w:p>
    <w:p>
      <w:pPr>
        <w:pStyle w:val="ListBullet"/>
      </w:pPr>
      <w:r>
        <w:t>Suède : 85.6 points</w:t>
      </w:r>
    </w:p>
    <w:p>
      <w:pPr>
        <w:pStyle w:val="ListBullet"/>
      </w:pPr>
      <w:r>
        <w:t>Pays-Bas : 82.1 points</w:t>
      </w:r>
    </w:p>
    <w:p>
      <w:pPr>
        <w:pStyle w:val="ListBullet"/>
      </w:pPr>
      <w:r>
        <w:t>Allemagne : 78.5 points</w:t>
      </w:r>
    </w:p>
    <w:p>
      <w:pPr>
        <w:pStyle w:val="ListBullet"/>
      </w:pPr>
      <w:r>
        <w:t>France : 75.8 points</w:t>
      </w:r>
    </w:p>
    <w:p>
      <w:pPr>
        <w:pStyle w:val="Heading2"/>
      </w:pPr>
      <w:r>
        <w:t>4.2 Indice Sport-Culture (ISC)</w:t>
      </w:r>
    </w:p>
    <w:p>
      <w:pPr>
        <w:pStyle w:val="Heading2"/>
      </w:pPr>
      <w:r>
        <w:t>4.3 Indice de Bien-être Jeunesse (IBJ)</w:t>
      </w:r>
    </w:p>
    <w:p>
      <w:r>
        <w:br w:type="page"/>
      </w:r>
    </w:p>
    <w:p>
      <w:pPr>
        <w:pStyle w:val="Heading1"/>
      </w:pPr>
      <w:r>
        <w:t>8. GUIDE D'INTERPRÉTATION</w:t>
      </w:r>
    </w:p>
    <w:p>
      <w:pPr>
        <w:pStyle w:val="Heading2"/>
      </w:pPr>
      <w:r>
        <w:t>8.1 Profils Pays Types</w:t>
      </w:r>
    </w:p>
    <w:p>
      <w:r>
        <w:t>France - Développement Équilibré:</w:t>
      </w:r>
    </w:p>
    <w:p>
      <w:pPr>
        <w:pStyle w:val="ListBullet"/>
      </w:pPr>
      <w:r>
        <w:t>IDR : 75.8 (développement élevé)</w:t>
      </w:r>
    </w:p>
    <w:p>
      <w:pPr>
        <w:pStyle w:val="ListBullet"/>
      </w:pPr>
      <w:r>
        <w:t>IBJ : 65.3 (jeunesse - défis modérés)</w:t>
      </w:r>
    </w:p>
    <w:p>
      <w:pPr>
        <w:pStyle w:val="ListBullet"/>
      </w:pPr>
      <w:r>
        <w:t>ISC : 76.8 (bon équilibre sport-culture)</w:t>
      </w:r>
    </w:p>
    <w:p>
      <w:r>
        <w:rPr>
          <w:b/>
        </w:rPr>
        <w:t xml:space="preserve">Diagnostic: </w:t>
      </w:r>
      <w:r>
        <w:t>"Pays au développement général élevé mais devant relever des défis spécifiques concernant l'insertion des jeunes, avec un modèle équilibré entre sport et culture."</w:t>
      </w:r>
    </w:p>
    <w:p>
      <w:pPr>
        <w:pStyle w:val="Heading2"/>
      </w:pPr>
      <w:r>
        <w:t>8.3 Intégration Power BI</w:t>
      </w:r>
    </w:p>
    <w:p>
      <w:r>
        <w:t>Architecture Recommandée:</w:t>
      </w:r>
    </w:p>
    <w:p>
      <w:r>
        <w:t>Hiérarchie des Filtres:</w:t>
      </w:r>
    </w:p>
    <w:p>
      <w:pPr>
        <w:pStyle w:val="ListBullet"/>
      </w:pPr>
      <w:r>
        <w:t>Région géographique</w:t>
      </w:r>
    </w:p>
    <w:p>
      <w:pPr>
        <w:pStyle w:val="ListBullet"/>
      </w:pPr>
      <w:r>
        <w:t>Catégorie de revenu</w:t>
      </w:r>
    </w:p>
    <w:p>
      <w:pPr>
        <w:pStyle w:val="ListBullet"/>
      </w:pPr>
      <w:r>
        <w:t>Période temporelle</w:t>
      </w:r>
    </w:p>
    <w:p>
      <w:pPr>
        <w:pStyle w:val="ListBullet"/>
      </w:pPr>
      <w:r>
        <w:t>Performance sportive</w:t>
      </w:r>
    </w:p>
    <w:p>
      <w:r>
        <w:t>Visualisations Prioritaires:</w:t>
      </w:r>
    </w:p>
    <w:p>
      <w:pPr>
        <w:pStyle w:val="ListBullet"/>
      </w:pPr>
      <w:r>
        <w:t>Cartes choroplèthes (analyse spatiale)</w:t>
      </w:r>
    </w:p>
    <w:p>
      <w:pPr>
        <w:pStyle w:val="ListBullet"/>
      </w:pPr>
      <w:r>
        <w:t>Séries temporelles (évolution)</w:t>
      </w:r>
    </w:p>
    <w:p>
      <w:pPr>
        <w:pStyle w:val="ListBullet"/>
      </w:pPr>
      <w:r>
        <w:t>Diagrammes en radar (profil pays)</w:t>
      </w:r>
    </w:p>
    <w:p>
      <w:pPr>
        <w:pStyle w:val="ListBullet"/>
      </w:pPr>
      <w:r>
        <w:t>Tableaux de bord comparatifs</w:t>
      </w:r>
    </w:p>
    <w:p>
      <w:pPr>
        <w:pStyle w:val="Heading1"/>
      </w:pPr>
      <w:r>
        <w:t>9. ANNEXES</w:t>
      </w:r>
    </w:p>
    <w:p>
      <w:pPr>
        <w:pStyle w:val="Heading2"/>
      </w:pPr>
      <w:r>
        <w:t>9.1 Glossaire des Termes</w:t>
      </w:r>
    </w:p>
    <w:p>
      <w:r>
        <w:rPr>
          <w:b/>
        </w:rPr>
        <w:t xml:space="preserve">IDH: </w:t>
      </w:r>
      <w:r>
        <w:t>Mesure composite du développement évaluant l'espérance de vie, l'éducation et le revenu.</w:t>
      </w:r>
    </w:p>
    <w:p>
      <w:r>
        <w:rPr>
          <w:b/>
        </w:rPr>
        <w:t xml:space="preserve">MM3: </w:t>
      </w:r>
      <w:r>
        <w:t>Technique de lissage statistique utilisant une fenêtre de trois années.</w:t>
      </w:r>
    </w:p>
    <w:p>
      <w:r>
        <w:rPr>
          <w:b/>
        </w:rPr>
        <w:t xml:space="preserve">Soft Power: </w:t>
      </w:r>
      <w:r>
        <w:t>Capacité d'un pays à influencer par l'attraction culturelle plutôt que par la coercition.</w:t>
      </w:r>
    </w:p>
    <w:p>
      <w:pPr>
        <w:pStyle w:val="Heading2"/>
      </w:pPr>
      <w:r>
        <w:t>9.3 Contacts et Support</w:t>
      </w:r>
    </w:p>
    <w:p>
      <w:r>
        <w:t>Équipe d'Analyse:</w:t>
      </w:r>
    </w:p>
    <w:p>
      <w:r>
        <w:t>Responsable Méthodologie : Dr. Sophie Martin</w:t>
      </w:r>
    </w:p>
    <w:p>
      <w:r>
        <w:t>Analyste Données : M. Thomas Leroy</w:t>
      </w:r>
    </w:p>
    <w:p>
      <w:r>
        <w:t>Support Power BI : Mme Claire Dubois</w:t>
      </w:r>
    </w:p>
    <w:p>
      <w:r>
        <w:rPr>
          <w:b/>
        </w:rPr>
        <w:t xml:space="preserve">Contact: </w:t>
      </w:r>
      <w:r>
        <w:t>analyse.donnees@organisation.org</w:t>
      </w:r>
    </w:p>
    <w:p>
      <w:pPr>
        <w:jc w:val="center"/>
      </w:pPr>
      <w:r>
        <w:rPr>
          <w:b/>
        </w:rPr>
        <w:br/>
        <w:t>Document technique - Version 3.0</w:t>
        <w:br/>
      </w:r>
      <w:r>
        <w:t>Date de publication : 15 décembre 2024</w:t>
        <w:br/>
      </w:r>
      <w:r>
        <w:t>Prochaine révision : 15 juin 2025</w:t>
        <w:br/>
      </w:r>
      <w:r>
        <w:t>Classification : Usage interne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