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</w:pPr>
      <w:r>
        <w:rPr>
          <w:rFonts w:ascii="DM Mono" w:cs="DM Mono" w:eastAsia="DM Mono" w:hAnsi="DM Mono"/>
          <w:b/>
          <w:bCs/>
          <w:caps/>
          <w:color w:val="3A5CE8"/>
          <w:sz w:val="18"/>
          <w:szCs w:val="18"/>
        </w:rPr>
        <w:t xml:space="preserve">Mintware</w:t>
      </w:r>
      <w:r>
        <w:rPr>
          <w:rFonts w:ascii="DM Mono" w:cs="DM Mono" w:eastAsia="DM Mono" w:hAnsi="DM Mono"/>
          <w:color w:val="8888AA"/>
          <w:sz w:val="18"/>
          <w:szCs w:val="18"/>
        </w:rPr>
        <w:t xml:space="preserve">  ·  Reward Flow Engineering</w:t>
      </w:r>
    </w:p>
    <w:p>
      <w:pPr>
        <w:pBdr>
          <w:bottom w:val="single" w:color="3A5CE8" w:sz="6"/>
        </w:pBdr>
        <w:spacing w:before="0" w:after="200"/>
      </w:pPr>
      <w:r>
        <w:rPr>
          <w:rFonts w:ascii="Plus Jakarta Sans" w:cs="Plus Jakarta Sans" w:eastAsia="Plus Jakarta Sans" w:hAnsi="Plus Jakarta Sans"/>
          <w:b/>
          <w:bCs/>
          <w:color w:val="1A1A2E"/>
          <w:sz w:val="40"/>
          <w:szCs w:val="40"/>
        </w:rPr>
        <w:t xml:space="preserve">Reward Flow &amp; Settlement Architecture</w:t>
      </w:r>
    </w:p>
    <w:p>
      <w:pPr>
        <w:spacing w:before="60" w:after="60"/>
      </w:pPr>
      <w:r>
        <w:rPr>
          <w:rFonts w:ascii="Plus Jakarta Sans" w:cs="Plus Jakarta Sans" w:eastAsia="Plus Jakarta Sans" w:hAnsi="Plus Jakarta Sans"/>
          <w:color w:val="4A4A6A"/>
          <w:sz w:val="20"/>
          <w:szCs w:val="20"/>
        </w:rPr>
        <w:t xml:space="preserve">This document defines the reward flow, payout mechanics, and settlement architecture across both campaign types. Three-phase evolution from hybrid to fully on-chain.</w:t>
      </w:r>
    </w:p>
    <w:p>
      <w:pPr>
        <w:pBdr>
          <w:bottom w:val="single" w:color="E0DFFF" w:sz="4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1A1A2E"/>
          <w:sz w:val="32"/>
          <w:szCs w:val="32"/>
        </w:rPr>
        <w:t xml:space="preserve">1. Core Principle</w:t>
      </w:r>
    </w:p>
    <w:p>
      <w:pPr>
        <w:spacing w:before="60" w:after="60"/>
      </w:pPr>
      <w:r>
        <w:rPr>
          <w:rFonts w:ascii="Plus Jakarta Sans" w:cs="Plus Jakarta Sans" w:eastAsia="Plus Jakarta Sans" w:hAnsi="Plus Jakarta Sans"/>
          <w:color w:val="4A4A6A"/>
          <w:sz w:val="20"/>
          <w:szCs w:val="20"/>
        </w:rPr>
        <w:t xml:space="preserve">Industry standard for DeFi reward systems: calculate off-chain, settle on-chain.</w:t>
      </w:r>
    </w:p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00"/>
      </w:tblGrid>
      <w:tr>
        <w:tc>
          <w:tcPr>
            <w:tcW w:type="dxa" w:w="24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3A5C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3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3A5C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Where it lives</w:t>
            </w:r>
          </w:p>
        </w:tc>
        <w:tc>
          <w:tcPr>
            <w:tcW w:type="dxa" w:w="33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3A5C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4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Calculation</w:t>
            </w:r>
          </w:p>
        </w:tc>
        <w:tc>
          <w:tcPr>
            <w:tcW w:type="dxa" w:w="33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Off-chain (backend)</w:t>
            </w:r>
          </w:p>
        </w:tc>
        <w:tc>
          <w:tcPr>
            <w:tcW w:type="dxa" w:w="33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Complex math, fast iteration, Attribution Score access</w:t>
            </w:r>
          </w:p>
        </w:tc>
      </w:tr>
      <w:tr>
        <w:tc>
          <w:tcPr>
            <w:tcW w:type="dxa" w:w="24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Verification</w:t>
            </w:r>
          </w:p>
        </w:tc>
        <w:tc>
          <w:tcPr>
            <w:tcW w:type="dxa" w:w="33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On-chain (contract)</w:t>
            </w:r>
          </w:p>
        </w:tc>
        <w:tc>
          <w:tcPr>
            <w:tcW w:type="dxa" w:w="33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Trustless, tamper-evident, auditable</w:t>
            </w:r>
          </w:p>
        </w:tc>
      </w:tr>
      <w:tr>
        <w:tc>
          <w:tcPr>
            <w:tcW w:type="dxa" w:w="24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Settlement</w:t>
            </w:r>
          </w:p>
        </w:tc>
        <w:tc>
          <w:tcPr>
            <w:tcW w:type="dxa" w:w="33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On-chain (contract)</w:t>
            </w:r>
          </w:p>
        </w:tc>
        <w:tc>
          <w:tcPr>
            <w:tcW w:type="dxa" w:w="33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Non-custodial, permanent, composable</w:t>
            </w:r>
          </w:p>
        </w:tc>
      </w:tr>
      <w:tr>
        <w:tc>
          <w:tcPr>
            <w:tcW w:type="dxa" w:w="24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State</w:t>
            </w:r>
          </w:p>
        </w:tc>
        <w:tc>
          <w:tcPr>
            <w:tcW w:type="dxa" w:w="33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Supabase (operational)</w:t>
            </w:r>
          </w:p>
        </w:tc>
        <w:tc>
          <w:tcPr>
            <w:tcW w:type="dxa" w:w="33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Fast queries, campaign config, activity log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Plus Jakarta Sans" w:cs="Plus Jakarta Sans" w:eastAsia="Plus Jakarta Sans" w:hAnsi="Plus Jakarta Sans"/>
          <w:color w:val="4A4A6A"/>
          <w:sz w:val="20"/>
          <w:szCs w:val="20"/>
        </w:rPr>
        <w:t xml:space="preserve">Precedent: Uniswap (off-chain routing → on-chain swap), Optimism (off-chain sequencer → on-chain root), Chainlink (off-chain fetch → on-chain feed). Every serious protocol uses this pattern.</w:t>
      </w:r>
    </w:p>
    <w:p>
      <w:pPr>
        <w:pBdr>
          <w:bottom w:val="single" w:color="E0DFFF" w:sz="4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1A1A2E"/>
          <w:sz w:val="32"/>
          <w:szCs w:val="32"/>
        </w:rPr>
        <w:t xml:space="preserve">2. Multi-Chain Deployment</w:t>
      </w:r>
    </w:p>
    <w:p>
      <w:pPr>
        <w:spacing w:before="60" w:after="60"/>
      </w:pPr>
      <w:r>
        <w:rPr>
          <w:rFonts w:ascii="Plus Jakarta Sans" w:cs="Plus Jakarta Sans" w:eastAsia="Plus Jakarta Sans" w:hAnsi="Plus Jakarta Sans"/>
          <w:color w:val="4A4A6A"/>
          <w:sz w:val="20"/>
          <w:szCs w:val="20"/>
        </w:rPr>
        <w:t xml:space="preserve">One Solidity contract. Deployed to any EVM-compatible chain. Same ABI, same claim flow, different deployment address per chain.</w:t>
      </w:r>
    </w:p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8888AA"/>
                <w:sz w:val="18"/>
                <w:szCs w:val="18"/>
              </w:rPr>
              <w:t xml:space="preserve">// Write once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MintwareDistributor.sol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8888AA"/>
                <w:sz w:val="18"/>
                <w:szCs w:val="18"/>
              </w:rPr>
              <w:t xml:space="preserve">// Deploy to any EVM chain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Base      → 0xAAA...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Core DAO  → 0xBBB...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BNB Chain → 0xCCC...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Arbitrum  → 0xDDD...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8888AA"/>
                <w:sz w:val="18"/>
                <w:szCs w:val="18"/>
              </w:rPr>
              <w:t xml:space="preserve">// Campaign config routes to correct address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campaign.chain            = "core"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campaign.contract_address = "0xBBB..."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8888AA"/>
                <w:sz w:val="18"/>
                <w:szCs w:val="18"/>
              </w:rPr>
              <w:t xml:space="preserve">// User experience is identical on every chain</w:t>
            </w:r>
          </w:p>
        </w:tc>
      </w:tr>
    </w:tbl>
    <w:p>
      <w:pPr>
        <w:pBdr>
          <w:bottom w:val="single" w:color="E0DFFF" w:sz="4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1A1A2E"/>
          <w:sz w:val="32"/>
          <w:szCs w:val="32"/>
        </w:rPr>
        <w:t xml:space="preserve">3. Phase 1 — Hybrid Settlement</w:t>
      </w:r>
    </w:p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1800"/>
      </w:tblGrid>
      <w:tr>
        <w:tc>
          <w:tcPr>
            <w:tcW w:type="dxa" w:w="1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2A9E8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FFFFFF"/>
                <w:sz w:val="22"/>
                <w:szCs w:val="22"/>
              </w:rPr>
              <w:t xml:space="preserve">Phase 1</w:t>
            </w:r>
          </w:p>
        </w:tc>
        <w:tc>
          <w:tcPr>
            <w:tcW w:type="dxa" w:w="60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7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1A1A2E"/>
                <w:sz w:val="22"/>
                <w:szCs w:val="22"/>
              </w:rPr>
              <w:t xml:space="preserve">Off-chain Calculation  →  Merkle Drop Settlement</w:t>
            </w:r>
          </w:p>
        </w:tc>
        <w:tc>
          <w:tcPr>
            <w:tcW w:type="dxa" w:w="1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7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2A9E8A"/>
                <w:sz w:val="18"/>
                <w:szCs w:val="18"/>
              </w:rPr>
              <w:t xml:space="preserve">Build Now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Plus Jakarta Sans" w:cs="Plus Jakarta Sans" w:eastAsia="Plus Jakarta Sans" w:hAnsi="Plus Jakarta Sans"/>
          <w:color w:val="4A4A6A"/>
          <w:sz w:val="20"/>
          <w:szCs w:val="20"/>
        </w:rPr>
        <w:t xml:space="preserve">Off-chain calculation of all rewards. On-chain release via Merkle proof. Mintware is trusted for calculation. Contract is trustless for release. Acceptable trust model for early stage.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Plus Jakarta Sans" w:cs="Plus Jakarta Sans" w:eastAsia="Plus Jakarta Sans" w:hAnsi="Plus Jakarta Sans"/>
          <w:b/>
          <w:bCs/>
          <w:color w:val="3A5CE8"/>
          <w:sz w:val="24"/>
          <w:szCs w:val="24"/>
        </w:rPr>
        <w:t xml:space="preserve">The Merkle Drop Pattern</w:t>
      </w:r>
    </w:p>
    <w:p>
      <w:pPr>
        <w:spacing w:before="60" w:after="60"/>
      </w:pPr>
      <w:r>
        <w:rPr>
          <w:rFonts w:ascii="Plus Jakarta Sans" w:cs="Plus Jakarta Sans" w:eastAsia="Plus Jakarta Sans" w:hAnsi="Plus Jakarta Sans"/>
          <w:color w:val="4A4A6A"/>
          <w:sz w:val="20"/>
          <w:szCs w:val="20"/>
        </w:rPr>
        <w:t xml:space="preserve">Battle-tested. Used by Uniswap, Optimism, and virtually every major protocol for token distributions.</w:t>
      </w:r>
    </w:p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1. CALCULATE (Mintware backend)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 Compute who earns what for this distribution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 Token Pool:      per-transaction reward amounts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 Points Campaign: epoch payout per wallet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2. BUILD MERKLE TREE (off-chain)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 Each leaf = hash(wallet_address, amount)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 Root = cryptographic fingerprint of entire distribution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 Anyone can verify a leaf belongs to the tree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3. POST ROOT ON-CHAIN (Mintware signer)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 createDistribution(merkleRoot, token, totalAmount)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 Funds transferred to contract at same time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 Root is immutable once posted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4. WALLET CLAIMS (user)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 claim(distributionId, amount, merkleProof)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 Contract verifies proof matches root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 Transfers tokens directly to wallet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 Marks as claimed — cannot claim twice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Plus Jakarta Sans" w:cs="Plus Jakarta Sans" w:eastAsia="Plus Jakarta Sans" w:hAnsi="Plus Jakarta Sans"/>
          <w:b/>
          <w:bCs/>
          <w:color w:val="3A5CE8"/>
          <w:sz w:val="24"/>
          <w:szCs w:val="24"/>
        </w:rPr>
        <w:t xml:space="preserve">Token Reward Pool Flow</w:t>
      </w:r>
    </w:p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8888AA"/>
                <w:sz w:val="18"/>
                <w:szCs w:val="18"/>
              </w:rPr>
              <w:t xml:space="preserve">// REAL TIME: swap executes on Mintware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swap_amount = $1,000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buyer_reward    = swap_amount × buyer_pct      // $30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referral_reward = swap_amount × referral_pct   // $50 (if referrer)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platform_fee    = swap_amount × 2%             // $20 → Mintware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8888AA"/>
                <w:sz w:val="18"/>
                <w:szCs w:val="18"/>
              </w:rPr>
              <w:t xml:space="preserve">// Written to pending_rewards (locked)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pending_rewards.insert({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wallet:      buyer_address,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amount:      $30,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claimable_at: NOW() + claim_duration_mins,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tx_hash:     swap_tx_hash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})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8888AA"/>
                <w:sz w:val="18"/>
                <w:szCs w:val="18"/>
              </w:rPr>
              <w:t xml:space="preserve">// AFTER CLAIM DURATION: batch job runs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8888AA"/>
                <w:sz w:val="18"/>
                <w:szCs w:val="18"/>
              </w:rPr>
              <w:t xml:space="preserve">// Collects all pending_rewards where claimable_at &lt; NOW()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8888AA"/>
                <w:sz w:val="18"/>
                <w:szCs w:val="18"/>
              </w:rPr>
              <w:t xml:space="preserve">// Builds Merkle tree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8888AA"/>
                <w:sz w:val="18"/>
                <w:szCs w:val="18"/>
              </w:rPr>
              <w:t xml:space="preserve">// Posts root to MintwareDistributor on correct chain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8888AA"/>
                <w:sz w:val="18"/>
                <w:szCs w:val="18"/>
              </w:rPr>
              <w:t xml:space="preserve">// Wallet claims anytime after root is posted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Plus Jakarta Sans" w:cs="Plus Jakarta Sans" w:eastAsia="Plus Jakarta Sans" w:hAnsi="Plus Jakarta Sans"/>
          <w:b/>
          <w:bCs/>
          <w:color w:val="3A5CE8"/>
          <w:sz w:val="24"/>
          <w:szCs w:val="24"/>
        </w:rPr>
        <w:t xml:space="preserve">Points Campaign Flow</w:t>
      </w:r>
    </w:p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8888AA"/>
                <w:sz w:val="18"/>
                <w:szCs w:val="18"/>
              </w:rPr>
              <w:t xml:space="preserve">// REAL TIME: swap executes on Mintware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8888AA"/>
                <w:sz w:val="18"/>
                <w:szCs w:val="18"/>
              </w:rPr>
              <w:t xml:space="preserve">// Check: is wallet an active campaign participant?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8888AA"/>
                <w:sz w:val="18"/>
                <w:szCs w:val="18"/>
              </w:rPr>
              <w:t xml:space="preserve">// Credit trading_points += action.points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8888AA"/>
                <w:sz w:val="18"/>
                <w:szCs w:val="18"/>
              </w:rPr>
              <w:t xml:space="preserve">// Check referral_records → credit referrer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8888AA"/>
                <w:sz w:val="18"/>
                <w:szCs w:val="18"/>
              </w:rPr>
              <w:t xml:space="preserve">// DAILY CRON: bridge verification (external actions only)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8888AA"/>
                <w:sz w:val="18"/>
                <w:szCs w:val="18"/>
              </w:rPr>
              <w:t xml:space="preserve">// Query chain RPC for inbound bridge txs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8888AA"/>
                <w:sz w:val="18"/>
                <w:szCs w:val="18"/>
              </w:rPr>
              <w:t xml:space="preserve">// Verify timestamp &gt; joined_at, not already credited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8888AA"/>
                <w:sz w:val="18"/>
                <w:szCs w:val="18"/>
              </w:rPr>
              <w:t xml:space="preserve">// Credit bridge_points, referral_bridge_points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8888AA"/>
                <w:sz w:val="18"/>
                <w:szCs w:val="18"/>
              </w:rPr>
              <w:t xml:space="preserve">// EPOCH END CRON: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total_points = SUM(all participant points this epoch)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for each participant: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wallet_share        = wallet_points / total_points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attribution_mult    = getMultiplier(attribution_score)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sharing_mult        = getMultiplier(sharing_score)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combined_mult       = attribution_mult × sharing_mult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wallet_payout       = epoch_pool × wallet_share × combined_mult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8888AA"/>
                <w:sz w:val="18"/>
                <w:szCs w:val="18"/>
              </w:rPr>
              <w:t xml:space="preserve">// Build Merkle tree of epoch payouts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8888AA"/>
                <w:sz w:val="18"/>
                <w:szCs w:val="18"/>
              </w:rPr>
              <w:t xml:space="preserve">// Post root to MintwareDistributor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8888AA"/>
                <w:sz w:val="18"/>
                <w:szCs w:val="18"/>
              </w:rPr>
              <w:t xml:space="preserve">// Wallets claim their epoch rewards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8888AA"/>
                <w:sz w:val="18"/>
                <w:szCs w:val="18"/>
              </w:rPr>
              <w:t xml:space="preserve">// Reset points → next epoch begins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Plus Jakarta Sans" w:cs="Plus Jakarta Sans" w:eastAsia="Plus Jakarta Sans" w:hAnsi="Plus Jakarta Sans"/>
          <w:b/>
          <w:bCs/>
          <w:color w:val="3A5CE8"/>
          <w:sz w:val="24"/>
          <w:szCs w:val="24"/>
        </w:rPr>
        <w:t xml:space="preserve">MintwareDistributor Contract (Phase 1)</w:t>
      </w:r>
    </w:p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contract MintwareDistributor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8888AA"/>
                <w:sz w:val="18"/>
                <w:szCs w:val="18"/>
              </w:rPr>
              <w:t xml:space="preserve">  // Create a new distribution (called by Mintware signer)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function createDistribution(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  bytes32 merkleRoot,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  address token,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  uint256 totalAmount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) external onlyOwner returns (uint256 distributionId)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8888AA"/>
                <w:sz w:val="18"/>
                <w:szCs w:val="18"/>
              </w:rPr>
              <w:t xml:space="preserve">  // Wallet claims their allocation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function claim(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  uint256 distributionId,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  uint256 amount,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  bytes32[] calldata merkleProof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) external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8888AA"/>
                <w:sz w:val="18"/>
                <w:szCs w:val="18"/>
              </w:rPr>
              <w:t xml:space="preserve">  // Check if wallet has claimed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function isClaimed(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  uint256 distributionId,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  address wallet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) external view returns (bool)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8888AA"/>
                <w:sz w:val="18"/>
                <w:szCs w:val="18"/>
              </w:rPr>
              <w:t xml:space="preserve">  // Emergency: owner can pause claims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function pause() external onlyOwner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Plus Jakarta Sans" w:cs="Plus Jakarta Sans" w:eastAsia="Plus Jakarta Sans" w:hAnsi="Plus Jakarta Sans"/>
          <w:b/>
          <w:bCs/>
          <w:color w:val="3A5CE8"/>
          <w:sz w:val="24"/>
          <w:szCs w:val="24"/>
        </w:rPr>
        <w:t xml:space="preserve">Phase 1 Trust Model</w:t>
      </w:r>
    </w:p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3A5C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What users trust Mintware for</w:t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3A5C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What is trustless</w:t>
            </w:r>
          </w:p>
        </w:tc>
      </w:tr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7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18"/>
                <w:szCs w:val="18"/>
              </w:rPr>
              <w:t xml:space="preserve">Correct reward calculation</w:t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Token custody (in contract)</w:t>
            </w:r>
          </w:p>
        </w:tc>
      </w:tr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7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18"/>
                <w:szCs w:val="18"/>
              </w:rPr>
              <w:t xml:space="preserve">Fair Merkle tree construction</w:t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Claim verification (contract math)</w:t>
            </w:r>
          </w:p>
        </w:tc>
      </w:tr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7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18"/>
                <w:szCs w:val="18"/>
              </w:rPr>
              <w:t xml:space="preserve">Posting accurate root</w:t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Double-claim prevention</w:t>
            </w:r>
          </w:p>
        </w:tc>
      </w:tr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7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18"/>
                <w:szCs w:val="18"/>
              </w:rPr>
              <w:t xml:space="preserve">Attribution Score accuracy</w:t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Fund release (no Mintware needed)</w:t>
            </w:r>
          </w:p>
        </w:tc>
      </w:tr>
    </w:tbl>
    <w:p>
      <w:pPr>
        <w:pBdr>
          <w:bottom w:val="single" w:color="E0DFFF" w:sz="4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1A1A2E"/>
          <w:sz w:val="32"/>
          <w:szCs w:val="32"/>
        </w:rPr>
        <w:t xml:space="preserve">4. Phase 2 — EAS Attestations</w:t>
      </w:r>
    </w:p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1800"/>
      </w:tblGrid>
      <w:tr>
        <w:tc>
          <w:tcPr>
            <w:tcW w:type="dxa" w:w="1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C27A0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FFFFFF"/>
                <w:sz w:val="22"/>
                <w:szCs w:val="22"/>
              </w:rPr>
              <w:t xml:space="preserve">Phase 2</w:t>
            </w:r>
          </w:p>
        </w:tc>
        <w:tc>
          <w:tcPr>
            <w:tcW w:type="dxa" w:w="60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7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1A1A2E"/>
                <w:sz w:val="22"/>
                <w:szCs w:val="22"/>
              </w:rPr>
              <w:t xml:space="preserve">Attribution Score attested on-chain via EAS</w:t>
            </w:r>
          </w:p>
        </w:tc>
        <w:tc>
          <w:tcPr>
            <w:tcW w:type="dxa" w:w="1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7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C27A00"/>
                <w:sz w:val="18"/>
                <w:szCs w:val="18"/>
              </w:rPr>
              <w:t xml:space="preserve">After Launch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Plus Jakarta Sans" w:cs="Plus Jakarta Sans" w:eastAsia="Plus Jakarta Sans" w:hAnsi="Plus Jakarta Sans"/>
          <w:color w:val="4A4A6A"/>
          <w:sz w:val="20"/>
          <w:szCs w:val="20"/>
        </w:rPr>
        <w:t xml:space="preserve">Ethereum Attestation Service (EAS) is live on Base. Mintware signs Attribution Score attestations on-chain. Reward contracts read scores trustlessly — no more trust in Mintware's off-chain calculation for multipliers.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Plus Jakarta Sans" w:cs="Plus Jakarta Sans" w:eastAsia="Plus Jakarta Sans" w:hAnsi="Plus Jakarta Sans"/>
          <w:b/>
          <w:bCs/>
          <w:color w:val="3A5CE8"/>
          <w:sz w:val="24"/>
          <w:szCs w:val="24"/>
        </w:rPr>
        <w:t xml:space="preserve">EAS Schema</w:t>
      </w:r>
    </w:p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8888AA"/>
                <w:sz w:val="18"/>
                <w:szCs w:val="18"/>
              </w:rPr>
              <w:t xml:space="preserve">// Mintware attestation schema on EAS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schema: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uint256 score,          // 0-800 Attribution Score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string  tier,           // "bronze"|"silver"|"gold"|"platinum"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uint256 sharing_score,  // 0-125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uint256 issued_at,      // timestamp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uint256 valid_until     // 7-day expiry → drives re-engagement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attester:   Mintware signer wallet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recipient:  wallet being scored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revocable:  yes — score updates trigger new attestation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Plus Jakarta Sans" w:cs="Plus Jakarta Sans" w:eastAsia="Plus Jakarta Sans" w:hAnsi="Plus Jakarta Sans"/>
          <w:b/>
          <w:bCs/>
          <w:color w:val="3A5CE8"/>
          <w:sz w:val="24"/>
          <w:szCs w:val="24"/>
        </w:rPr>
        <w:t xml:space="preserve">What Changes in Phase 2</w:t>
      </w:r>
    </w:p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8888AA"/>
                <w:sz w:val="18"/>
                <w:szCs w:val="18"/>
              </w:rPr>
              <w:t xml:space="preserve">// Phase 1: multiplier computed off-chain, included in Merkle tree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wallet_payout = epoch_pool × share × backend_calculated_multiplier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8888AA"/>
                <w:sz w:val="18"/>
                <w:szCs w:val="18"/>
              </w:rPr>
              <w:t xml:space="preserve">// Phase 2: contract reads EAS attestation directly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attestation   = EAS.getAttestation(wallet, MINTWARE_SCHEMA)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score         = attestation.score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multiplier    = getMultiplier(score)  // pure on-chain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wallet_payout = epoch_pool × share × multiplier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8888AA"/>
                <w:sz w:val="18"/>
                <w:szCs w:val="18"/>
              </w:rPr>
              <w:t xml:space="preserve">// Multiplier calculation moves fully on-chain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8888AA"/>
                <w:sz w:val="18"/>
                <w:szCs w:val="18"/>
              </w:rPr>
              <w:t xml:space="preserve">// No trust in Mintware math for this component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Plus Jakarta Sans" w:cs="Plus Jakarta Sans" w:eastAsia="Plus Jakarta Sans" w:hAnsi="Plus Jakarta Sans"/>
          <w:b/>
          <w:bCs/>
          <w:color w:val="3A5CE8"/>
          <w:sz w:val="24"/>
          <w:szCs w:val="24"/>
        </w:rPr>
        <w:t xml:space="preserve">Score Freshness Loop</w:t>
      </w:r>
    </w:p>
    <w:p>
      <w:pPr>
        <w:spacing w:before="60" w:after="60"/>
      </w:pPr>
      <w:r>
        <w:rPr>
          <w:rFonts w:ascii="Plus Jakarta Sans" w:cs="Plus Jakarta Sans" w:eastAsia="Plus Jakarta Sans" w:hAnsi="Plus Jakarta Sans"/>
          <w:color w:val="4A4A6A"/>
          <w:sz w:val="20"/>
          <w:szCs w:val="20"/>
        </w:rPr>
        <w:t xml:space="preserve">Attestations expire after 7 days. Creates natural re-engagement cycle.</w:t>
      </w:r>
    </w:p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Wallet connects to Mintware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→ Score computed from on-chain history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→ EAS attestation issued (valid_until = NOW() + 7 days)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→ Wallet earns full multiplier in campaigns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→ 7 days later: attestation expires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→ Wallet returns to Mintware to refresh score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→ New attestation issued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→ Cycle continues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280" w:after="100"/>
      </w:pPr>
      <w:r>
        <w:rPr>
          <w:rFonts w:ascii="Plus Jakarta Sans" w:cs="Plus Jakarta Sans" w:eastAsia="Plus Jakarta Sans" w:hAnsi="Plus Jakarta Sans"/>
          <w:b/>
          <w:bCs/>
          <w:color w:val="3A5CE8"/>
          <w:sz w:val="24"/>
          <w:szCs w:val="24"/>
        </w:rPr>
        <w:t xml:space="preserve">Why EAS on Base</w:t>
      </w:r>
    </w:p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3A5C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Property</w:t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3A5C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7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18"/>
                <w:szCs w:val="18"/>
              </w:rPr>
              <w:t xml:space="preserve">Already live</w:t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EAS deployed on Base — no new infrastructure</w:t>
            </w:r>
          </w:p>
        </w:tc>
      </w:tr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7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18"/>
                <w:szCs w:val="18"/>
              </w:rPr>
              <w:t xml:space="preserve">Free to attest</w:t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No oracle fees, Mintware pays only gas</w:t>
            </w:r>
          </w:p>
        </w:tc>
      </w:tr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7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18"/>
                <w:szCs w:val="18"/>
              </w:rPr>
              <w:t xml:space="preserve">Composable</w:t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Any protocol on Base can read MW Score attestations</w:t>
            </w:r>
          </w:p>
        </w:tc>
      </w:tr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7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18"/>
                <w:szCs w:val="18"/>
              </w:rPr>
              <w:t xml:space="preserve">Trustless reads</w:t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Contract verifies Mintware signature on-chain</w:t>
            </w:r>
          </w:p>
        </w:tc>
      </w:tr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7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18"/>
                <w:szCs w:val="18"/>
              </w:rPr>
              <w:t xml:space="preserve">MW Score as infra</w:t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Attribution Score becomes Base-native infrastructure</w:t>
            </w:r>
          </w:p>
        </w:tc>
      </w:tr>
    </w:tbl>
    <w:p>
      <w:pPr>
        <w:pBdr>
          <w:bottom w:val="single" w:color="E0DFFF" w:sz="4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1A1A2E"/>
          <w:sz w:val="32"/>
          <w:szCs w:val="32"/>
        </w:rPr>
        <w:t xml:space="preserve">5. Phase 3 — Full On-Chain</w:t>
      </w:r>
    </w:p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000"/>
        <w:gridCol w:w="1800"/>
      </w:tblGrid>
      <w:tr>
        <w:tc>
          <w:tcPr>
            <w:tcW w:type="dxa" w:w="1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3A5CE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FFFFFF"/>
                <w:sz w:val="22"/>
                <w:szCs w:val="22"/>
              </w:rPr>
              <w:t xml:space="preserve">Phase 3</w:t>
            </w:r>
          </w:p>
        </w:tc>
        <w:tc>
          <w:tcPr>
            <w:tcW w:type="dxa" w:w="60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7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1A1A2E"/>
                <w:sz w:val="22"/>
                <w:szCs w:val="22"/>
              </w:rPr>
              <w:t xml:space="preserve">V4 Hooks + MW Score native on-chain</w:t>
            </w:r>
          </w:p>
        </w:tc>
        <w:tc>
          <w:tcPr>
            <w:tcW w:type="dxa" w:w="1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7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DM Mono" w:cs="DM Mono" w:eastAsia="DM Mono" w:hAnsi="DM Mono"/>
                <w:b/>
                <w:bCs/>
                <w:color w:val="3A5CE8"/>
                <w:sz w:val="18"/>
                <w:szCs w:val="18"/>
              </w:rPr>
              <w:t xml:space="preserve">Protocol Maturity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Plus Jakarta Sans" w:cs="Plus Jakarta Sans" w:eastAsia="Plus Jakarta Sans" w:hAnsi="Plus Jakarta Sans"/>
          <w:color w:val="4A4A6A"/>
          <w:sz w:val="20"/>
          <w:szCs w:val="20"/>
        </w:rPr>
        <w:t xml:space="preserve">When Mintware V4 hooks are live, the MW Score is computed natively on-chain. No off-chain calculation needed. Hooks detect swaps, read MW Score, accrue rewards automatically. Full trustless execution.</w:t>
      </w:r>
    </w:p>
    <w:p>
      <w:pPr>
        <w:spacing w:before="120" w:after="12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8888AA"/>
                <w:sz w:val="18"/>
                <w:szCs w:val="18"/>
              </w:rPr>
              <w:t xml:space="preserve">// V4 hook fires on every swap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afterSwap(wallet, amount)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score      = MWScore.get(wallet)         // on-chain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multiplier = getMultiplier(score)         // on-chain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reward     = amount × rate × multiplier   // on-chain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rewards[wallet] += reward                 // accrued in contract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8888AA"/>
                <w:sz w:val="18"/>
                <w:szCs w:val="18"/>
              </w:rPr>
              <w:t xml:space="preserve">// Wallet claims anytime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claim()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amount = rewards[msg.sender]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rewards[msg.sender] = 0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  token.transfer(msg.sender, amount)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8888AA"/>
                <w:sz w:val="18"/>
                <w:szCs w:val="18"/>
              </w:rPr>
              <w:t xml:space="preserve">// No cron. No Merkle tree. No backend calculation.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F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DM Mono" w:cs="DM Mono" w:eastAsia="DM Mono" w:hAnsi="DM Mono"/>
                <w:color w:val="8888AA"/>
                <w:sz w:val="18"/>
                <w:szCs w:val="18"/>
              </w:rPr>
              <w:t xml:space="preserve">// Pure on-chain. Fully trustless.</w:t>
            </w:r>
          </w:p>
        </w:tc>
      </w:tr>
    </w:tbl>
    <w:p>
      <w:pPr>
        <w:pBdr>
          <w:bottom w:val="single" w:color="E0DFFF" w:sz="4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1A1A2E"/>
          <w:sz w:val="32"/>
          <w:szCs w:val="32"/>
        </w:rPr>
        <w:t xml:space="preserve">6. Phased Roadmap Summary</w:t>
      </w:r>
    </w:p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00"/>
        <w:gridCol w:w="3300"/>
      </w:tblGrid>
      <w:tr>
        <w:tc>
          <w:tcPr>
            <w:tcW w:type="dxa" w:w="24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3A5C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3A5C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Phase 1</w:t>
            </w:r>
          </w:p>
        </w:tc>
        <w:tc>
          <w:tcPr>
            <w:tcW w:type="dxa" w:w="33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3A5C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Phase 2</w:t>
            </w:r>
          </w:p>
        </w:tc>
      </w:tr>
      <w:tr>
        <w:tc>
          <w:tcPr>
            <w:tcW w:type="dxa" w:w="24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Settlement</w:t>
            </w:r>
          </w:p>
        </w:tc>
        <w:tc>
          <w:tcPr>
            <w:tcW w:type="dxa" w:w="33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Merkle drop</w:t>
            </w:r>
          </w:p>
        </w:tc>
        <w:tc>
          <w:tcPr>
            <w:tcW w:type="dxa" w:w="33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Merkle drop</w:t>
            </w:r>
          </w:p>
        </w:tc>
      </w:tr>
      <w:tr>
        <w:tc>
          <w:tcPr>
            <w:tcW w:type="dxa" w:w="24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Score source</w:t>
            </w:r>
          </w:p>
        </w:tc>
        <w:tc>
          <w:tcPr>
            <w:tcW w:type="dxa" w:w="33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Off-chain API</w:t>
            </w:r>
          </w:p>
        </w:tc>
        <w:tc>
          <w:tcPr>
            <w:tcW w:type="dxa" w:w="33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EAS attestation on-chain</w:t>
            </w:r>
          </w:p>
        </w:tc>
      </w:tr>
      <w:tr>
        <w:tc>
          <w:tcPr>
            <w:tcW w:type="dxa" w:w="24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Multiplier calc</w:t>
            </w:r>
          </w:p>
        </w:tc>
        <w:tc>
          <w:tcPr>
            <w:tcW w:type="dxa" w:w="33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Off-chain (backend)</w:t>
            </w:r>
          </w:p>
        </w:tc>
        <w:tc>
          <w:tcPr>
            <w:tcW w:type="dxa" w:w="33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On-chain (contract reads EAS)</w:t>
            </w:r>
          </w:p>
        </w:tc>
      </w:tr>
      <w:tr>
        <w:tc>
          <w:tcPr>
            <w:tcW w:type="dxa" w:w="24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Trust requirement</w:t>
            </w:r>
          </w:p>
        </w:tc>
        <w:tc>
          <w:tcPr>
            <w:tcW w:type="dxa" w:w="33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Trust Mintware math</w:t>
            </w:r>
          </w:p>
        </w:tc>
        <w:tc>
          <w:tcPr>
            <w:tcW w:type="dxa" w:w="33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Trust Mintware attestation</w:t>
            </w:r>
          </w:p>
        </w:tc>
      </w:tr>
      <w:tr>
        <w:tc>
          <w:tcPr>
            <w:tcW w:type="dxa" w:w="24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Contract</w:t>
            </w:r>
          </w:p>
        </w:tc>
        <w:tc>
          <w:tcPr>
            <w:tcW w:type="dxa" w:w="33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MintwareDistributor.sol</w:t>
            </w:r>
          </w:p>
        </w:tc>
        <w:tc>
          <w:tcPr>
            <w:tcW w:type="dxa" w:w="33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MintwareDistributor v2.sol</w:t>
            </w:r>
          </w:p>
        </w:tc>
      </w:tr>
      <w:tr>
        <w:tc>
          <w:tcPr>
            <w:tcW w:type="dxa" w:w="24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Chains</w:t>
            </w:r>
          </w:p>
        </w:tc>
        <w:tc>
          <w:tcPr>
            <w:tcW w:type="dxa" w:w="33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Any EVM (deploy once each)</w:t>
            </w:r>
          </w:p>
        </w:tc>
        <w:tc>
          <w:tcPr>
            <w:tcW w:type="dxa" w:w="33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Base-first, any EVM</w:t>
            </w:r>
          </w:p>
        </w:tc>
      </w:tr>
      <w:tr>
        <w:tc>
          <w:tcPr>
            <w:tcW w:type="dxa" w:w="24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Build now?</w:t>
            </w:r>
          </w:p>
        </w:tc>
        <w:tc>
          <w:tcPr>
            <w:tcW w:type="dxa" w:w="33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Yes</w:t>
            </w:r>
          </w:p>
        </w:tc>
        <w:tc>
          <w:tcPr>
            <w:tcW w:type="dxa" w:w="33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Post-launch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DM Mono" w:cs="DM Mono" w:eastAsia="DM Mono" w:hAnsi="DM Mono"/>
          <w:i/>
          <w:iCs/>
          <w:color w:val="8888AA"/>
          <w:sz w:val="18"/>
          <w:szCs w:val="18"/>
        </w:rPr>
        <w:t xml:space="preserve">Phase 3 (V4 hooks + full on-chain) is the long-term protocol vision. Timeline dependent on V4 hook development.</w:t>
      </w:r>
    </w:p>
    <w:p>
      <w:pPr>
        <w:pBdr>
          <w:bottom w:val="single" w:color="E0DFFF" w:sz="4"/>
        </w:pBdr>
        <w:spacing w:before="160" w:after="160"/>
      </w:pPr>
      <w:r>
        <w:t xml:space="preserve"/>
      </w:r>
    </w:p>
    <w:p>
      <w:pPr>
        <w:pStyle w:val="Heading1"/>
        <w:spacing w:before="360" w:after="120"/>
      </w:pPr>
      <w:r>
        <w:rPr>
          <w:rFonts w:ascii="Plus Jakarta Sans" w:cs="Plus Jakarta Sans" w:eastAsia="Plus Jakarta Sans" w:hAnsi="Plus Jakarta Sans"/>
          <w:b/>
          <w:bCs/>
          <w:color w:val="1A1A2E"/>
          <w:sz w:val="32"/>
          <w:szCs w:val="32"/>
        </w:rPr>
        <w:t xml:space="preserve">7. Mintware Signer Wallet</w:t>
      </w:r>
    </w:p>
    <w:p>
      <w:pPr>
        <w:spacing w:before="60" w:after="60"/>
      </w:pPr>
      <w:r>
        <w:rPr>
          <w:rFonts w:ascii="Plus Jakarta Sans" w:cs="Plus Jakarta Sans" w:eastAsia="Plus Jakarta Sans" w:hAnsi="Plus Jakarta Sans"/>
          <w:color w:val="4A4A6A"/>
          <w:sz w:val="20"/>
          <w:szCs w:val="20"/>
        </w:rPr>
        <w:t xml:space="preserve">The one centralized touch point in Phase 1 and 2. The backend wallet that posts Merkle roots and EAS attestations on-chain. Must be secured properly.</w:t>
      </w:r>
    </w:p>
    <w:p>
      <w:pPr>
        <w:spacing w:before="80" w:after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3A5C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3A5C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7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18"/>
                <w:szCs w:val="18"/>
              </w:rPr>
              <w:t xml:space="preserve">What it does</w:t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Posts Merkle roots, creates EAS attestations, funds distributions</w:t>
            </w:r>
          </w:p>
        </w:tc>
      </w:tr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7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18"/>
                <w:szCs w:val="18"/>
              </w:rPr>
              <w:t xml:space="preserve">Security</w:t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Hardware wallet or AWS KMS — never a plain .env private key</w:t>
            </w:r>
          </w:p>
        </w:tc>
      </w:tr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7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18"/>
                <w:szCs w:val="18"/>
              </w:rPr>
              <w:t xml:space="preserve">Gas funding</w:t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Must hold native gas token on each deployed chain</w:t>
            </w:r>
          </w:p>
        </w:tc>
      </w:tr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7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18"/>
                <w:szCs w:val="18"/>
              </w:rPr>
              <w:t xml:space="preserve">Key rotation</w:t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Contract owner can update signer address if compromised</w:t>
            </w:r>
          </w:p>
        </w:tc>
      </w:tr>
      <w:tr>
        <w:tc>
          <w:tcPr>
            <w:tcW w:type="dxa" w:w="32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7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Plus Jakarta Sans" w:cs="Plus Jakarta Sans" w:eastAsia="Plus Jakarta Sans" w:hAnsi="Plus Jakarta Sans"/>
                <w:b w:val="false"/>
                <w:bCs w:val="false"/>
                <w:color w:val="1A1A2E"/>
                <w:sz w:val="18"/>
                <w:szCs w:val="18"/>
              </w:rPr>
              <w:t xml:space="preserve">Monitoring</w:t>
            </w:r>
          </w:p>
        </w:tc>
        <w:tc>
          <w:tcPr>
            <w:tcW w:type="dxa" w:w="5800"/>
            <w:tcBorders>
              <w:top w:val="single" w:color="E0DFFF" w:sz="1"/>
              <w:left w:val="single" w:color="E0DFFF" w:sz="1"/>
              <w:bottom w:val="single" w:color="E0DFFF" w:sz="1"/>
              <w:right w:val="single" w:color="E0DFFF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DM Mono" w:cs="DM Mono" w:eastAsia="DM Mono" w:hAnsi="DM Mono"/>
                <w:b w:val="false"/>
                <w:bCs w:val="false"/>
                <w:color w:val="4A4A6A"/>
                <w:sz w:val="18"/>
                <w:szCs w:val="18"/>
              </w:rPr>
              <w:t xml:space="preserve">Alert on unexpected transactions from signer address</w:t>
            </w:r>
          </w:p>
        </w:tc>
      </w:tr>
    </w:tbl>
    <w:p>
      <w:pPr>
        <w:pBdr>
          <w:bottom w:val="single" w:color="E0DFFF" w:sz="4"/>
        </w:pBdr>
        <w:spacing w:before="160" w:after="160"/>
      </w:pPr>
      <w:r>
        <w:t xml:space="preserve"/>
      </w:r>
    </w:p>
    <w:p>
      <w:pPr>
        <w:spacing w:before="200" w:after="0"/>
      </w:pPr>
      <w:r>
        <w:t xml:space="preserve"/>
      </w:r>
    </w:p>
    <w:p>
      <w:pPr>
        <w:pBdr>
          <w:top w:val="single" w:color="E0DFFF" w:sz="4"/>
        </w:pBdr>
        <w:spacing w:before="160" w:after="0"/>
      </w:pPr>
      <w:r>
        <w:rPr>
          <w:rFonts w:ascii="DM Mono" w:cs="DM Mono" w:eastAsia="DM Mono" w:hAnsi="DM Mono"/>
          <w:color w:val="8888AA"/>
          <w:sz w:val="16"/>
          <w:szCs w:val="16"/>
        </w:rPr>
        <w:t xml:space="preserve">Mintware  ·  Reward Flow &amp; Settlement Architecture  ·  Three-Phase Model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lus Jakarta Sans" w:cs="Plus Jakarta Sans" w:eastAsia="Plus Jakarta Sans" w:hAnsi="Plus Jakarta Sa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Plus Jakarta Sans" w:cs="Plus Jakarta Sans" w:eastAsia="Plus Jakarta Sans" w:hAnsi="Plus Jakarta Sans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Plus Jakarta Sans" w:cs="Plus Jakarta Sans" w:eastAsia="Plus Jakarta Sans" w:hAnsi="Plus Jakarta Sans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2026-03-17T14:27:38.676Z</dcterms:created>
  <dcterms:modified xsi:type="dcterms:W3CDTF">2026-03-17T14:27:38.677Z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