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83146" w14:textId="77777777" w:rsidR="00C66594" w:rsidRDefault="00C66594" w:rsidP="00C66594">
      <w:pPr>
        <w:spacing w:after="0" w:line="240" w:lineRule="auto"/>
        <w:jc w:val="center"/>
        <w:rPr>
          <w:rFonts w:ascii="Verdana" w:hAnsi="Verdana"/>
          <w:b/>
          <w:sz w:val="20"/>
          <w:szCs w:val="20"/>
        </w:rPr>
      </w:pPr>
    </w:p>
    <w:p w14:paraId="437ACDEA" w14:textId="6AAC7D09" w:rsidR="00C66594" w:rsidRPr="00EF33E3" w:rsidRDefault="00C66594" w:rsidP="00EF33E3">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93A6379" w14:textId="77777777" w:rsidR="00C66594" w:rsidRPr="00B8701D" w:rsidRDefault="00C66594" w:rsidP="00C66594">
      <w:pPr>
        <w:spacing w:after="0" w:line="240" w:lineRule="auto"/>
        <w:rPr>
          <w:rFonts w:ascii="Verdana" w:hAnsi="Verdana"/>
          <w:i/>
          <w:sz w:val="20"/>
          <w:szCs w:val="20"/>
        </w:rPr>
      </w:pPr>
    </w:p>
    <w:p w14:paraId="3006EE27" w14:textId="4EA46BDA"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EF33E3">
            <w:rPr>
              <w:rFonts w:ascii="Verdana" w:hAnsi="Verdana"/>
              <w:sz w:val="20"/>
              <w:szCs w:val="20"/>
            </w:rPr>
            <w:t>Michelle N</w:t>
          </w:r>
          <w:r w:rsidR="00A11489">
            <w:rPr>
              <w:rFonts w:ascii="Verdana" w:hAnsi="Verdana"/>
              <w:sz w:val="20"/>
              <w:szCs w:val="20"/>
            </w:rPr>
            <w: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0827CF2F"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sdt>
        <w:sdtPr>
          <w:rPr>
            <w:rFonts w:ascii="Verdana" w:hAnsi="Verdana"/>
            <w:sz w:val="20"/>
            <w:szCs w:val="20"/>
          </w:rPr>
          <w:id w:val="-864905786"/>
          <w:placeholder>
            <w:docPart w:val="09C49FA8560647618624C4CE2FB24DF9"/>
          </w:placeholder>
          <w:showingPlcHdr/>
        </w:sdtPr>
        <w:sdtContent>
          <w:r w:rsidR="00A11489" w:rsidRPr="00196C73">
            <w:rPr>
              <w:rStyle w:val="PlaceholderText"/>
            </w:rPr>
            <w:t>Click here to enter text.</w:t>
          </w:r>
        </w:sdtContent>
      </w:sdt>
    </w:p>
    <w:p w14:paraId="15A7ED04" w14:textId="77777777" w:rsidR="00C66594" w:rsidRPr="00B8701D" w:rsidRDefault="00C66594" w:rsidP="00C66594">
      <w:pPr>
        <w:spacing w:after="0" w:line="240" w:lineRule="auto"/>
        <w:rPr>
          <w:rFonts w:ascii="Verdana" w:hAnsi="Verdana"/>
          <w:b/>
          <w:sz w:val="20"/>
          <w:szCs w:val="20"/>
        </w:rPr>
      </w:pPr>
    </w:p>
    <w:p w14:paraId="663C725D" w14:textId="0A0CCBC4"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C36D6C">
            <w:rPr>
              <w:rFonts w:ascii="Verdana" w:hAnsi="Verdana"/>
              <w:sz w:val="20"/>
              <w:szCs w:val="20"/>
            </w:rPr>
            <w:t xml:space="preserve">Ridge Regression </w:t>
          </w:r>
          <w:r w:rsidR="008664EC">
            <w:rPr>
              <w:rFonts w:ascii="Verdana" w:hAnsi="Verdana"/>
              <w:sz w:val="20"/>
              <w:szCs w:val="20"/>
            </w:rPr>
            <w:t xml:space="preserve">and </w:t>
          </w:r>
          <w:r w:rsidR="00C36D6C">
            <w:rPr>
              <w:rFonts w:ascii="Verdana" w:hAnsi="Verdana"/>
              <w:sz w:val="20"/>
              <w:szCs w:val="20"/>
            </w:rPr>
            <w:t xml:space="preserve">Time Series </w:t>
          </w:r>
          <w:r w:rsidR="008664EC">
            <w:rPr>
              <w:rFonts w:ascii="Verdana" w:hAnsi="Verdana"/>
              <w:sz w:val="20"/>
              <w:szCs w:val="20"/>
            </w:rPr>
            <w:t>Analysis on Silver Pricing Dataset</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7006F1E8"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E96504" w:rsidRPr="00E96504">
            <w:rPr>
              <w:rFonts w:ascii="Verdana" w:hAnsi="Verdana"/>
              <w:sz w:val="20"/>
              <w:szCs w:val="20"/>
            </w:rPr>
            <w:t>Predictive Model for Commodity Market Trends</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77777777" w:rsidR="00C66594" w:rsidRPr="00344167" w:rsidRDefault="00C66594" w:rsidP="00C66594">
      <w:pPr>
        <w:spacing w:after="0" w:line="240" w:lineRule="auto"/>
        <w:ind w:left="360"/>
        <w:rPr>
          <w:rFonts w:ascii="Verdana" w:hAnsi="Verdana"/>
          <w:b/>
          <w:sz w:val="20"/>
          <w:szCs w:val="20"/>
        </w:rPr>
      </w:pPr>
      <w:r w:rsidRPr="002A43C6">
        <w:rPr>
          <w:rFonts w:ascii="Verdana" w:hAnsi="Verdana"/>
          <w:b/>
          <w:bCs/>
          <w:sz w:val="20"/>
          <w:szCs w:val="20"/>
          <w:bdr w:val="single" w:sz="4" w:space="0" w:color="auto"/>
        </w:rPr>
        <w:t>X</w:t>
      </w:r>
      <w:r>
        <w:rPr>
          <w:rFonts w:ascii="Verdana" w:hAnsi="Verdana"/>
          <w:b/>
          <w:bCs/>
          <w:sz w:val="20"/>
          <w:szCs w:val="20"/>
        </w:rPr>
        <w:t xml:space="preserve"> </w:t>
      </w:r>
      <w:r w:rsidRPr="00344167">
        <w:rPr>
          <w:rFonts w:ascii="Verdana" w:hAnsi="Verdana"/>
          <w:b/>
          <w:bCs/>
          <w:sz w:val="20"/>
          <w:szCs w:val="20"/>
        </w:rPr>
        <w:t>This project does not involve human subjects research and is exempt from WGU IRB review.</w:t>
      </w:r>
    </w:p>
    <w:p w14:paraId="26A4F621" w14:textId="77777777" w:rsidR="00C66594" w:rsidRPr="00B8701D" w:rsidRDefault="00C66594" w:rsidP="00C66594">
      <w:pPr>
        <w:spacing w:after="0" w:line="240" w:lineRule="auto"/>
        <w:rPr>
          <w:rFonts w:ascii="Verdana" w:hAnsi="Verdana"/>
          <w:b/>
          <w:sz w:val="20"/>
          <w:szCs w:val="20"/>
        </w:rPr>
      </w:pPr>
    </w:p>
    <w:p w14:paraId="21831D2B" w14:textId="77777777" w:rsidR="00C66594" w:rsidRDefault="00C66594" w:rsidP="00C66594">
      <w:pPr>
        <w:spacing w:after="0" w:line="240" w:lineRule="auto"/>
        <w:rPr>
          <w:rFonts w:ascii="Verdana" w:hAnsi="Verdana"/>
          <w:b/>
          <w:sz w:val="20"/>
          <w:szCs w:val="20"/>
        </w:rPr>
      </w:pPr>
    </w:p>
    <w:p w14:paraId="3E02B18B" w14:textId="5F4A0EFD"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Research Question: </w:t>
      </w:r>
      <w:sdt>
        <w:sdtPr>
          <w:rPr>
            <w:rFonts w:ascii="Verdana" w:hAnsi="Verdana"/>
            <w:sz w:val="20"/>
            <w:szCs w:val="20"/>
          </w:rPr>
          <w:id w:val="-681665197"/>
          <w:placeholder>
            <w:docPart w:val="1578984DA03B4FD691375605FBFB512B"/>
          </w:placeholder>
        </w:sdtPr>
        <w:sdtContent>
          <w:r w:rsidR="00764D84">
            <w:rPr>
              <w:rFonts w:ascii="Verdana" w:hAnsi="Verdana"/>
              <w:sz w:val="20"/>
              <w:szCs w:val="20"/>
            </w:rPr>
            <w:t xml:space="preserve">Can a ridge regression or time series model be constructed on the silver pricing dataset? </w:t>
          </w:r>
        </w:sdtContent>
      </w:sdt>
    </w:p>
    <w:p w14:paraId="086200CF" w14:textId="77777777" w:rsidR="00C66594" w:rsidRPr="00E864E0" w:rsidRDefault="00C66594" w:rsidP="00C66594">
      <w:pPr>
        <w:spacing w:after="0" w:line="240" w:lineRule="auto"/>
        <w:rPr>
          <w:rFonts w:ascii="Verdana" w:hAnsi="Verdana"/>
          <w:b/>
          <w:sz w:val="20"/>
          <w:szCs w:val="20"/>
        </w:rPr>
      </w:pPr>
    </w:p>
    <w:p w14:paraId="32C5BA79" w14:textId="72D29DCE" w:rsidR="00C66594" w:rsidRPr="00E864E0"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Pr="00E41B44">
            <w:rPr>
              <w:rFonts w:ascii="Verdana" w:hAnsi="Verdana"/>
              <w:b/>
              <w:sz w:val="20"/>
              <w:szCs w:val="20"/>
            </w:rPr>
            <w:t>Null hypothesis</w:t>
          </w:r>
          <w:r>
            <w:rPr>
              <w:rFonts w:ascii="Verdana" w:hAnsi="Verdana"/>
              <w:sz w:val="20"/>
              <w:szCs w:val="20"/>
            </w:rPr>
            <w:t>-</w:t>
          </w:r>
          <w:r w:rsidR="00C332DE" w:rsidRPr="00C332DE">
            <w:t xml:space="preserve"> </w:t>
          </w:r>
          <w:r w:rsidR="00C332DE" w:rsidRPr="00C332DE">
            <w:rPr>
              <w:rFonts w:ascii="Verdana" w:hAnsi="Verdana"/>
              <w:sz w:val="20"/>
              <w:szCs w:val="20"/>
            </w:rPr>
            <w:t xml:space="preserve">A </w:t>
          </w:r>
          <w:r w:rsidR="00FA486D">
            <w:rPr>
              <w:rFonts w:ascii="Verdana" w:hAnsi="Verdana"/>
              <w:sz w:val="20"/>
              <w:szCs w:val="20"/>
            </w:rPr>
            <w:t>predictive</w:t>
          </w:r>
          <w:r w:rsidR="002A62F7">
            <w:rPr>
              <w:rFonts w:ascii="Verdana" w:hAnsi="Verdana"/>
              <w:sz w:val="20"/>
              <w:szCs w:val="20"/>
            </w:rPr>
            <w:t xml:space="preserve"> </w:t>
          </w:r>
          <w:r w:rsidR="00C332DE" w:rsidRPr="00C332DE">
            <w:rPr>
              <w:rFonts w:ascii="Verdana" w:hAnsi="Verdana"/>
              <w:sz w:val="20"/>
              <w:szCs w:val="20"/>
            </w:rPr>
            <w:t xml:space="preserve">ridge regression </w:t>
          </w:r>
          <w:r w:rsidR="002A62F7">
            <w:rPr>
              <w:rFonts w:ascii="Verdana" w:hAnsi="Verdana"/>
              <w:sz w:val="20"/>
              <w:szCs w:val="20"/>
            </w:rPr>
            <w:t>model</w:t>
          </w:r>
          <w:r w:rsidR="00060B8D">
            <w:rPr>
              <w:rFonts w:ascii="Verdana" w:hAnsi="Verdana"/>
              <w:sz w:val="20"/>
              <w:szCs w:val="20"/>
            </w:rPr>
            <w:t xml:space="preserve"> with a model accuracy greater than 70%</w:t>
          </w:r>
          <w:r w:rsidR="002A62F7">
            <w:rPr>
              <w:rFonts w:ascii="Verdana" w:hAnsi="Verdana"/>
              <w:sz w:val="20"/>
              <w:szCs w:val="20"/>
            </w:rPr>
            <w:t xml:space="preserve"> </w:t>
          </w:r>
          <w:r w:rsidR="00C332DE" w:rsidRPr="00C332DE">
            <w:rPr>
              <w:rFonts w:ascii="Verdana" w:hAnsi="Verdana"/>
              <w:sz w:val="20"/>
              <w:szCs w:val="20"/>
            </w:rPr>
            <w:t>cannot be</w:t>
          </w:r>
          <w:r w:rsidR="002A62F7">
            <w:rPr>
              <w:rFonts w:ascii="Verdana" w:hAnsi="Verdana"/>
              <w:sz w:val="20"/>
              <w:szCs w:val="20"/>
            </w:rPr>
            <w:t xml:space="preserve"> </w:t>
          </w:r>
          <w:r w:rsidR="00FA486D">
            <w:rPr>
              <w:rFonts w:ascii="Verdana" w:hAnsi="Verdana"/>
              <w:sz w:val="20"/>
              <w:szCs w:val="20"/>
            </w:rPr>
            <w:t>constructed</w:t>
          </w:r>
          <w:r w:rsidR="00333D53">
            <w:rPr>
              <w:rFonts w:ascii="Verdana" w:hAnsi="Verdana"/>
              <w:sz w:val="20"/>
              <w:szCs w:val="20"/>
            </w:rPr>
            <w:t xml:space="preserve"> on the market research dataset.</w:t>
          </w:r>
          <w:r w:rsidR="002A62F7">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2A62F7">
            <w:rPr>
              <w:rFonts w:ascii="Verdana" w:hAnsi="Verdana"/>
              <w:sz w:val="20"/>
              <w:szCs w:val="20"/>
            </w:rPr>
            <w:t xml:space="preserve"> </w:t>
          </w:r>
          <w:r w:rsidR="00333D53" w:rsidRPr="00C332DE">
            <w:rPr>
              <w:rFonts w:ascii="Verdana" w:hAnsi="Verdana"/>
              <w:sz w:val="20"/>
              <w:szCs w:val="20"/>
            </w:rPr>
            <w:t xml:space="preserve">A </w:t>
          </w:r>
          <w:r w:rsidR="00333D53">
            <w:rPr>
              <w:rFonts w:ascii="Verdana" w:hAnsi="Verdana"/>
              <w:sz w:val="20"/>
              <w:szCs w:val="20"/>
            </w:rPr>
            <w:t xml:space="preserve">predictive </w:t>
          </w:r>
          <w:r w:rsidR="00333D53" w:rsidRPr="00C332DE">
            <w:rPr>
              <w:rFonts w:ascii="Verdana" w:hAnsi="Verdana"/>
              <w:sz w:val="20"/>
              <w:szCs w:val="20"/>
            </w:rPr>
            <w:t xml:space="preserve">ridge regression </w:t>
          </w:r>
          <w:r w:rsidR="00333D53">
            <w:rPr>
              <w:rFonts w:ascii="Verdana" w:hAnsi="Verdana"/>
              <w:sz w:val="20"/>
              <w:szCs w:val="20"/>
            </w:rPr>
            <w:t xml:space="preserve">model </w:t>
          </w:r>
          <w:r w:rsidR="00060B8D">
            <w:rPr>
              <w:rFonts w:ascii="Verdana" w:hAnsi="Verdana"/>
              <w:sz w:val="20"/>
              <w:szCs w:val="20"/>
            </w:rPr>
            <w:t xml:space="preserve">with a model accuracy greater than 70% </w:t>
          </w:r>
          <w:r w:rsidR="00333D53" w:rsidRPr="00C332DE">
            <w:rPr>
              <w:rFonts w:ascii="Verdana" w:hAnsi="Verdana"/>
              <w:sz w:val="20"/>
              <w:szCs w:val="20"/>
            </w:rPr>
            <w:t>can be</w:t>
          </w:r>
          <w:r w:rsidR="00333D53">
            <w:rPr>
              <w:rFonts w:ascii="Verdana" w:hAnsi="Verdana"/>
              <w:sz w:val="20"/>
              <w:szCs w:val="20"/>
            </w:rPr>
            <w:t xml:space="preserve"> constructed on the market research dataset.</w:t>
          </w:r>
        </w:sdtContent>
      </w:sdt>
    </w:p>
    <w:p w14:paraId="668F936A" w14:textId="77777777" w:rsidR="00C66594" w:rsidRPr="00B8701D" w:rsidRDefault="00C66594" w:rsidP="00C66594">
      <w:pPr>
        <w:spacing w:after="0" w:line="240" w:lineRule="auto"/>
        <w:rPr>
          <w:rFonts w:ascii="Verdana" w:hAnsi="Verdana"/>
          <w:b/>
          <w:sz w:val="20"/>
          <w:szCs w:val="20"/>
        </w:rPr>
      </w:pPr>
    </w:p>
    <w:p w14:paraId="6441DFCA" w14:textId="56116188" w:rsidR="00C66594" w:rsidRPr="00B947E5" w:rsidRDefault="00C66594" w:rsidP="005B4AB1">
      <w:pPr>
        <w:spacing w:after="0" w:line="240" w:lineRule="auto"/>
        <w:rPr>
          <w:rFonts w:ascii="Verdana" w:hAnsi="Verdana"/>
          <w:bCs/>
          <w:sz w:val="20"/>
          <w:szCs w:val="20"/>
        </w:rPr>
      </w:pPr>
      <w:r w:rsidRPr="00B8701D">
        <w:rPr>
          <w:rFonts w:ascii="Verdana" w:hAnsi="Verdana"/>
          <w:b/>
          <w:sz w:val="20"/>
          <w:szCs w:val="20"/>
        </w:rPr>
        <w:t xml:space="preserve">Context: </w:t>
      </w:r>
      <w:r w:rsidR="00B947E5">
        <w:rPr>
          <w:rFonts w:ascii="Verdana" w:hAnsi="Verdana"/>
          <w:bCs/>
          <w:sz w:val="20"/>
          <w:szCs w:val="20"/>
        </w:rPr>
        <w:t xml:space="preserve">The contribution of this study to the field of Data Analytics and the MSDA program </w:t>
      </w:r>
      <w:r w:rsidR="00C426A9">
        <w:rPr>
          <w:rFonts w:ascii="Verdana" w:hAnsi="Verdana"/>
          <w:bCs/>
          <w:sz w:val="20"/>
          <w:szCs w:val="20"/>
        </w:rPr>
        <w:t xml:space="preserve">is to create a predictive model, </w:t>
      </w:r>
      <w:r w:rsidR="00952FA8">
        <w:rPr>
          <w:rFonts w:ascii="Verdana" w:hAnsi="Verdana"/>
          <w:bCs/>
          <w:sz w:val="20"/>
          <w:szCs w:val="20"/>
        </w:rPr>
        <w:t xml:space="preserve">regression or time series, </w:t>
      </w:r>
      <w:r w:rsidR="002A3414">
        <w:rPr>
          <w:rFonts w:ascii="Verdana" w:hAnsi="Verdana"/>
          <w:bCs/>
          <w:sz w:val="20"/>
          <w:szCs w:val="20"/>
        </w:rPr>
        <w:t xml:space="preserve">that can estimate </w:t>
      </w:r>
      <w:r w:rsidR="006B7F3B">
        <w:rPr>
          <w:rFonts w:ascii="Verdana" w:hAnsi="Verdana"/>
          <w:bCs/>
          <w:sz w:val="20"/>
          <w:szCs w:val="20"/>
        </w:rPr>
        <w:t xml:space="preserve">the price of silver in USD so that </w:t>
      </w:r>
      <w:r w:rsidR="00CE378B">
        <w:rPr>
          <w:rFonts w:ascii="Verdana" w:hAnsi="Verdana"/>
          <w:bCs/>
          <w:sz w:val="20"/>
          <w:szCs w:val="20"/>
        </w:rPr>
        <w:t xml:space="preserve">a </w:t>
      </w:r>
      <w:r w:rsidR="00BE50C2">
        <w:rPr>
          <w:rFonts w:ascii="Verdana" w:hAnsi="Verdana"/>
          <w:bCs/>
          <w:sz w:val="20"/>
          <w:szCs w:val="20"/>
        </w:rPr>
        <w:t xml:space="preserve">solar panel manufacturing company can proactively manage </w:t>
      </w:r>
      <w:r w:rsidR="00F94BBE">
        <w:rPr>
          <w:rFonts w:ascii="Verdana" w:hAnsi="Verdana"/>
          <w:bCs/>
          <w:sz w:val="20"/>
          <w:szCs w:val="20"/>
        </w:rPr>
        <w:t xml:space="preserve">their </w:t>
      </w:r>
      <w:r w:rsidR="00BE50C2">
        <w:rPr>
          <w:rFonts w:ascii="Verdana" w:hAnsi="Verdana"/>
          <w:bCs/>
          <w:sz w:val="20"/>
          <w:szCs w:val="20"/>
        </w:rPr>
        <w:t>raw material cost</w:t>
      </w:r>
      <w:r w:rsidR="000328D6">
        <w:rPr>
          <w:rFonts w:ascii="Verdana" w:hAnsi="Verdana"/>
          <w:bCs/>
          <w:sz w:val="20"/>
          <w:szCs w:val="20"/>
        </w:rPr>
        <w:t xml:space="preserve">s. Silver is an important </w:t>
      </w:r>
      <w:r w:rsidR="007328A3">
        <w:rPr>
          <w:rFonts w:ascii="Verdana" w:hAnsi="Verdana"/>
          <w:bCs/>
          <w:sz w:val="20"/>
          <w:szCs w:val="20"/>
        </w:rPr>
        <w:t xml:space="preserve">raw material for manufacturing solar panels </w:t>
      </w:r>
      <w:r w:rsidR="007328A3" w:rsidRPr="007328A3">
        <w:rPr>
          <w:rFonts w:ascii="Verdana" w:hAnsi="Verdana"/>
          <w:bCs/>
          <w:sz w:val="20"/>
          <w:szCs w:val="20"/>
        </w:rPr>
        <w:t>(</w:t>
      </w:r>
      <w:r w:rsidR="007328A3" w:rsidRPr="007328A3">
        <w:rPr>
          <w:rFonts w:ascii="Verdana" w:hAnsi="Verdana"/>
          <w:bCs/>
          <w:i/>
          <w:iCs/>
          <w:sz w:val="20"/>
          <w:szCs w:val="20"/>
        </w:rPr>
        <w:t>Silver and Solar Technology</w:t>
      </w:r>
      <w:r w:rsidR="007328A3" w:rsidRPr="007328A3">
        <w:rPr>
          <w:rFonts w:ascii="Verdana" w:hAnsi="Verdana"/>
          <w:bCs/>
          <w:sz w:val="20"/>
          <w:szCs w:val="20"/>
        </w:rPr>
        <w:t>, n.d.)</w:t>
      </w:r>
      <w:r w:rsidR="007328A3">
        <w:rPr>
          <w:rFonts w:ascii="Verdana" w:hAnsi="Verdana"/>
          <w:bCs/>
          <w:sz w:val="20"/>
          <w:szCs w:val="20"/>
        </w:rPr>
        <w:t>.</w:t>
      </w:r>
      <w:r w:rsidR="005C4FCC">
        <w:rPr>
          <w:rFonts w:ascii="Verdana" w:hAnsi="Verdana"/>
          <w:bCs/>
          <w:sz w:val="20"/>
          <w:szCs w:val="20"/>
        </w:rPr>
        <w:t xml:space="preserve"> </w:t>
      </w:r>
      <w:r w:rsidR="00764669">
        <w:rPr>
          <w:rFonts w:ascii="Verdana" w:hAnsi="Verdana"/>
          <w:bCs/>
          <w:sz w:val="20"/>
          <w:szCs w:val="20"/>
        </w:rPr>
        <w:t>This study will utilize two approaches</w:t>
      </w:r>
      <w:r w:rsidR="005B3BFD">
        <w:rPr>
          <w:rFonts w:ascii="Verdana" w:hAnsi="Verdana"/>
          <w:bCs/>
          <w:sz w:val="20"/>
          <w:szCs w:val="20"/>
        </w:rPr>
        <w:t xml:space="preserve"> to </w:t>
      </w:r>
      <w:r w:rsidR="00BE5626">
        <w:rPr>
          <w:rFonts w:ascii="Verdana" w:hAnsi="Verdana"/>
          <w:bCs/>
          <w:sz w:val="20"/>
          <w:szCs w:val="20"/>
        </w:rPr>
        <w:t xml:space="preserve">attempt to forecast silver prices. The first is to </w:t>
      </w:r>
      <w:r w:rsidR="00D749FE">
        <w:rPr>
          <w:rFonts w:ascii="Verdana" w:hAnsi="Verdana"/>
          <w:bCs/>
          <w:sz w:val="20"/>
          <w:szCs w:val="20"/>
        </w:rPr>
        <w:t xml:space="preserve">create a ridge regression model using LBMA </w:t>
      </w:r>
      <w:r w:rsidR="00EC7EAF">
        <w:rPr>
          <w:rFonts w:ascii="Verdana" w:hAnsi="Verdana"/>
          <w:bCs/>
          <w:sz w:val="20"/>
          <w:szCs w:val="20"/>
        </w:rPr>
        <w:t xml:space="preserve">data </w:t>
      </w:r>
      <w:r w:rsidR="00D749FE">
        <w:rPr>
          <w:rFonts w:ascii="Verdana" w:hAnsi="Verdana"/>
          <w:bCs/>
          <w:sz w:val="20"/>
          <w:szCs w:val="20"/>
        </w:rPr>
        <w:t xml:space="preserve">on silver prices and macroeconomic data from FRED to </w:t>
      </w:r>
      <w:r w:rsidR="009978EF">
        <w:rPr>
          <w:rFonts w:ascii="Verdana" w:hAnsi="Verdana"/>
          <w:bCs/>
          <w:sz w:val="20"/>
          <w:szCs w:val="20"/>
        </w:rPr>
        <w:t xml:space="preserve">analyze the </w:t>
      </w:r>
      <w:r w:rsidR="004A65D4">
        <w:rPr>
          <w:rFonts w:ascii="Verdana" w:hAnsi="Verdana"/>
          <w:bCs/>
          <w:sz w:val="20"/>
          <w:szCs w:val="20"/>
        </w:rPr>
        <w:t>significant predictor variables</w:t>
      </w:r>
      <w:r w:rsidR="00EC7EAF">
        <w:rPr>
          <w:rFonts w:ascii="Verdana" w:hAnsi="Verdana"/>
          <w:bCs/>
          <w:sz w:val="20"/>
          <w:szCs w:val="20"/>
        </w:rPr>
        <w:t xml:space="preserve"> </w:t>
      </w:r>
      <w:r w:rsidR="00B05EB6">
        <w:rPr>
          <w:rFonts w:ascii="Verdana" w:hAnsi="Verdana"/>
          <w:bCs/>
          <w:sz w:val="20"/>
          <w:szCs w:val="20"/>
        </w:rPr>
        <w:t>for the price of silver in USD.</w:t>
      </w:r>
      <w:r w:rsidR="00F22E24">
        <w:rPr>
          <w:rFonts w:ascii="Verdana" w:hAnsi="Verdana"/>
          <w:bCs/>
          <w:sz w:val="20"/>
          <w:szCs w:val="20"/>
        </w:rPr>
        <w:t xml:space="preserve"> </w:t>
      </w:r>
      <w:r w:rsidR="00F245DF">
        <w:rPr>
          <w:rFonts w:ascii="Verdana" w:hAnsi="Verdana"/>
          <w:bCs/>
          <w:sz w:val="20"/>
          <w:szCs w:val="20"/>
        </w:rPr>
        <w:t xml:space="preserve">A previous study </w:t>
      </w:r>
      <w:r w:rsidR="00C55D92">
        <w:rPr>
          <w:rFonts w:ascii="Verdana" w:hAnsi="Verdana"/>
          <w:bCs/>
          <w:sz w:val="20"/>
          <w:szCs w:val="20"/>
        </w:rPr>
        <w:t xml:space="preserve">from the University of Melbourne, Australia found that using ridge regression </w:t>
      </w:r>
      <w:r w:rsidR="00844CE8">
        <w:rPr>
          <w:rFonts w:ascii="Verdana" w:hAnsi="Verdana"/>
          <w:bCs/>
          <w:sz w:val="20"/>
          <w:szCs w:val="20"/>
        </w:rPr>
        <w:t>is viable as a way to predict commodity prices</w:t>
      </w:r>
      <w:r w:rsidR="00D66224">
        <w:rPr>
          <w:rFonts w:ascii="Verdana" w:hAnsi="Verdana"/>
          <w:bCs/>
          <w:sz w:val="20"/>
          <w:szCs w:val="20"/>
        </w:rPr>
        <w:t xml:space="preserve"> from macroeconomic </w:t>
      </w:r>
      <w:r w:rsidR="00296A77">
        <w:rPr>
          <w:rFonts w:ascii="Verdana" w:hAnsi="Verdana"/>
          <w:bCs/>
          <w:sz w:val="20"/>
          <w:szCs w:val="20"/>
        </w:rPr>
        <w:t>data</w:t>
      </w:r>
      <w:r w:rsidR="00A27A6B">
        <w:rPr>
          <w:rFonts w:ascii="Verdana" w:hAnsi="Verdana"/>
          <w:bCs/>
          <w:sz w:val="20"/>
          <w:szCs w:val="20"/>
        </w:rPr>
        <w:t xml:space="preserve"> and performs better than other regression methods because it </w:t>
      </w:r>
      <w:r w:rsidR="0065167B">
        <w:rPr>
          <w:rFonts w:ascii="Verdana" w:hAnsi="Verdana"/>
          <w:bCs/>
          <w:sz w:val="20"/>
          <w:szCs w:val="20"/>
        </w:rPr>
        <w:t xml:space="preserve">reduces </w:t>
      </w:r>
      <w:r w:rsidR="00EC47E6">
        <w:rPr>
          <w:rFonts w:ascii="Verdana" w:hAnsi="Verdana"/>
          <w:bCs/>
          <w:sz w:val="20"/>
          <w:szCs w:val="20"/>
        </w:rPr>
        <w:t>the effects of parameter estimation error by using shrinkage</w:t>
      </w:r>
      <w:r w:rsidR="004F563E">
        <w:rPr>
          <w:rFonts w:ascii="Verdana" w:hAnsi="Verdana"/>
          <w:bCs/>
          <w:sz w:val="20"/>
          <w:szCs w:val="20"/>
        </w:rPr>
        <w:t xml:space="preserve"> </w:t>
      </w:r>
      <w:r w:rsidR="004F563E" w:rsidRPr="004F563E">
        <w:rPr>
          <w:rFonts w:ascii="Verdana" w:hAnsi="Verdana"/>
          <w:bCs/>
          <w:sz w:val="20"/>
          <w:szCs w:val="20"/>
        </w:rPr>
        <w:t>(Gargano &amp; Timmermann, 2014)</w:t>
      </w:r>
      <w:r w:rsidR="004F563E">
        <w:rPr>
          <w:rFonts w:ascii="Verdana" w:hAnsi="Verdana"/>
          <w:bCs/>
          <w:sz w:val="20"/>
          <w:szCs w:val="20"/>
        </w:rPr>
        <w:t>.</w:t>
      </w:r>
      <w:r w:rsidR="00EF49DA">
        <w:rPr>
          <w:rFonts w:ascii="Verdana" w:hAnsi="Verdana"/>
          <w:bCs/>
          <w:sz w:val="20"/>
          <w:szCs w:val="20"/>
        </w:rPr>
        <w:t xml:space="preserve"> The second approach</w:t>
      </w:r>
      <w:r w:rsidR="00E33C2F">
        <w:rPr>
          <w:rFonts w:ascii="Verdana" w:hAnsi="Verdana"/>
          <w:bCs/>
          <w:sz w:val="20"/>
          <w:szCs w:val="20"/>
        </w:rPr>
        <w:t xml:space="preserve"> </w:t>
      </w:r>
      <w:r w:rsidR="00AD7B91">
        <w:rPr>
          <w:rFonts w:ascii="Verdana" w:hAnsi="Verdana"/>
          <w:bCs/>
          <w:sz w:val="20"/>
          <w:szCs w:val="20"/>
        </w:rPr>
        <w:t>will be to use an ARIMA model based solely on LBMA data</w:t>
      </w:r>
      <w:r w:rsidR="0082185D">
        <w:rPr>
          <w:rFonts w:ascii="Verdana" w:hAnsi="Verdana"/>
          <w:bCs/>
          <w:sz w:val="20"/>
          <w:szCs w:val="20"/>
        </w:rPr>
        <w:t>.</w:t>
      </w:r>
      <w:r w:rsidR="000D0FE8">
        <w:rPr>
          <w:rFonts w:ascii="Verdana" w:hAnsi="Verdana"/>
          <w:bCs/>
          <w:sz w:val="20"/>
          <w:szCs w:val="20"/>
        </w:rPr>
        <w:t xml:space="preserve"> A</w:t>
      </w:r>
      <w:r w:rsidR="00313481">
        <w:rPr>
          <w:rFonts w:ascii="Verdana" w:hAnsi="Verdana"/>
          <w:bCs/>
          <w:sz w:val="20"/>
          <w:szCs w:val="20"/>
        </w:rPr>
        <w:t xml:space="preserve"> previous study </w:t>
      </w:r>
      <w:r w:rsidR="00BB1893">
        <w:rPr>
          <w:rFonts w:ascii="Verdana" w:hAnsi="Verdana"/>
          <w:bCs/>
          <w:sz w:val="20"/>
          <w:szCs w:val="20"/>
        </w:rPr>
        <w:t xml:space="preserve">conducted by Kriechbaumer et al. </w:t>
      </w:r>
      <w:r w:rsidR="00254D37">
        <w:rPr>
          <w:rFonts w:ascii="Verdana" w:hAnsi="Verdana"/>
          <w:bCs/>
          <w:sz w:val="20"/>
          <w:szCs w:val="20"/>
        </w:rPr>
        <w:t xml:space="preserve">concluded </w:t>
      </w:r>
      <w:r w:rsidR="00B46B4F" w:rsidRPr="00B46B4F">
        <w:rPr>
          <w:rFonts w:ascii="Verdana" w:hAnsi="Verdana"/>
          <w:bCs/>
          <w:sz w:val="20"/>
          <w:szCs w:val="20"/>
        </w:rPr>
        <w:t>that ARIMA models “perform marginally better and are a useful tool for […] companies to predict metal prices</w:t>
      </w:r>
      <w:r w:rsidR="00B46B4F">
        <w:rPr>
          <w:rFonts w:ascii="Verdana" w:hAnsi="Verdana"/>
          <w:bCs/>
          <w:sz w:val="20"/>
          <w:szCs w:val="20"/>
        </w:rPr>
        <w:t xml:space="preserve">” </w:t>
      </w:r>
      <w:r w:rsidR="007F49D5" w:rsidRPr="007F49D5">
        <w:rPr>
          <w:rFonts w:ascii="Verdana" w:hAnsi="Verdana"/>
          <w:bCs/>
          <w:sz w:val="20"/>
          <w:szCs w:val="20"/>
        </w:rPr>
        <w:t>(Kriechbaumer et al., 2013)</w:t>
      </w:r>
      <w:r w:rsidR="007F49D5">
        <w:rPr>
          <w:rFonts w:ascii="Verdana" w:hAnsi="Verdana"/>
          <w:bCs/>
          <w:sz w:val="20"/>
          <w:szCs w:val="20"/>
        </w:rPr>
        <w:t>.</w:t>
      </w:r>
      <w:r w:rsidR="00242722">
        <w:rPr>
          <w:rFonts w:ascii="Verdana" w:hAnsi="Verdana"/>
          <w:bCs/>
          <w:sz w:val="20"/>
          <w:szCs w:val="20"/>
        </w:rPr>
        <w:t xml:space="preserve"> </w:t>
      </w:r>
      <w:r w:rsidR="0053036B">
        <w:rPr>
          <w:rFonts w:ascii="Verdana" w:hAnsi="Verdana"/>
          <w:bCs/>
          <w:sz w:val="20"/>
          <w:szCs w:val="20"/>
        </w:rPr>
        <w:t xml:space="preserve">Predicting the price of silver is crucial because macroeconomic factors and </w:t>
      </w:r>
      <w:r w:rsidR="00ED049D">
        <w:rPr>
          <w:rFonts w:ascii="Verdana" w:hAnsi="Verdana"/>
          <w:bCs/>
          <w:sz w:val="20"/>
          <w:szCs w:val="20"/>
        </w:rPr>
        <w:t>historical trends in the price of silver can be used to predict the future price of silver, allowing the cost of raw materials to be minimized</w:t>
      </w:r>
      <w:r w:rsidR="00977B0D">
        <w:rPr>
          <w:rFonts w:ascii="Verdana" w:hAnsi="Verdana"/>
          <w:bCs/>
          <w:sz w:val="20"/>
          <w:szCs w:val="20"/>
        </w:rPr>
        <w:t xml:space="preserve"> and the bottom line to be maximized.</w:t>
      </w:r>
    </w:p>
    <w:p w14:paraId="4E333EFE" w14:textId="77777777" w:rsidR="00C66594" w:rsidRPr="00B8701D" w:rsidRDefault="00C66594" w:rsidP="00C66594">
      <w:pPr>
        <w:spacing w:after="0" w:line="240" w:lineRule="auto"/>
        <w:rPr>
          <w:rFonts w:ascii="Verdana" w:hAnsi="Verdana"/>
          <w:b/>
          <w:sz w:val="20"/>
          <w:szCs w:val="20"/>
        </w:rPr>
      </w:pPr>
    </w:p>
    <w:p w14:paraId="0AA9382E" w14:textId="3FC48202" w:rsidR="00C66594" w:rsidRDefault="00C66594" w:rsidP="005B4AB1">
      <w:pPr>
        <w:spacing w:after="0" w:line="240" w:lineRule="auto"/>
        <w:rPr>
          <w:rFonts w:ascii="Verdana" w:hAnsi="Verdana"/>
          <w:b/>
          <w:sz w:val="20"/>
          <w:szCs w:val="20"/>
        </w:rPr>
      </w:pPr>
      <w:r w:rsidRPr="00B8701D">
        <w:rPr>
          <w:rFonts w:ascii="Verdana" w:hAnsi="Verdana"/>
          <w:b/>
          <w:sz w:val="20"/>
          <w:szCs w:val="20"/>
        </w:rPr>
        <w:t xml:space="preserve">Data: </w:t>
      </w:r>
    </w:p>
    <w:p w14:paraId="6878316E" w14:textId="2397C625" w:rsidR="00BE21F6" w:rsidRDefault="00BE21F6" w:rsidP="005B4AB1">
      <w:pPr>
        <w:spacing w:after="0" w:line="240" w:lineRule="auto"/>
        <w:rPr>
          <w:rFonts w:ascii="Verdana" w:hAnsi="Verdana"/>
          <w:b/>
          <w:sz w:val="20"/>
          <w:szCs w:val="20"/>
        </w:rPr>
      </w:pPr>
    </w:p>
    <w:p w14:paraId="1E03120A" w14:textId="56E9E16C" w:rsidR="00415764" w:rsidRPr="00D12D2C" w:rsidRDefault="00BE21F6" w:rsidP="00415764">
      <w:pPr>
        <w:spacing w:after="0" w:line="240" w:lineRule="auto"/>
        <w:rPr>
          <w:rFonts w:ascii="Verdana" w:eastAsia="Times New Roman" w:hAnsi="Verdana" w:cs="Times New Roman"/>
          <w:sz w:val="20"/>
          <w:szCs w:val="20"/>
        </w:rPr>
      </w:pPr>
      <w:r>
        <w:rPr>
          <w:rFonts w:ascii="Verdana" w:hAnsi="Verdana"/>
          <w:bCs/>
          <w:sz w:val="20"/>
          <w:szCs w:val="20"/>
        </w:rPr>
        <w:t>The base dataset was sourced from Kaggle, but the data itself comes from the LBMA</w:t>
      </w:r>
      <w:r w:rsidR="009E1253">
        <w:rPr>
          <w:rFonts w:ascii="Verdana" w:hAnsi="Verdana"/>
          <w:bCs/>
          <w:sz w:val="20"/>
          <w:szCs w:val="20"/>
        </w:rPr>
        <w:t>, also known as the London Bull</w:t>
      </w:r>
      <w:r w:rsidR="00DB4484">
        <w:rPr>
          <w:rFonts w:ascii="Verdana" w:hAnsi="Verdana"/>
          <w:bCs/>
          <w:sz w:val="20"/>
          <w:szCs w:val="20"/>
        </w:rPr>
        <w:t>i</w:t>
      </w:r>
      <w:r w:rsidR="009E1253">
        <w:rPr>
          <w:rFonts w:ascii="Verdana" w:hAnsi="Verdana"/>
          <w:bCs/>
          <w:sz w:val="20"/>
          <w:szCs w:val="20"/>
        </w:rPr>
        <w:t>on Market Association.</w:t>
      </w:r>
      <w:r w:rsidR="007D04F8">
        <w:rPr>
          <w:rFonts w:ascii="Verdana" w:hAnsi="Verdana"/>
          <w:bCs/>
          <w:sz w:val="20"/>
          <w:szCs w:val="20"/>
        </w:rPr>
        <w:t xml:space="preserve"> </w:t>
      </w:r>
      <w:r w:rsidR="0026358A">
        <w:rPr>
          <w:rFonts w:ascii="Verdana" w:hAnsi="Verdana"/>
          <w:bCs/>
          <w:sz w:val="20"/>
          <w:szCs w:val="20"/>
        </w:rPr>
        <w:t xml:space="preserve">The </w:t>
      </w:r>
      <w:r w:rsidR="00EC529C">
        <w:rPr>
          <w:rFonts w:ascii="Verdana" w:hAnsi="Verdana"/>
          <w:bCs/>
          <w:sz w:val="20"/>
          <w:szCs w:val="20"/>
        </w:rPr>
        <w:t>Kaggle</w:t>
      </w:r>
      <w:r w:rsidR="0026358A">
        <w:rPr>
          <w:rFonts w:ascii="Verdana" w:hAnsi="Verdana"/>
          <w:bCs/>
          <w:sz w:val="20"/>
          <w:szCs w:val="20"/>
        </w:rPr>
        <w:t xml:space="preserve"> </w:t>
      </w:r>
      <w:r w:rsidR="00E14866">
        <w:rPr>
          <w:rFonts w:ascii="Verdana" w:hAnsi="Verdana"/>
          <w:bCs/>
          <w:sz w:val="20"/>
          <w:szCs w:val="20"/>
        </w:rPr>
        <w:t xml:space="preserve">provides the date, silver USD, silver GBP, and silver euro columns in the table below. </w:t>
      </w:r>
      <w:r w:rsidR="00C7107D">
        <w:rPr>
          <w:rFonts w:ascii="Verdana" w:hAnsi="Verdana"/>
          <w:bCs/>
          <w:sz w:val="20"/>
          <w:szCs w:val="20"/>
        </w:rPr>
        <w:t xml:space="preserve">The base dataset from Kaggle </w:t>
      </w:r>
      <w:r w:rsidR="00E9209C" w:rsidRPr="00E9209C">
        <w:rPr>
          <w:rFonts w:ascii="Verdana" w:hAnsi="Verdana"/>
          <w:bCs/>
          <w:sz w:val="20"/>
          <w:szCs w:val="20"/>
        </w:rPr>
        <w:t>is licensed under the Creative Commons Attribution-NonCommercial-NoDerivatives 4.0 International License (CC BY-NC-ND 4.0</w:t>
      </w:r>
      <w:r w:rsidR="007B295B">
        <w:rPr>
          <w:rFonts w:ascii="Verdana" w:hAnsi="Verdana"/>
          <w:bCs/>
          <w:sz w:val="20"/>
          <w:szCs w:val="20"/>
        </w:rPr>
        <w:t>,</w:t>
      </w:r>
      <w:r w:rsidR="00E9209C" w:rsidRPr="00E9209C">
        <w:rPr>
          <w:rFonts w:ascii="Verdana" w:hAnsi="Verdana"/>
          <w:bCs/>
          <w:sz w:val="20"/>
          <w:szCs w:val="20"/>
        </w:rPr>
        <w:t>)</w:t>
      </w:r>
      <w:r w:rsidR="007B295B">
        <w:rPr>
          <w:rFonts w:ascii="Verdana" w:hAnsi="Verdana"/>
          <w:bCs/>
          <w:sz w:val="20"/>
          <w:szCs w:val="20"/>
        </w:rPr>
        <w:t xml:space="preserve"> which allows the use of the dataset as long as appropriate credit is given</w:t>
      </w:r>
      <w:r w:rsidR="005E40D3">
        <w:rPr>
          <w:rFonts w:ascii="Verdana" w:hAnsi="Verdana"/>
          <w:bCs/>
          <w:sz w:val="20"/>
          <w:szCs w:val="20"/>
        </w:rPr>
        <w:t xml:space="preserve">, a link to the license is provided, the data is not used for commercial purposes, and </w:t>
      </w:r>
      <w:r w:rsidR="00E27CBE">
        <w:rPr>
          <w:rFonts w:ascii="Verdana" w:hAnsi="Verdana"/>
          <w:bCs/>
          <w:sz w:val="20"/>
          <w:szCs w:val="20"/>
        </w:rPr>
        <w:t>no derivatives of the dataset are shared</w:t>
      </w:r>
      <w:r w:rsidR="00CE3A3A">
        <w:rPr>
          <w:rFonts w:ascii="Verdana" w:hAnsi="Verdana"/>
          <w:bCs/>
          <w:sz w:val="20"/>
          <w:szCs w:val="20"/>
        </w:rPr>
        <w:t xml:space="preserve"> </w:t>
      </w:r>
      <w:r w:rsidR="00CE3A3A" w:rsidRPr="00CE3A3A">
        <w:rPr>
          <w:rFonts w:ascii="Verdana" w:eastAsia="Times New Roman" w:hAnsi="Verdana" w:cs="Times New Roman"/>
          <w:sz w:val="20"/>
          <w:szCs w:val="20"/>
        </w:rPr>
        <w:t>(</w:t>
      </w:r>
      <w:r w:rsidR="00CE3A3A" w:rsidRPr="00CE3A3A">
        <w:rPr>
          <w:rFonts w:ascii="Verdana" w:eastAsia="Times New Roman" w:hAnsi="Verdana" w:cs="Times New Roman"/>
          <w:i/>
          <w:iCs/>
          <w:sz w:val="20"/>
          <w:szCs w:val="20"/>
        </w:rPr>
        <w:t>Deed - Attribution-NonCommercial-NoDerivatives 4.0 International - Creative Commons</w:t>
      </w:r>
      <w:r w:rsidR="00CE3A3A" w:rsidRPr="00CE3A3A">
        <w:rPr>
          <w:rFonts w:ascii="Verdana" w:eastAsia="Times New Roman" w:hAnsi="Verdana" w:cs="Times New Roman"/>
          <w:sz w:val="20"/>
          <w:szCs w:val="20"/>
        </w:rPr>
        <w:t>, n.d.)</w:t>
      </w:r>
      <w:r w:rsidR="00E27CBE" w:rsidRPr="00CE3A3A">
        <w:rPr>
          <w:rFonts w:ascii="Verdana" w:hAnsi="Verdana"/>
          <w:bCs/>
          <w:sz w:val="20"/>
          <w:szCs w:val="20"/>
        </w:rPr>
        <w:t>.</w:t>
      </w:r>
      <w:r w:rsidR="00EC529C">
        <w:rPr>
          <w:rFonts w:ascii="Verdana" w:eastAsia="Times New Roman" w:hAnsi="Verdana" w:cs="Times New Roman"/>
          <w:sz w:val="20"/>
          <w:szCs w:val="20"/>
        </w:rPr>
        <w:t xml:space="preserve"> </w:t>
      </w:r>
      <w:r w:rsidR="00E14866">
        <w:rPr>
          <w:rFonts w:ascii="Verdana" w:hAnsi="Verdana"/>
          <w:bCs/>
          <w:sz w:val="20"/>
          <w:szCs w:val="20"/>
        </w:rPr>
        <w:t>The rest of the columns come from FRED</w:t>
      </w:r>
      <w:r w:rsidR="00594A52">
        <w:rPr>
          <w:rFonts w:ascii="Verdana" w:hAnsi="Verdana"/>
          <w:bCs/>
          <w:sz w:val="20"/>
          <w:szCs w:val="20"/>
        </w:rPr>
        <w:t xml:space="preserve">, also known as </w:t>
      </w:r>
      <w:r w:rsidR="00470F8F">
        <w:rPr>
          <w:rFonts w:ascii="Verdana" w:hAnsi="Verdana"/>
          <w:bCs/>
          <w:sz w:val="20"/>
          <w:szCs w:val="20"/>
        </w:rPr>
        <w:t>Federal Reserve Economic Data</w:t>
      </w:r>
      <w:r w:rsidR="00E14866">
        <w:rPr>
          <w:rFonts w:ascii="Verdana" w:hAnsi="Verdana"/>
          <w:bCs/>
          <w:sz w:val="20"/>
          <w:szCs w:val="20"/>
        </w:rPr>
        <w:t xml:space="preserve">, where one dataset provides each of the remaining </w:t>
      </w:r>
      <w:r w:rsidR="003E6EC8">
        <w:rPr>
          <w:rFonts w:ascii="Verdana" w:hAnsi="Verdana"/>
          <w:bCs/>
          <w:sz w:val="20"/>
          <w:szCs w:val="20"/>
        </w:rPr>
        <w:t xml:space="preserve">five columns. </w:t>
      </w:r>
      <w:r w:rsidR="00D84720" w:rsidRPr="00D12D2C">
        <w:rPr>
          <w:rFonts w:ascii="Verdana" w:hAnsi="Verdana"/>
          <w:sz w:val="20"/>
          <w:szCs w:val="20"/>
        </w:rPr>
        <w:t xml:space="preserve">The FRED website’s terms of service indicate that datasets can be used so long as proper attribution </w:t>
      </w:r>
      <w:r w:rsidR="009B5B94" w:rsidRPr="00D12D2C">
        <w:rPr>
          <w:rFonts w:ascii="Verdana" w:hAnsi="Verdana"/>
          <w:sz w:val="20"/>
          <w:szCs w:val="20"/>
        </w:rPr>
        <w:t>is included and the purpose for dataset use is non-commercial in nature</w:t>
      </w:r>
      <w:r w:rsidR="0018280F" w:rsidRPr="00D12D2C">
        <w:rPr>
          <w:rFonts w:ascii="Verdana" w:hAnsi="Verdana"/>
          <w:sz w:val="20"/>
          <w:szCs w:val="20"/>
        </w:rPr>
        <w:t xml:space="preserve"> </w:t>
      </w:r>
      <w:r w:rsidR="0018280F" w:rsidRPr="00D12D2C">
        <w:rPr>
          <w:rFonts w:ascii="Verdana" w:eastAsia="Times New Roman" w:hAnsi="Verdana" w:cs="Times New Roman"/>
          <w:sz w:val="20"/>
          <w:szCs w:val="20"/>
        </w:rPr>
        <w:t>(</w:t>
      </w:r>
      <w:r w:rsidR="0018280F" w:rsidRPr="00D12D2C">
        <w:rPr>
          <w:rFonts w:ascii="Verdana" w:eastAsia="Times New Roman" w:hAnsi="Verdana" w:cs="Times New Roman"/>
          <w:i/>
          <w:iCs/>
          <w:sz w:val="20"/>
          <w:szCs w:val="20"/>
        </w:rPr>
        <w:t>Legal Notices, Information and Disclaimers</w:t>
      </w:r>
      <w:r w:rsidR="0018280F" w:rsidRPr="00D12D2C">
        <w:rPr>
          <w:rFonts w:ascii="Verdana" w:eastAsia="Times New Roman" w:hAnsi="Verdana" w:cs="Times New Roman"/>
          <w:sz w:val="20"/>
          <w:szCs w:val="20"/>
        </w:rPr>
        <w:t>, n.d.).</w:t>
      </w:r>
      <w:r w:rsidR="004C71FC">
        <w:rPr>
          <w:rFonts w:ascii="Verdana" w:eastAsia="Times New Roman" w:hAnsi="Verdana" w:cs="Times New Roman"/>
          <w:sz w:val="20"/>
          <w:szCs w:val="20"/>
        </w:rPr>
        <w:t xml:space="preserve"> The pricing of silver is recommended for study by </w:t>
      </w:r>
      <w:r w:rsidR="00461B44">
        <w:rPr>
          <w:rFonts w:ascii="Verdana" w:eastAsia="Times New Roman" w:hAnsi="Verdana" w:cs="Times New Roman"/>
          <w:sz w:val="20"/>
          <w:szCs w:val="20"/>
        </w:rPr>
        <w:t xml:space="preserve">CAPEX, a firm that performs similar research </w:t>
      </w:r>
      <w:r w:rsidR="003431C5" w:rsidRPr="003431C5">
        <w:rPr>
          <w:rFonts w:ascii="Verdana" w:eastAsia="Times New Roman" w:hAnsi="Verdana" w:cs="Times New Roman"/>
          <w:sz w:val="20"/>
          <w:szCs w:val="20"/>
        </w:rPr>
        <w:t>(Cochintu, 2024)</w:t>
      </w:r>
      <w:r w:rsidR="003431C5">
        <w:rPr>
          <w:rFonts w:ascii="Verdana" w:eastAsia="Times New Roman" w:hAnsi="Verdana" w:cs="Times New Roman"/>
          <w:sz w:val="20"/>
          <w:szCs w:val="20"/>
        </w:rPr>
        <w:t>.</w:t>
      </w:r>
    </w:p>
    <w:p w14:paraId="48E158B7" w14:textId="77777777" w:rsidR="003E6EC8" w:rsidRDefault="003E6EC8" w:rsidP="005B4AB1">
      <w:pPr>
        <w:spacing w:after="0" w:line="240" w:lineRule="auto"/>
        <w:rPr>
          <w:rFonts w:ascii="Verdana" w:hAnsi="Verdana"/>
          <w:bCs/>
          <w:sz w:val="20"/>
          <w:szCs w:val="20"/>
        </w:rPr>
      </w:pPr>
    </w:p>
    <w:p w14:paraId="540F45B9" w14:textId="0F9946E2" w:rsidR="00B90D30" w:rsidRDefault="00B13703" w:rsidP="005B4AB1">
      <w:pPr>
        <w:spacing w:after="0" w:line="240" w:lineRule="auto"/>
        <w:rPr>
          <w:rFonts w:ascii="Verdana" w:hAnsi="Verdana"/>
          <w:bCs/>
          <w:sz w:val="20"/>
          <w:szCs w:val="20"/>
        </w:rPr>
      </w:pPr>
      <w:r>
        <w:rPr>
          <w:rFonts w:ascii="Verdana" w:hAnsi="Verdana"/>
          <w:bCs/>
          <w:sz w:val="20"/>
          <w:szCs w:val="20"/>
        </w:rPr>
        <w:t>These</w:t>
      </w:r>
      <w:r w:rsidR="00536937">
        <w:rPr>
          <w:rFonts w:ascii="Verdana" w:hAnsi="Verdana"/>
          <w:bCs/>
          <w:sz w:val="20"/>
          <w:szCs w:val="20"/>
        </w:rPr>
        <w:t xml:space="preserve"> datasets were combined into one larger dataset as shown below, which </w:t>
      </w:r>
      <w:r w:rsidR="00907B77">
        <w:rPr>
          <w:rFonts w:ascii="Verdana" w:hAnsi="Verdana"/>
          <w:bCs/>
          <w:sz w:val="20"/>
          <w:szCs w:val="20"/>
        </w:rPr>
        <w:t xml:space="preserve">has </w:t>
      </w:r>
      <w:r w:rsidR="00DC5DC9">
        <w:rPr>
          <w:rFonts w:ascii="Verdana" w:hAnsi="Verdana"/>
          <w:bCs/>
          <w:sz w:val="20"/>
          <w:szCs w:val="20"/>
        </w:rPr>
        <w:t>19,</w:t>
      </w:r>
      <w:r w:rsidR="006B2113">
        <w:rPr>
          <w:rFonts w:ascii="Verdana" w:hAnsi="Verdana"/>
          <w:bCs/>
          <w:sz w:val="20"/>
          <w:szCs w:val="20"/>
        </w:rPr>
        <w:t>834</w:t>
      </w:r>
      <w:r>
        <w:rPr>
          <w:rFonts w:ascii="Verdana" w:hAnsi="Verdana"/>
          <w:bCs/>
          <w:sz w:val="20"/>
          <w:szCs w:val="20"/>
        </w:rPr>
        <w:t xml:space="preserve"> cleaned rows total representing a date range starting from the earliest date in any of the six original datasets and ending with the latest date in any of the 6 original datasets. </w:t>
      </w:r>
      <w:r w:rsidR="00B90D30">
        <w:rPr>
          <w:rFonts w:ascii="Verdana" w:hAnsi="Verdana"/>
          <w:bCs/>
          <w:sz w:val="20"/>
          <w:szCs w:val="20"/>
        </w:rPr>
        <w:t xml:space="preserve">A link to this dataset can be found here: </w:t>
      </w:r>
      <w:hyperlink r:id="rId8" w:history="1">
        <w:r w:rsidR="00F91C0B" w:rsidRPr="00087E90">
          <w:rPr>
            <w:rStyle w:val="Hyperlink"/>
            <w:rFonts w:ascii="Verdana" w:hAnsi="Verdana"/>
            <w:bCs/>
            <w:sz w:val="20"/>
            <w:szCs w:val="20"/>
          </w:rPr>
          <w:t>https://westerngovernorsuniversity-my.sharepoint.com/:x:/g/personal/mnel522_wgu_edu/EX74iym0Hl5MtdvuhU9EXBcBUs2U164UFvqV8FWEATg2Pw?e=oBfuUs</w:t>
        </w:r>
      </w:hyperlink>
      <w:r w:rsidR="00F91C0B">
        <w:rPr>
          <w:rFonts w:ascii="Verdana" w:hAnsi="Verdana"/>
          <w:bCs/>
          <w:sz w:val="20"/>
          <w:szCs w:val="20"/>
        </w:rPr>
        <w:t xml:space="preserve"> </w:t>
      </w:r>
    </w:p>
    <w:p w14:paraId="43A282F5" w14:textId="77777777" w:rsidR="00B90D30" w:rsidRDefault="00B90D30" w:rsidP="005B4AB1">
      <w:pPr>
        <w:spacing w:after="0" w:line="240" w:lineRule="auto"/>
        <w:rPr>
          <w:rFonts w:ascii="Verdana" w:hAnsi="Verdana"/>
          <w:bCs/>
          <w:sz w:val="20"/>
          <w:szCs w:val="20"/>
        </w:rPr>
      </w:pPr>
    </w:p>
    <w:p w14:paraId="128818F9" w14:textId="2E3E1EB2" w:rsidR="005F7BD6" w:rsidRDefault="00124053" w:rsidP="005B4AB1">
      <w:pPr>
        <w:spacing w:after="0" w:line="240" w:lineRule="auto"/>
        <w:rPr>
          <w:rFonts w:ascii="Verdana" w:hAnsi="Verdana"/>
          <w:bCs/>
          <w:sz w:val="20"/>
          <w:szCs w:val="20"/>
        </w:rPr>
      </w:pPr>
      <w:r>
        <w:rPr>
          <w:rFonts w:ascii="Verdana" w:hAnsi="Verdana"/>
          <w:bCs/>
          <w:sz w:val="20"/>
          <w:szCs w:val="20"/>
        </w:rPr>
        <w:t>The variable types in the combined dataset are broken down as follows:</w:t>
      </w:r>
    </w:p>
    <w:p w14:paraId="1BF2DAD6" w14:textId="77777777" w:rsidR="00CD2969" w:rsidRDefault="00CD2969" w:rsidP="005B4AB1">
      <w:pPr>
        <w:spacing w:after="0" w:line="240" w:lineRule="auto"/>
        <w:rPr>
          <w:rFonts w:ascii="Verdana" w:hAnsi="Verdana"/>
          <w:bCs/>
          <w:sz w:val="20"/>
          <w:szCs w:val="20"/>
        </w:rPr>
      </w:pPr>
    </w:p>
    <w:p w14:paraId="02E82900" w14:textId="77777777" w:rsidR="00CD2969" w:rsidRDefault="00CD2969" w:rsidP="005B4AB1">
      <w:pPr>
        <w:spacing w:after="0" w:line="240" w:lineRule="auto"/>
        <w:rPr>
          <w:rFonts w:ascii="Verdana" w:hAnsi="Verdana"/>
          <w:bCs/>
          <w:sz w:val="20"/>
          <w:szCs w:val="20"/>
        </w:rPr>
      </w:pPr>
    </w:p>
    <w:p w14:paraId="18BE3C45" w14:textId="77777777" w:rsidR="00CD2969" w:rsidRDefault="00CD2969" w:rsidP="005B4AB1">
      <w:pPr>
        <w:spacing w:after="0" w:line="240" w:lineRule="auto"/>
        <w:rPr>
          <w:rFonts w:ascii="Verdana" w:hAnsi="Verdana"/>
          <w:bCs/>
          <w:sz w:val="20"/>
          <w:szCs w:val="20"/>
        </w:rPr>
      </w:pPr>
    </w:p>
    <w:p w14:paraId="04C1A059" w14:textId="77777777" w:rsidR="00CD2969" w:rsidRDefault="00CD2969" w:rsidP="005B4AB1">
      <w:pPr>
        <w:spacing w:after="0" w:line="240" w:lineRule="auto"/>
        <w:rPr>
          <w:rFonts w:ascii="Verdana" w:hAnsi="Verdana"/>
          <w:bCs/>
          <w:sz w:val="20"/>
          <w:szCs w:val="20"/>
        </w:rPr>
      </w:pPr>
    </w:p>
    <w:p w14:paraId="6173CC7B" w14:textId="77777777" w:rsidR="00CD2969" w:rsidRDefault="00CD2969" w:rsidP="005B4AB1">
      <w:pPr>
        <w:spacing w:after="0" w:line="240" w:lineRule="auto"/>
        <w:rPr>
          <w:rFonts w:ascii="Verdana" w:hAnsi="Verdana"/>
          <w:bCs/>
          <w:sz w:val="20"/>
          <w:szCs w:val="20"/>
        </w:rPr>
      </w:pPr>
    </w:p>
    <w:p w14:paraId="50E30CC6" w14:textId="77777777" w:rsidR="00CD2969" w:rsidRPr="00BE21F6" w:rsidRDefault="00CD2969" w:rsidP="005B4AB1">
      <w:pPr>
        <w:spacing w:after="0" w:line="240" w:lineRule="auto"/>
        <w:rPr>
          <w:rFonts w:ascii="Verdana" w:hAnsi="Verdana"/>
          <w:bCs/>
          <w:sz w:val="20"/>
          <w:szCs w:val="20"/>
        </w:rPr>
      </w:pPr>
    </w:p>
    <w:p w14:paraId="3161AEFD" w14:textId="77777777" w:rsidR="00A748B9" w:rsidRDefault="00A748B9" w:rsidP="005B4AB1">
      <w:pPr>
        <w:spacing w:after="0" w:line="240" w:lineRule="auto"/>
        <w:rPr>
          <w:rFonts w:ascii="Verdana" w:hAnsi="Verdana"/>
          <w:b/>
          <w:sz w:val="20"/>
          <w:szCs w:val="20"/>
        </w:rPr>
      </w:pPr>
    </w:p>
    <w:tbl>
      <w:tblPr>
        <w:tblStyle w:val="GridTable4-Accent1"/>
        <w:tblW w:w="0" w:type="auto"/>
        <w:tblLook w:val="04A0" w:firstRow="1" w:lastRow="0" w:firstColumn="1" w:lastColumn="0" w:noHBand="0" w:noVBand="1"/>
      </w:tblPr>
      <w:tblGrid>
        <w:gridCol w:w="3788"/>
        <w:gridCol w:w="3789"/>
        <w:gridCol w:w="3789"/>
      </w:tblGrid>
      <w:tr w:rsidR="007E3562" w14:paraId="37F1F162" w14:textId="77777777" w:rsidTr="007E3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8" w:type="dxa"/>
          </w:tcPr>
          <w:p w14:paraId="06F938E2" w14:textId="009D4648" w:rsidR="007E3562" w:rsidRPr="007E3562" w:rsidRDefault="007E3562" w:rsidP="005B4AB1">
            <w:pPr>
              <w:spacing w:after="0" w:line="240" w:lineRule="auto"/>
              <w:rPr>
                <w:rFonts w:ascii="Verdana" w:hAnsi="Verdana"/>
                <w:iCs/>
                <w:sz w:val="20"/>
                <w:szCs w:val="20"/>
              </w:rPr>
            </w:pPr>
            <w:r>
              <w:rPr>
                <w:rFonts w:ascii="Verdana" w:hAnsi="Verdana"/>
                <w:iCs/>
                <w:sz w:val="20"/>
                <w:szCs w:val="20"/>
              </w:rPr>
              <w:t>Cleaned Column Name</w:t>
            </w:r>
          </w:p>
        </w:tc>
        <w:tc>
          <w:tcPr>
            <w:tcW w:w="3789" w:type="dxa"/>
          </w:tcPr>
          <w:p w14:paraId="2207F664" w14:textId="2188D0F2" w:rsidR="007E3562" w:rsidRPr="00AA072A" w:rsidRDefault="00AA072A" w:rsidP="005B4AB1">
            <w:pPr>
              <w:spacing w:after="0" w:line="240" w:lineRule="auto"/>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iCs/>
                <w:sz w:val="20"/>
                <w:szCs w:val="20"/>
              </w:rPr>
              <w:t>Data Type</w:t>
            </w:r>
          </w:p>
        </w:tc>
        <w:tc>
          <w:tcPr>
            <w:tcW w:w="3789" w:type="dxa"/>
          </w:tcPr>
          <w:p w14:paraId="26842E53" w14:textId="098FF44B" w:rsidR="007E3562" w:rsidRPr="00AA072A" w:rsidRDefault="00AA072A" w:rsidP="005B4AB1">
            <w:pPr>
              <w:spacing w:after="0" w:line="240" w:lineRule="auto"/>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iCs/>
                <w:sz w:val="20"/>
                <w:szCs w:val="20"/>
              </w:rPr>
              <w:t>Variable Type</w:t>
            </w:r>
          </w:p>
        </w:tc>
      </w:tr>
      <w:tr w:rsidR="007E3562" w14:paraId="13BE3F3E" w14:textId="77777777" w:rsidTr="007E3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8" w:type="dxa"/>
          </w:tcPr>
          <w:p w14:paraId="600EDDE2" w14:textId="69298B7C" w:rsidR="007E3562" w:rsidRPr="005A41DD" w:rsidRDefault="005A41DD" w:rsidP="005B4AB1">
            <w:pPr>
              <w:spacing w:after="0" w:line="240" w:lineRule="auto"/>
              <w:rPr>
                <w:rFonts w:ascii="Verdana" w:hAnsi="Verdana"/>
                <w:b w:val="0"/>
                <w:sz w:val="20"/>
                <w:szCs w:val="20"/>
              </w:rPr>
            </w:pPr>
            <w:r>
              <w:rPr>
                <w:rFonts w:ascii="Verdana" w:hAnsi="Verdana"/>
                <w:b w:val="0"/>
                <w:bCs w:val="0"/>
                <w:iCs/>
                <w:sz w:val="20"/>
                <w:szCs w:val="20"/>
              </w:rPr>
              <w:t>Date</w:t>
            </w:r>
          </w:p>
        </w:tc>
        <w:tc>
          <w:tcPr>
            <w:tcW w:w="3789" w:type="dxa"/>
          </w:tcPr>
          <w:p w14:paraId="35630237" w14:textId="5BA1918A" w:rsidR="007E3562" w:rsidRPr="00A639D9" w:rsidRDefault="0030242B" w:rsidP="005B4AB1">
            <w:pPr>
              <w:spacing w:after="0"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iCs/>
                <w:sz w:val="20"/>
                <w:szCs w:val="20"/>
              </w:rPr>
              <w:t>Numeric</w:t>
            </w:r>
          </w:p>
        </w:tc>
        <w:tc>
          <w:tcPr>
            <w:tcW w:w="3789" w:type="dxa"/>
          </w:tcPr>
          <w:p w14:paraId="3258CD06" w14:textId="70877999" w:rsidR="007E3562" w:rsidRPr="00A639D9" w:rsidRDefault="0030242B" w:rsidP="005B4AB1">
            <w:pPr>
              <w:spacing w:after="0"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iCs/>
                <w:sz w:val="20"/>
                <w:szCs w:val="20"/>
              </w:rPr>
              <w:t>Independent</w:t>
            </w:r>
          </w:p>
        </w:tc>
      </w:tr>
      <w:tr w:rsidR="007E3562" w14:paraId="6D21721C" w14:textId="77777777" w:rsidTr="007E3562">
        <w:tc>
          <w:tcPr>
            <w:cnfStyle w:val="001000000000" w:firstRow="0" w:lastRow="0" w:firstColumn="1" w:lastColumn="0" w:oddVBand="0" w:evenVBand="0" w:oddHBand="0" w:evenHBand="0" w:firstRowFirstColumn="0" w:firstRowLastColumn="0" w:lastRowFirstColumn="0" w:lastRowLastColumn="0"/>
            <w:tcW w:w="3788" w:type="dxa"/>
          </w:tcPr>
          <w:p w14:paraId="57C5FE2A" w14:textId="1494FDA7" w:rsidR="007E3562" w:rsidRPr="0099436F" w:rsidRDefault="0099436F" w:rsidP="005B4AB1">
            <w:pPr>
              <w:spacing w:after="0" w:line="240" w:lineRule="auto"/>
              <w:rPr>
                <w:rFonts w:ascii="Verdana" w:hAnsi="Verdana"/>
                <w:sz w:val="20"/>
                <w:szCs w:val="20"/>
              </w:rPr>
            </w:pPr>
            <w:r>
              <w:rPr>
                <w:rFonts w:ascii="Verdana" w:hAnsi="Verdana"/>
                <w:b w:val="0"/>
                <w:bCs w:val="0"/>
                <w:iCs/>
                <w:sz w:val="20"/>
                <w:szCs w:val="20"/>
              </w:rPr>
              <w:t>Silver_USD</w:t>
            </w:r>
          </w:p>
        </w:tc>
        <w:tc>
          <w:tcPr>
            <w:tcW w:w="3789" w:type="dxa"/>
          </w:tcPr>
          <w:p w14:paraId="61B4689F" w14:textId="186C5DA4" w:rsidR="007E3562" w:rsidRPr="00A639D9" w:rsidRDefault="002176AF" w:rsidP="005B4AB1">
            <w:pPr>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iCs/>
                <w:sz w:val="20"/>
                <w:szCs w:val="20"/>
              </w:rPr>
              <w:t>Numeric</w:t>
            </w:r>
          </w:p>
        </w:tc>
        <w:tc>
          <w:tcPr>
            <w:tcW w:w="3789" w:type="dxa"/>
          </w:tcPr>
          <w:p w14:paraId="611E9405" w14:textId="1B781889" w:rsidR="007E3562" w:rsidRPr="00A639D9" w:rsidRDefault="002176AF" w:rsidP="005B4AB1">
            <w:pPr>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iCs/>
                <w:sz w:val="20"/>
                <w:szCs w:val="20"/>
              </w:rPr>
              <w:t>Dependent</w:t>
            </w:r>
          </w:p>
        </w:tc>
      </w:tr>
      <w:tr w:rsidR="007E3562" w14:paraId="37D9839D" w14:textId="77777777" w:rsidTr="007E3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8" w:type="dxa"/>
          </w:tcPr>
          <w:p w14:paraId="69F7F44E" w14:textId="1CA91213" w:rsidR="007E3562" w:rsidRPr="00A639D9" w:rsidRDefault="00DA5D3C" w:rsidP="005B4AB1">
            <w:pPr>
              <w:spacing w:after="0" w:line="240" w:lineRule="auto"/>
              <w:rPr>
                <w:rFonts w:ascii="Verdana" w:hAnsi="Verdana"/>
                <w:b w:val="0"/>
                <w:sz w:val="20"/>
                <w:szCs w:val="20"/>
              </w:rPr>
            </w:pPr>
            <w:r>
              <w:rPr>
                <w:rFonts w:ascii="Verdana" w:hAnsi="Verdana"/>
                <w:b w:val="0"/>
                <w:bCs w:val="0"/>
                <w:iCs/>
                <w:sz w:val="20"/>
                <w:szCs w:val="20"/>
              </w:rPr>
              <w:t>US_AUD_</w:t>
            </w:r>
            <w:r w:rsidR="00BB378C">
              <w:rPr>
                <w:rFonts w:ascii="Verdana" w:hAnsi="Verdana"/>
                <w:b w:val="0"/>
                <w:bCs w:val="0"/>
                <w:iCs/>
                <w:sz w:val="20"/>
                <w:szCs w:val="20"/>
              </w:rPr>
              <w:t>R</w:t>
            </w:r>
            <w:r>
              <w:rPr>
                <w:rFonts w:ascii="Verdana" w:hAnsi="Verdana"/>
                <w:b w:val="0"/>
                <w:bCs w:val="0"/>
                <w:iCs/>
                <w:sz w:val="20"/>
                <w:szCs w:val="20"/>
              </w:rPr>
              <w:t>ate</w:t>
            </w:r>
          </w:p>
        </w:tc>
        <w:tc>
          <w:tcPr>
            <w:tcW w:w="3789" w:type="dxa"/>
          </w:tcPr>
          <w:p w14:paraId="68644D6B" w14:textId="63766DCD" w:rsidR="007E3562" w:rsidRPr="00A639D9" w:rsidRDefault="005D5855" w:rsidP="005B4AB1">
            <w:pPr>
              <w:spacing w:after="0"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iCs/>
                <w:sz w:val="20"/>
                <w:szCs w:val="20"/>
              </w:rPr>
              <w:t>Numeric</w:t>
            </w:r>
          </w:p>
        </w:tc>
        <w:tc>
          <w:tcPr>
            <w:tcW w:w="3789" w:type="dxa"/>
          </w:tcPr>
          <w:p w14:paraId="6AFAF017" w14:textId="4021103F" w:rsidR="007E3562" w:rsidRPr="00A639D9" w:rsidRDefault="005D5855" w:rsidP="005B4AB1">
            <w:pPr>
              <w:spacing w:after="0"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iCs/>
                <w:sz w:val="20"/>
                <w:szCs w:val="20"/>
              </w:rPr>
              <w:t>Independent</w:t>
            </w:r>
          </w:p>
        </w:tc>
      </w:tr>
      <w:tr w:rsidR="007E3562" w14:paraId="1FE6BB75" w14:textId="77777777" w:rsidTr="007E3562">
        <w:tc>
          <w:tcPr>
            <w:cnfStyle w:val="001000000000" w:firstRow="0" w:lastRow="0" w:firstColumn="1" w:lastColumn="0" w:oddVBand="0" w:evenVBand="0" w:oddHBand="0" w:evenHBand="0" w:firstRowFirstColumn="0" w:firstRowLastColumn="0" w:lastRowFirstColumn="0" w:lastRowLastColumn="0"/>
            <w:tcW w:w="3788" w:type="dxa"/>
          </w:tcPr>
          <w:p w14:paraId="2E9AEF2F" w14:textId="454CDC84" w:rsidR="007E3562" w:rsidRPr="00A639D9" w:rsidRDefault="003D77B6" w:rsidP="005B4AB1">
            <w:pPr>
              <w:spacing w:after="0" w:line="240" w:lineRule="auto"/>
              <w:rPr>
                <w:rFonts w:ascii="Verdana" w:hAnsi="Verdana"/>
                <w:b w:val="0"/>
                <w:sz w:val="20"/>
                <w:szCs w:val="20"/>
              </w:rPr>
            </w:pPr>
            <w:r>
              <w:rPr>
                <w:rFonts w:ascii="Verdana" w:hAnsi="Verdana"/>
                <w:b w:val="0"/>
                <w:bCs w:val="0"/>
                <w:iCs/>
                <w:sz w:val="20"/>
                <w:szCs w:val="20"/>
              </w:rPr>
              <w:t>Unemployment</w:t>
            </w:r>
          </w:p>
        </w:tc>
        <w:tc>
          <w:tcPr>
            <w:tcW w:w="3789" w:type="dxa"/>
          </w:tcPr>
          <w:p w14:paraId="08D6AD0D" w14:textId="39A68FCE" w:rsidR="007E3562" w:rsidRPr="00A639D9" w:rsidRDefault="005D5855" w:rsidP="005B4AB1">
            <w:pPr>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iCs/>
                <w:sz w:val="20"/>
                <w:szCs w:val="20"/>
              </w:rPr>
              <w:t>Numeric</w:t>
            </w:r>
          </w:p>
        </w:tc>
        <w:tc>
          <w:tcPr>
            <w:tcW w:w="3789" w:type="dxa"/>
          </w:tcPr>
          <w:p w14:paraId="2EB9906F" w14:textId="5E081120" w:rsidR="007E3562" w:rsidRPr="00A639D9" w:rsidRDefault="005D5855" w:rsidP="005B4AB1">
            <w:pPr>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iCs/>
                <w:sz w:val="20"/>
                <w:szCs w:val="20"/>
              </w:rPr>
              <w:t>Independent</w:t>
            </w:r>
          </w:p>
        </w:tc>
      </w:tr>
      <w:tr w:rsidR="007E3562" w14:paraId="4C100771" w14:textId="77777777" w:rsidTr="007E3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8" w:type="dxa"/>
          </w:tcPr>
          <w:p w14:paraId="71B235C4" w14:textId="6A85EB5C" w:rsidR="007E3562" w:rsidRPr="00A639D9" w:rsidRDefault="00715072" w:rsidP="005B4AB1">
            <w:pPr>
              <w:spacing w:after="0" w:line="240" w:lineRule="auto"/>
              <w:rPr>
                <w:rFonts w:ascii="Verdana" w:hAnsi="Verdana"/>
                <w:b w:val="0"/>
                <w:sz w:val="20"/>
                <w:szCs w:val="20"/>
              </w:rPr>
            </w:pPr>
            <w:r>
              <w:rPr>
                <w:rFonts w:ascii="Verdana" w:hAnsi="Verdana"/>
                <w:b w:val="0"/>
                <w:bCs w:val="0"/>
                <w:iCs/>
                <w:sz w:val="20"/>
                <w:szCs w:val="20"/>
              </w:rPr>
              <w:t>Inflation</w:t>
            </w:r>
          </w:p>
        </w:tc>
        <w:tc>
          <w:tcPr>
            <w:tcW w:w="3789" w:type="dxa"/>
          </w:tcPr>
          <w:p w14:paraId="5CC59E3B" w14:textId="282E7981" w:rsidR="007E3562" w:rsidRPr="00A639D9" w:rsidRDefault="005D5855" w:rsidP="005B4AB1">
            <w:pPr>
              <w:spacing w:after="0"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iCs/>
                <w:sz w:val="20"/>
                <w:szCs w:val="20"/>
              </w:rPr>
              <w:t>Numeric</w:t>
            </w:r>
          </w:p>
        </w:tc>
        <w:tc>
          <w:tcPr>
            <w:tcW w:w="3789" w:type="dxa"/>
          </w:tcPr>
          <w:p w14:paraId="24542B5B" w14:textId="6D0261ED" w:rsidR="007E3562" w:rsidRPr="00A639D9" w:rsidRDefault="005D5855" w:rsidP="005B4AB1">
            <w:pPr>
              <w:spacing w:after="0"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iCs/>
                <w:sz w:val="20"/>
                <w:szCs w:val="20"/>
              </w:rPr>
              <w:t>Independent</w:t>
            </w:r>
          </w:p>
        </w:tc>
      </w:tr>
      <w:tr w:rsidR="007E3562" w14:paraId="22EEF3BD" w14:textId="77777777" w:rsidTr="007E3562">
        <w:tc>
          <w:tcPr>
            <w:cnfStyle w:val="001000000000" w:firstRow="0" w:lastRow="0" w:firstColumn="1" w:lastColumn="0" w:oddVBand="0" w:evenVBand="0" w:oddHBand="0" w:evenHBand="0" w:firstRowFirstColumn="0" w:firstRowLastColumn="0" w:lastRowFirstColumn="0" w:lastRowLastColumn="0"/>
            <w:tcW w:w="3788" w:type="dxa"/>
          </w:tcPr>
          <w:p w14:paraId="1DFA5B89" w14:textId="790534FE" w:rsidR="007E3562" w:rsidRPr="00A639D9" w:rsidRDefault="00F1433F" w:rsidP="005B4AB1">
            <w:pPr>
              <w:spacing w:after="0" w:line="240" w:lineRule="auto"/>
              <w:rPr>
                <w:rFonts w:ascii="Verdana" w:hAnsi="Verdana"/>
                <w:b w:val="0"/>
                <w:sz w:val="20"/>
                <w:szCs w:val="20"/>
              </w:rPr>
            </w:pPr>
            <w:r>
              <w:rPr>
                <w:rFonts w:ascii="Verdana" w:hAnsi="Verdana"/>
                <w:b w:val="0"/>
                <w:bCs w:val="0"/>
                <w:iCs/>
                <w:sz w:val="20"/>
                <w:szCs w:val="20"/>
              </w:rPr>
              <w:t>US_Recession</w:t>
            </w:r>
          </w:p>
        </w:tc>
        <w:tc>
          <w:tcPr>
            <w:tcW w:w="3789" w:type="dxa"/>
          </w:tcPr>
          <w:p w14:paraId="2896564F" w14:textId="7384133D" w:rsidR="007E3562" w:rsidRPr="00A639D9" w:rsidRDefault="00236781" w:rsidP="005B4AB1">
            <w:pPr>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iCs/>
                <w:sz w:val="20"/>
                <w:szCs w:val="20"/>
              </w:rPr>
              <w:t>Categorical</w:t>
            </w:r>
          </w:p>
        </w:tc>
        <w:tc>
          <w:tcPr>
            <w:tcW w:w="3789" w:type="dxa"/>
          </w:tcPr>
          <w:p w14:paraId="2A79EFBD" w14:textId="3972C741" w:rsidR="007E3562" w:rsidRPr="00A639D9" w:rsidRDefault="00236781" w:rsidP="005B4AB1">
            <w:pPr>
              <w:spacing w:after="0" w:line="240" w:lineRule="auto"/>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iCs/>
                <w:sz w:val="20"/>
                <w:szCs w:val="20"/>
              </w:rPr>
              <w:t>Independent</w:t>
            </w:r>
          </w:p>
        </w:tc>
      </w:tr>
      <w:tr w:rsidR="007E3562" w14:paraId="6DA2B429" w14:textId="77777777" w:rsidTr="007E3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8" w:type="dxa"/>
          </w:tcPr>
          <w:p w14:paraId="57FBBB41" w14:textId="32BA05FB" w:rsidR="007E3562" w:rsidRPr="00A639D9" w:rsidRDefault="00EE48E3" w:rsidP="005B4AB1">
            <w:pPr>
              <w:spacing w:after="0" w:line="240" w:lineRule="auto"/>
              <w:rPr>
                <w:rFonts w:ascii="Verdana" w:hAnsi="Verdana"/>
                <w:b w:val="0"/>
                <w:sz w:val="20"/>
                <w:szCs w:val="20"/>
              </w:rPr>
            </w:pPr>
            <w:r>
              <w:rPr>
                <w:rFonts w:ascii="Verdana" w:hAnsi="Verdana"/>
                <w:b w:val="0"/>
                <w:bCs w:val="0"/>
                <w:iCs/>
                <w:sz w:val="20"/>
                <w:szCs w:val="20"/>
              </w:rPr>
              <w:t>China_Recession</w:t>
            </w:r>
          </w:p>
        </w:tc>
        <w:tc>
          <w:tcPr>
            <w:tcW w:w="3789" w:type="dxa"/>
          </w:tcPr>
          <w:p w14:paraId="6F4B7F8E" w14:textId="448C73DE" w:rsidR="007E3562" w:rsidRPr="00A639D9" w:rsidRDefault="00236781" w:rsidP="005B4AB1">
            <w:pPr>
              <w:spacing w:after="0"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iCs/>
                <w:sz w:val="20"/>
                <w:szCs w:val="20"/>
              </w:rPr>
              <w:t>Categorical</w:t>
            </w:r>
          </w:p>
        </w:tc>
        <w:tc>
          <w:tcPr>
            <w:tcW w:w="3789" w:type="dxa"/>
          </w:tcPr>
          <w:p w14:paraId="3E696DB6" w14:textId="17F2B7D6" w:rsidR="007E3562" w:rsidRPr="00A639D9" w:rsidRDefault="00236781" w:rsidP="005B4AB1">
            <w:pPr>
              <w:spacing w:after="0" w:line="240" w:lineRule="auto"/>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Pr>
                <w:rFonts w:ascii="Verdana" w:hAnsi="Verdana"/>
                <w:iCs/>
                <w:sz w:val="20"/>
                <w:szCs w:val="20"/>
              </w:rPr>
              <w:t>Independent</w:t>
            </w:r>
          </w:p>
        </w:tc>
      </w:tr>
    </w:tbl>
    <w:p w14:paraId="39AB9852" w14:textId="77777777" w:rsidR="00A748B9" w:rsidRPr="00B8701D" w:rsidRDefault="00A748B9" w:rsidP="005B4AB1">
      <w:pPr>
        <w:spacing w:after="0" w:line="240" w:lineRule="auto"/>
        <w:rPr>
          <w:rFonts w:ascii="Verdana" w:hAnsi="Verdana"/>
          <w:i/>
          <w:sz w:val="20"/>
          <w:szCs w:val="20"/>
        </w:rPr>
      </w:pPr>
    </w:p>
    <w:p w14:paraId="0AB5CEB0" w14:textId="341E8690" w:rsidR="000B733B" w:rsidRDefault="00673E9F" w:rsidP="00C66594">
      <w:pPr>
        <w:spacing w:after="0" w:line="240" w:lineRule="auto"/>
        <w:rPr>
          <w:rFonts w:ascii="Verdana" w:eastAsia="Times New Roman" w:hAnsi="Verdana" w:cs="Times New Roman"/>
          <w:bCs/>
          <w:sz w:val="20"/>
          <w:szCs w:val="20"/>
        </w:rPr>
      </w:pPr>
      <w:r>
        <w:rPr>
          <w:rFonts w:ascii="Verdana" w:eastAsia="Times New Roman" w:hAnsi="Verdana" w:cs="Times New Roman"/>
          <w:bCs/>
          <w:sz w:val="20"/>
          <w:szCs w:val="20"/>
          <w:u w:val="single"/>
        </w:rPr>
        <w:t>Limitations:</w:t>
      </w:r>
      <w:r>
        <w:rPr>
          <w:rFonts w:ascii="Verdana" w:eastAsia="Times New Roman" w:hAnsi="Verdana" w:cs="Times New Roman"/>
          <w:bCs/>
          <w:sz w:val="20"/>
          <w:szCs w:val="20"/>
        </w:rPr>
        <w:t xml:space="preserve"> </w:t>
      </w:r>
      <w:r w:rsidR="000655F3">
        <w:rPr>
          <w:rFonts w:ascii="Verdana" w:eastAsia="Times New Roman" w:hAnsi="Verdana" w:cs="Times New Roman"/>
          <w:bCs/>
          <w:sz w:val="20"/>
          <w:szCs w:val="20"/>
        </w:rPr>
        <w:t xml:space="preserve">One of the more restrictive limitations </w:t>
      </w:r>
      <w:r w:rsidR="00952BD8">
        <w:rPr>
          <w:rFonts w:ascii="Verdana" w:eastAsia="Times New Roman" w:hAnsi="Verdana" w:cs="Times New Roman"/>
          <w:bCs/>
          <w:sz w:val="20"/>
          <w:szCs w:val="20"/>
        </w:rPr>
        <w:t xml:space="preserve">on this study is that </w:t>
      </w:r>
      <w:r w:rsidR="00AC1BF2">
        <w:rPr>
          <w:rFonts w:ascii="Verdana" w:eastAsia="Times New Roman" w:hAnsi="Verdana" w:cs="Times New Roman"/>
          <w:bCs/>
          <w:sz w:val="20"/>
          <w:szCs w:val="20"/>
        </w:rPr>
        <w:t>there is a significant amount of sparsity in the original, uncleaned dataset. However, there are 19,834 cleaned rows in the dataset.</w:t>
      </w:r>
      <w:r w:rsidR="00362855">
        <w:rPr>
          <w:rFonts w:ascii="Verdana" w:eastAsia="Times New Roman" w:hAnsi="Verdana" w:cs="Times New Roman"/>
          <w:bCs/>
          <w:sz w:val="20"/>
          <w:szCs w:val="20"/>
        </w:rPr>
        <w:t xml:space="preserve"> Another limitation is that the datasets all cover different time periods and the window where all the datasets have data is limited to </w:t>
      </w:r>
      <w:r w:rsidR="00DC246F">
        <w:rPr>
          <w:rFonts w:ascii="Verdana" w:eastAsia="Times New Roman" w:hAnsi="Verdana" w:cs="Times New Roman"/>
          <w:bCs/>
          <w:sz w:val="20"/>
          <w:szCs w:val="20"/>
        </w:rPr>
        <w:t>January 2</w:t>
      </w:r>
      <w:r w:rsidR="00DC246F" w:rsidRPr="00DC246F">
        <w:rPr>
          <w:rFonts w:ascii="Verdana" w:eastAsia="Times New Roman" w:hAnsi="Verdana" w:cs="Times New Roman"/>
          <w:bCs/>
          <w:sz w:val="20"/>
          <w:szCs w:val="20"/>
          <w:vertAlign w:val="superscript"/>
        </w:rPr>
        <w:t>nd</w:t>
      </w:r>
      <w:r w:rsidR="00DC246F">
        <w:rPr>
          <w:rFonts w:ascii="Verdana" w:eastAsia="Times New Roman" w:hAnsi="Verdana" w:cs="Times New Roman"/>
          <w:bCs/>
          <w:sz w:val="20"/>
          <w:szCs w:val="20"/>
        </w:rPr>
        <w:t xml:space="preserve">, 2003 through </w:t>
      </w:r>
      <w:r w:rsidR="00986B0C">
        <w:rPr>
          <w:rFonts w:ascii="Verdana" w:eastAsia="Times New Roman" w:hAnsi="Verdana" w:cs="Times New Roman"/>
          <w:bCs/>
          <w:sz w:val="20"/>
          <w:szCs w:val="20"/>
        </w:rPr>
        <w:t>April 21</w:t>
      </w:r>
      <w:r w:rsidR="00986B0C" w:rsidRPr="00986B0C">
        <w:rPr>
          <w:rFonts w:ascii="Verdana" w:eastAsia="Times New Roman" w:hAnsi="Verdana" w:cs="Times New Roman"/>
          <w:bCs/>
          <w:sz w:val="20"/>
          <w:szCs w:val="20"/>
          <w:vertAlign w:val="superscript"/>
        </w:rPr>
        <w:t>st</w:t>
      </w:r>
      <w:r w:rsidR="00986B0C">
        <w:rPr>
          <w:rFonts w:ascii="Verdana" w:eastAsia="Times New Roman" w:hAnsi="Verdana" w:cs="Times New Roman"/>
          <w:bCs/>
          <w:sz w:val="20"/>
          <w:szCs w:val="20"/>
        </w:rPr>
        <w:t>, 2022. Thus, the ridge regression model will have to be run on this time period.</w:t>
      </w:r>
      <w:r w:rsidR="00477E01">
        <w:rPr>
          <w:rFonts w:ascii="Verdana" w:eastAsia="Times New Roman" w:hAnsi="Verdana" w:cs="Times New Roman"/>
          <w:bCs/>
          <w:sz w:val="20"/>
          <w:szCs w:val="20"/>
        </w:rPr>
        <w:t xml:space="preserve"> Likewise, the LBMA data used for the ARIMA model only contains data from January 2</w:t>
      </w:r>
      <w:r w:rsidR="00477E01" w:rsidRPr="00477E01">
        <w:rPr>
          <w:rFonts w:ascii="Verdana" w:eastAsia="Times New Roman" w:hAnsi="Verdana" w:cs="Times New Roman"/>
          <w:bCs/>
          <w:sz w:val="20"/>
          <w:szCs w:val="20"/>
          <w:vertAlign w:val="superscript"/>
        </w:rPr>
        <w:t>nd</w:t>
      </w:r>
      <w:r w:rsidR="00477E01">
        <w:rPr>
          <w:rFonts w:ascii="Verdana" w:eastAsia="Times New Roman" w:hAnsi="Verdana" w:cs="Times New Roman"/>
          <w:bCs/>
          <w:sz w:val="20"/>
          <w:szCs w:val="20"/>
        </w:rPr>
        <w:t xml:space="preserve">, 1968 through </w:t>
      </w:r>
      <w:r w:rsidR="004C3C86">
        <w:rPr>
          <w:rFonts w:ascii="Verdana" w:eastAsia="Times New Roman" w:hAnsi="Verdana" w:cs="Times New Roman"/>
          <w:bCs/>
          <w:sz w:val="20"/>
          <w:szCs w:val="20"/>
        </w:rPr>
        <w:t>April 21</w:t>
      </w:r>
      <w:r w:rsidR="004C3C86" w:rsidRPr="004C3C86">
        <w:rPr>
          <w:rFonts w:ascii="Verdana" w:eastAsia="Times New Roman" w:hAnsi="Verdana" w:cs="Times New Roman"/>
          <w:bCs/>
          <w:sz w:val="20"/>
          <w:szCs w:val="20"/>
          <w:vertAlign w:val="superscript"/>
        </w:rPr>
        <w:t>st</w:t>
      </w:r>
      <w:r w:rsidR="004C3C86">
        <w:rPr>
          <w:rFonts w:ascii="Verdana" w:eastAsia="Times New Roman" w:hAnsi="Verdana" w:cs="Times New Roman"/>
          <w:bCs/>
          <w:sz w:val="20"/>
          <w:szCs w:val="20"/>
        </w:rPr>
        <w:t>, 2022, so the ARIMA model will have to be run on this time period.</w:t>
      </w:r>
    </w:p>
    <w:p w14:paraId="2BD0C27B" w14:textId="77777777" w:rsidR="00FB68D2" w:rsidRDefault="00FB68D2" w:rsidP="00C66594">
      <w:pPr>
        <w:spacing w:after="0" w:line="240" w:lineRule="auto"/>
        <w:rPr>
          <w:rFonts w:ascii="Verdana" w:eastAsia="Times New Roman" w:hAnsi="Verdana" w:cs="Times New Roman"/>
          <w:bCs/>
          <w:sz w:val="20"/>
          <w:szCs w:val="20"/>
        </w:rPr>
      </w:pPr>
    </w:p>
    <w:p w14:paraId="18DCE46E" w14:textId="121D115D" w:rsidR="00C66594" w:rsidRDefault="000B733B" w:rsidP="00C66594">
      <w:pPr>
        <w:spacing w:after="0" w:line="240" w:lineRule="auto"/>
        <w:rPr>
          <w:rFonts w:ascii="Verdana" w:eastAsia="Times New Roman" w:hAnsi="Verdana" w:cs="Times New Roman"/>
          <w:bCs/>
          <w:sz w:val="20"/>
          <w:szCs w:val="20"/>
        </w:rPr>
      </w:pPr>
      <w:r>
        <w:rPr>
          <w:rFonts w:ascii="Verdana" w:eastAsia="Times New Roman" w:hAnsi="Verdana" w:cs="Times New Roman"/>
          <w:bCs/>
          <w:sz w:val="20"/>
          <w:szCs w:val="20"/>
        </w:rPr>
        <w:t>In addition, for this study, two approaches will be used: a ridge regression and an ARIMA model. For the ridge regression, all of the columns in the table above will be used. For the ARIMA model, only the Silver_USD and Date columns will be used. ARIMA models only take a date and one column of time series data whereas ridge regression predicts differently, using a slew of other factors besides patterns in historical prices.</w:t>
      </w:r>
    </w:p>
    <w:p w14:paraId="582E9EA9" w14:textId="77777777" w:rsidR="00B03CC3" w:rsidRDefault="00B03CC3" w:rsidP="00C66594">
      <w:pPr>
        <w:spacing w:after="0" w:line="240" w:lineRule="auto"/>
        <w:rPr>
          <w:rFonts w:ascii="Verdana" w:eastAsia="Times New Roman" w:hAnsi="Verdana" w:cs="Times New Roman"/>
          <w:bCs/>
          <w:sz w:val="20"/>
          <w:szCs w:val="20"/>
        </w:rPr>
      </w:pPr>
    </w:p>
    <w:p w14:paraId="41228D21" w14:textId="2528910E" w:rsidR="00663925" w:rsidRDefault="00B03CC3" w:rsidP="00C66594">
      <w:pPr>
        <w:spacing w:after="0" w:line="240" w:lineRule="auto"/>
        <w:rPr>
          <w:rFonts w:ascii="Verdana" w:eastAsia="Times New Roman" w:hAnsi="Verdana" w:cs="Times New Roman"/>
          <w:bCs/>
          <w:sz w:val="20"/>
          <w:szCs w:val="20"/>
        </w:rPr>
      </w:pPr>
      <w:r>
        <w:rPr>
          <w:rFonts w:ascii="Verdana" w:eastAsia="Times New Roman" w:hAnsi="Verdana" w:cs="Times New Roman"/>
          <w:bCs/>
          <w:sz w:val="20"/>
          <w:szCs w:val="20"/>
          <w:u w:val="single"/>
        </w:rPr>
        <w:t>Delimitations:</w:t>
      </w:r>
      <w:r>
        <w:rPr>
          <w:rFonts w:ascii="Verdana" w:eastAsia="Times New Roman" w:hAnsi="Verdana" w:cs="Times New Roman"/>
          <w:bCs/>
          <w:sz w:val="20"/>
          <w:szCs w:val="20"/>
        </w:rPr>
        <w:t xml:space="preserve"> </w:t>
      </w:r>
      <w:r w:rsidR="00F31C71">
        <w:rPr>
          <w:rFonts w:ascii="Verdana" w:eastAsia="Times New Roman" w:hAnsi="Verdana" w:cs="Times New Roman"/>
          <w:bCs/>
          <w:sz w:val="20"/>
          <w:szCs w:val="20"/>
        </w:rPr>
        <w:t>There are no significant delimitations for this study.</w:t>
      </w:r>
    </w:p>
    <w:p w14:paraId="56506B10" w14:textId="77777777" w:rsidR="00FB68D2" w:rsidRDefault="00FB68D2" w:rsidP="00C66594">
      <w:pPr>
        <w:spacing w:after="0" w:line="240" w:lineRule="auto"/>
        <w:rPr>
          <w:rFonts w:ascii="Verdana" w:eastAsia="Times New Roman" w:hAnsi="Verdana" w:cs="Times New Roman"/>
          <w:bCs/>
          <w:sz w:val="20"/>
          <w:szCs w:val="20"/>
        </w:rPr>
      </w:pPr>
    </w:p>
    <w:p w14:paraId="6B334AE3" w14:textId="1028CD23" w:rsidR="00663925" w:rsidRPr="00B03CC3" w:rsidRDefault="00057CB1" w:rsidP="00C66594">
      <w:pPr>
        <w:spacing w:after="0" w:line="240" w:lineRule="auto"/>
        <w:rPr>
          <w:rFonts w:ascii="Verdana" w:eastAsia="Times New Roman" w:hAnsi="Verdana" w:cs="Times New Roman"/>
          <w:bCs/>
          <w:sz w:val="20"/>
          <w:szCs w:val="20"/>
        </w:rPr>
      </w:pPr>
      <w:r>
        <w:rPr>
          <w:rFonts w:ascii="Verdana" w:eastAsia="Times New Roman" w:hAnsi="Verdana" w:cs="Times New Roman"/>
          <w:bCs/>
          <w:sz w:val="20"/>
          <w:szCs w:val="20"/>
        </w:rPr>
        <w:t xml:space="preserve">The macroeconomic data is important to this study because previous studies have suggested that </w:t>
      </w:r>
      <w:r w:rsidR="000A34A2">
        <w:rPr>
          <w:rFonts w:ascii="Verdana" w:eastAsia="Times New Roman" w:hAnsi="Verdana" w:cs="Times New Roman"/>
          <w:bCs/>
          <w:sz w:val="20"/>
          <w:szCs w:val="20"/>
        </w:rPr>
        <w:t xml:space="preserve">commodity prices can be predicted from macroeconomic factors such as </w:t>
      </w:r>
      <w:r w:rsidR="009C6B87">
        <w:rPr>
          <w:rFonts w:ascii="Verdana" w:eastAsia="Times New Roman" w:hAnsi="Verdana" w:cs="Times New Roman"/>
          <w:bCs/>
          <w:sz w:val="20"/>
          <w:szCs w:val="20"/>
        </w:rPr>
        <w:t xml:space="preserve">inflation, unemployment rate, commodity currency exchange rates, </w:t>
      </w:r>
      <w:r w:rsidR="007E3842">
        <w:rPr>
          <w:rFonts w:ascii="Verdana" w:eastAsia="Times New Roman" w:hAnsi="Verdana" w:cs="Times New Roman"/>
          <w:bCs/>
          <w:sz w:val="20"/>
          <w:szCs w:val="20"/>
        </w:rPr>
        <w:t xml:space="preserve">and recessions </w:t>
      </w:r>
      <w:r w:rsidR="007E3842" w:rsidRPr="004F563E">
        <w:rPr>
          <w:rFonts w:ascii="Verdana" w:hAnsi="Verdana"/>
          <w:bCs/>
          <w:sz w:val="20"/>
          <w:szCs w:val="20"/>
        </w:rPr>
        <w:t>(Gargano &amp; Timmermann, 2014)</w:t>
      </w:r>
      <w:r w:rsidR="007E3842">
        <w:rPr>
          <w:rFonts w:ascii="Verdana" w:hAnsi="Verdana"/>
          <w:bCs/>
          <w:sz w:val="20"/>
          <w:szCs w:val="20"/>
        </w:rPr>
        <w:t xml:space="preserve">. </w:t>
      </w:r>
      <w:r w:rsidR="00A54CF8">
        <w:rPr>
          <w:rFonts w:ascii="Verdana" w:hAnsi="Verdana"/>
          <w:bCs/>
          <w:sz w:val="20"/>
          <w:szCs w:val="20"/>
        </w:rPr>
        <w:t xml:space="preserve">Thus, the selection of data from FRED reflects what the researchers from this similar study found to be important predictor variables for commodity prices using </w:t>
      </w:r>
      <w:r w:rsidR="003F324A">
        <w:rPr>
          <w:rFonts w:ascii="Verdana" w:hAnsi="Verdana"/>
          <w:bCs/>
          <w:sz w:val="20"/>
          <w:szCs w:val="20"/>
        </w:rPr>
        <w:t xml:space="preserve">several kinds of regression models. </w:t>
      </w:r>
      <w:r w:rsidR="00166D89">
        <w:rPr>
          <w:rFonts w:ascii="Verdana" w:hAnsi="Verdana"/>
          <w:bCs/>
          <w:sz w:val="20"/>
          <w:szCs w:val="20"/>
        </w:rPr>
        <w:t>The LBMA data is important to the study because it provides the datapoints to be predicted, Silver_USD</w:t>
      </w:r>
      <w:r w:rsidR="00CA0184">
        <w:rPr>
          <w:rFonts w:ascii="Verdana" w:hAnsi="Verdana"/>
          <w:bCs/>
          <w:sz w:val="20"/>
          <w:szCs w:val="20"/>
        </w:rPr>
        <w:t>, which contains the price of silver in USD over time. In this study, this is the dependent variable.</w:t>
      </w:r>
    </w:p>
    <w:p w14:paraId="30A40FC3" w14:textId="77777777" w:rsidR="00E55197" w:rsidRPr="00E864E0" w:rsidRDefault="00E55197" w:rsidP="00C66594">
      <w:pPr>
        <w:spacing w:after="0" w:line="240" w:lineRule="auto"/>
        <w:rPr>
          <w:rFonts w:ascii="Verdana" w:eastAsia="Times New Roman" w:hAnsi="Verdana" w:cs="Times New Roman"/>
          <w:b/>
          <w:sz w:val="20"/>
          <w:szCs w:val="20"/>
        </w:rPr>
      </w:pPr>
    </w:p>
    <w:p w14:paraId="0D821F48" w14:textId="1D824626" w:rsidR="00C66594" w:rsidRPr="00451C5A" w:rsidRDefault="00C66594" w:rsidP="005B4AB1">
      <w:pPr>
        <w:spacing w:after="0" w:line="240" w:lineRule="auto"/>
        <w:rPr>
          <w:rFonts w:ascii="Verdana" w:eastAsia="Times New Roman" w:hAnsi="Verdana" w:cs="Times New Roman"/>
          <w:bCs/>
          <w:sz w:val="20"/>
          <w:szCs w:val="20"/>
        </w:rPr>
      </w:pPr>
      <w:r w:rsidRPr="00E864E0">
        <w:rPr>
          <w:rFonts w:ascii="Verdana" w:eastAsia="Times New Roman" w:hAnsi="Verdana" w:cs="Times New Roman"/>
          <w:b/>
          <w:sz w:val="20"/>
          <w:szCs w:val="20"/>
        </w:rPr>
        <w:t xml:space="preserve">Data Gathering: </w:t>
      </w:r>
      <w:r w:rsidR="001E2ACD" w:rsidRPr="00451C5A">
        <w:rPr>
          <w:rFonts w:ascii="Verdana" w:eastAsia="Times New Roman" w:hAnsi="Verdana" w:cs="Times New Roman"/>
          <w:iCs/>
          <w:sz w:val="20"/>
          <w:szCs w:val="20"/>
          <w:u w:val="single"/>
        </w:rPr>
        <w:t>The Treatment of the Data:</w:t>
      </w:r>
      <w:r w:rsidR="001E2ACD" w:rsidRPr="00451C5A">
        <w:rPr>
          <w:rFonts w:ascii="Verdana" w:hAnsi="Verdana"/>
          <w:sz w:val="20"/>
          <w:szCs w:val="20"/>
        </w:rPr>
        <w:t xml:space="preserve"> </w:t>
      </w:r>
      <w:r w:rsidR="006667F0" w:rsidRPr="00451C5A">
        <w:rPr>
          <w:rFonts w:ascii="Verdana" w:hAnsi="Verdana"/>
          <w:sz w:val="20"/>
          <w:szCs w:val="20"/>
        </w:rPr>
        <w:t xml:space="preserve">The LBMA data will be downloaded from the publicly available </w:t>
      </w:r>
      <w:r w:rsidR="00CC5214" w:rsidRPr="00451C5A">
        <w:rPr>
          <w:rFonts w:ascii="Verdana" w:hAnsi="Verdana"/>
          <w:sz w:val="20"/>
          <w:szCs w:val="20"/>
        </w:rPr>
        <w:t xml:space="preserve">CSV file on Kaggle.com which shows silver prices in three currencies for the time period specified above. The various FRED datasets will be downloaded from publicly available </w:t>
      </w:r>
      <w:r w:rsidR="00303CB3" w:rsidRPr="00451C5A">
        <w:rPr>
          <w:rFonts w:ascii="Verdana" w:hAnsi="Verdana"/>
          <w:sz w:val="20"/>
          <w:szCs w:val="20"/>
        </w:rPr>
        <w:t>Excel</w:t>
      </w:r>
      <w:r w:rsidR="00CC5214" w:rsidRPr="00451C5A">
        <w:rPr>
          <w:rFonts w:ascii="Verdana" w:hAnsi="Verdana"/>
          <w:sz w:val="20"/>
          <w:szCs w:val="20"/>
        </w:rPr>
        <w:t xml:space="preserve"> files </w:t>
      </w:r>
      <w:r w:rsidR="002D413F" w:rsidRPr="00451C5A">
        <w:rPr>
          <w:rFonts w:ascii="Verdana" w:hAnsi="Verdana"/>
          <w:sz w:val="20"/>
          <w:szCs w:val="20"/>
        </w:rPr>
        <w:t>on fred.stlouisfed.org which provides data on the various macroeconomic factors listed above.</w:t>
      </w:r>
      <w:r w:rsidR="00645BBC" w:rsidRPr="00451C5A">
        <w:rPr>
          <w:rFonts w:ascii="Verdana" w:hAnsi="Verdana"/>
          <w:sz w:val="20"/>
          <w:szCs w:val="20"/>
        </w:rPr>
        <w:t xml:space="preserve"> The datasets will be imported into Jupyter Notebook and each contained in individual dataframes. Each dataset will then </w:t>
      </w:r>
      <w:r w:rsidR="0093452D" w:rsidRPr="00451C5A">
        <w:rPr>
          <w:rFonts w:ascii="Verdana" w:hAnsi="Verdana"/>
          <w:sz w:val="20"/>
          <w:szCs w:val="20"/>
        </w:rPr>
        <w:t xml:space="preserve">have the columns renamed to more human-readable names. Each dataset’s “Date” column will be converted to datetime, and any other </w:t>
      </w:r>
      <w:r w:rsidR="00303CB3" w:rsidRPr="00451C5A">
        <w:rPr>
          <w:rFonts w:ascii="Verdana" w:hAnsi="Verdana"/>
          <w:sz w:val="20"/>
          <w:szCs w:val="20"/>
        </w:rPr>
        <w:t>datatype conversions will be completed during this step as well</w:t>
      </w:r>
      <w:r w:rsidR="004036B5" w:rsidRPr="00451C5A">
        <w:rPr>
          <w:rFonts w:ascii="Verdana" w:hAnsi="Verdana"/>
          <w:sz w:val="20"/>
          <w:szCs w:val="20"/>
        </w:rPr>
        <w:t xml:space="preserve">, such as converting the two categorical variables to </w:t>
      </w:r>
      <w:r w:rsidR="00FC3150" w:rsidRPr="00451C5A">
        <w:rPr>
          <w:rFonts w:ascii="Verdana" w:hAnsi="Verdana"/>
          <w:sz w:val="20"/>
          <w:szCs w:val="20"/>
        </w:rPr>
        <w:t>integer</w:t>
      </w:r>
      <w:r w:rsidR="000C05B8" w:rsidRPr="00451C5A">
        <w:rPr>
          <w:rFonts w:ascii="Verdana" w:hAnsi="Verdana"/>
          <w:sz w:val="20"/>
          <w:szCs w:val="20"/>
        </w:rPr>
        <w:t xml:space="preserve"> </w:t>
      </w:r>
      <w:r w:rsidR="00FC3150" w:rsidRPr="00451C5A">
        <w:rPr>
          <w:rFonts w:ascii="Verdana" w:hAnsi="Verdana"/>
          <w:sz w:val="20"/>
          <w:szCs w:val="20"/>
        </w:rPr>
        <w:t>representations</w:t>
      </w:r>
      <w:r w:rsidR="00B56CC1" w:rsidRPr="00451C5A">
        <w:rPr>
          <w:rFonts w:ascii="Verdana" w:hAnsi="Verdana"/>
          <w:sz w:val="20"/>
          <w:szCs w:val="20"/>
        </w:rPr>
        <w:t xml:space="preserve"> (1 or 0</w:t>
      </w:r>
      <w:r w:rsidR="000C05B8" w:rsidRPr="00451C5A">
        <w:rPr>
          <w:rFonts w:ascii="Verdana" w:hAnsi="Verdana"/>
          <w:sz w:val="20"/>
          <w:szCs w:val="20"/>
        </w:rPr>
        <w:t>.</w:t>
      </w:r>
      <w:r w:rsidR="00B56CC1" w:rsidRPr="00451C5A">
        <w:rPr>
          <w:rFonts w:ascii="Verdana" w:hAnsi="Verdana"/>
          <w:sz w:val="20"/>
          <w:szCs w:val="20"/>
        </w:rPr>
        <w:t>)</w:t>
      </w:r>
      <w:r w:rsidR="00303CB3" w:rsidRPr="00451C5A">
        <w:rPr>
          <w:rFonts w:ascii="Verdana" w:hAnsi="Verdana"/>
          <w:sz w:val="20"/>
          <w:szCs w:val="20"/>
        </w:rPr>
        <w:t xml:space="preserve"> </w:t>
      </w:r>
      <w:r w:rsidR="00F10EB5" w:rsidRPr="00451C5A">
        <w:rPr>
          <w:rFonts w:ascii="Verdana" w:hAnsi="Verdana"/>
          <w:sz w:val="20"/>
          <w:szCs w:val="20"/>
        </w:rPr>
        <w:t>Since the</w:t>
      </w:r>
      <w:r w:rsidR="00156783" w:rsidRPr="00451C5A">
        <w:rPr>
          <w:rFonts w:ascii="Verdana" w:hAnsi="Verdana"/>
          <w:sz w:val="20"/>
          <w:szCs w:val="20"/>
        </w:rPr>
        <w:t xml:space="preserve"> dataframe containing unemployment data </w:t>
      </w:r>
      <w:r w:rsidR="00F10EB5" w:rsidRPr="00451C5A">
        <w:rPr>
          <w:rFonts w:ascii="Verdana" w:hAnsi="Verdana"/>
          <w:sz w:val="20"/>
          <w:szCs w:val="20"/>
        </w:rPr>
        <w:t xml:space="preserve">has monthly datapoints, </w:t>
      </w:r>
      <w:r w:rsidR="00C55C47" w:rsidRPr="00451C5A">
        <w:rPr>
          <w:rFonts w:ascii="Verdana" w:hAnsi="Verdana"/>
          <w:sz w:val="20"/>
          <w:szCs w:val="20"/>
        </w:rPr>
        <w:t>the data will have to be converted to daily data by inserting rows for all of the missing days and filling those via</w:t>
      </w:r>
      <w:r w:rsidR="00356EBF" w:rsidRPr="00451C5A">
        <w:rPr>
          <w:rFonts w:ascii="Verdana" w:hAnsi="Verdana"/>
          <w:sz w:val="20"/>
          <w:szCs w:val="20"/>
        </w:rPr>
        <w:t xml:space="preserve"> linear</w:t>
      </w:r>
      <w:r w:rsidR="00C55C47" w:rsidRPr="00451C5A">
        <w:rPr>
          <w:rFonts w:ascii="Verdana" w:hAnsi="Verdana"/>
          <w:sz w:val="20"/>
          <w:szCs w:val="20"/>
        </w:rPr>
        <w:t xml:space="preserve"> interpolation.</w:t>
      </w:r>
      <w:r w:rsidR="00FE1797" w:rsidRPr="00451C5A">
        <w:rPr>
          <w:rFonts w:ascii="Verdana" w:hAnsi="Verdana"/>
          <w:sz w:val="20"/>
          <w:szCs w:val="20"/>
        </w:rPr>
        <w:t xml:space="preserve"> </w:t>
      </w:r>
      <w:r w:rsidR="003C2267" w:rsidRPr="00451C5A">
        <w:rPr>
          <w:rFonts w:ascii="Verdana" w:hAnsi="Verdana"/>
          <w:sz w:val="20"/>
          <w:szCs w:val="20"/>
        </w:rPr>
        <w:t xml:space="preserve">To combine the datasets, the individual dataframes must first span the same date range, as merging will be done on the “Date” column in each respective dataset. </w:t>
      </w:r>
      <w:r w:rsidR="007B052C" w:rsidRPr="00451C5A">
        <w:rPr>
          <w:rFonts w:ascii="Verdana" w:hAnsi="Verdana"/>
          <w:sz w:val="20"/>
          <w:szCs w:val="20"/>
        </w:rPr>
        <w:t xml:space="preserve">Rows will be inserted into each dataframe </w:t>
      </w:r>
      <w:r w:rsidR="00A46B72" w:rsidRPr="00451C5A">
        <w:rPr>
          <w:rFonts w:ascii="Verdana" w:hAnsi="Verdana"/>
          <w:sz w:val="20"/>
          <w:szCs w:val="20"/>
        </w:rPr>
        <w:t>to ensure each dataframe has all the dates between February 1</w:t>
      </w:r>
      <w:r w:rsidR="00A46B72" w:rsidRPr="00451C5A">
        <w:rPr>
          <w:rFonts w:ascii="Verdana" w:hAnsi="Verdana"/>
          <w:sz w:val="20"/>
          <w:szCs w:val="20"/>
          <w:vertAlign w:val="superscript"/>
        </w:rPr>
        <w:t>st</w:t>
      </w:r>
      <w:r w:rsidR="00A46B72" w:rsidRPr="00451C5A">
        <w:rPr>
          <w:rFonts w:ascii="Verdana" w:hAnsi="Verdana"/>
          <w:sz w:val="20"/>
          <w:szCs w:val="20"/>
        </w:rPr>
        <w:t xml:space="preserve">, </w:t>
      </w:r>
      <w:r w:rsidR="008030AA" w:rsidRPr="00451C5A">
        <w:rPr>
          <w:rFonts w:ascii="Verdana" w:hAnsi="Verdana"/>
          <w:sz w:val="20"/>
          <w:szCs w:val="20"/>
        </w:rPr>
        <w:t>1947,</w:t>
      </w:r>
      <w:r w:rsidR="00A46B72" w:rsidRPr="00451C5A">
        <w:rPr>
          <w:rFonts w:ascii="Verdana" w:hAnsi="Verdana"/>
          <w:sz w:val="20"/>
          <w:szCs w:val="20"/>
        </w:rPr>
        <w:t xml:space="preserve"> and January 7</w:t>
      </w:r>
      <w:r w:rsidR="00A46B72" w:rsidRPr="00451C5A">
        <w:rPr>
          <w:rFonts w:ascii="Verdana" w:hAnsi="Verdana"/>
          <w:sz w:val="20"/>
          <w:szCs w:val="20"/>
          <w:vertAlign w:val="superscript"/>
        </w:rPr>
        <w:t>th</w:t>
      </w:r>
      <w:r w:rsidR="00A46B72" w:rsidRPr="00451C5A">
        <w:rPr>
          <w:rFonts w:ascii="Verdana" w:hAnsi="Verdana"/>
          <w:sz w:val="20"/>
          <w:szCs w:val="20"/>
        </w:rPr>
        <w:t xml:space="preserve">, 2025. </w:t>
      </w:r>
      <w:r w:rsidR="00D248BD" w:rsidRPr="00451C5A">
        <w:rPr>
          <w:rFonts w:ascii="Verdana" w:hAnsi="Verdana"/>
          <w:sz w:val="20"/>
          <w:szCs w:val="20"/>
        </w:rPr>
        <w:t>Then, the dataframes will be merged on the “Date” columns.</w:t>
      </w:r>
      <w:r w:rsidR="001378AA" w:rsidRPr="00451C5A">
        <w:rPr>
          <w:rFonts w:ascii="Verdana" w:hAnsi="Verdana"/>
          <w:sz w:val="20"/>
          <w:szCs w:val="20"/>
        </w:rPr>
        <w:t xml:space="preserve"> </w:t>
      </w:r>
      <w:r w:rsidR="0033196D" w:rsidRPr="00451C5A">
        <w:rPr>
          <w:rFonts w:ascii="Verdana" w:hAnsi="Verdana"/>
          <w:sz w:val="20"/>
          <w:szCs w:val="20"/>
        </w:rPr>
        <w:t xml:space="preserve">The data will be checked for missing, null, or duplicate values. </w:t>
      </w:r>
      <w:r w:rsidR="001378AA" w:rsidRPr="00451C5A">
        <w:rPr>
          <w:rFonts w:ascii="Verdana" w:hAnsi="Verdana"/>
          <w:sz w:val="20"/>
          <w:szCs w:val="20"/>
        </w:rPr>
        <w:t xml:space="preserve">Any missing values </w:t>
      </w:r>
      <w:r w:rsidR="008C152B" w:rsidRPr="00451C5A">
        <w:rPr>
          <w:rFonts w:ascii="Verdana" w:hAnsi="Verdana"/>
          <w:sz w:val="20"/>
          <w:szCs w:val="20"/>
        </w:rPr>
        <w:t xml:space="preserve">in any column between </w:t>
      </w:r>
      <w:r w:rsidR="008C152B" w:rsidRPr="00451C5A">
        <w:rPr>
          <w:rFonts w:ascii="Verdana" w:eastAsia="Times New Roman" w:hAnsi="Verdana" w:cs="Times New Roman"/>
          <w:bCs/>
          <w:sz w:val="20"/>
          <w:szCs w:val="20"/>
        </w:rPr>
        <w:t>January 2</w:t>
      </w:r>
      <w:r w:rsidR="008C152B" w:rsidRPr="00451C5A">
        <w:rPr>
          <w:rFonts w:ascii="Verdana" w:eastAsia="Times New Roman" w:hAnsi="Verdana" w:cs="Times New Roman"/>
          <w:bCs/>
          <w:sz w:val="20"/>
          <w:szCs w:val="20"/>
          <w:vertAlign w:val="superscript"/>
        </w:rPr>
        <w:t>nd</w:t>
      </w:r>
      <w:r w:rsidR="008C152B" w:rsidRPr="00451C5A">
        <w:rPr>
          <w:rFonts w:ascii="Verdana" w:eastAsia="Times New Roman" w:hAnsi="Verdana" w:cs="Times New Roman"/>
          <w:bCs/>
          <w:sz w:val="20"/>
          <w:szCs w:val="20"/>
        </w:rPr>
        <w:t xml:space="preserve">, </w:t>
      </w:r>
      <w:r w:rsidR="008030AA" w:rsidRPr="00451C5A">
        <w:rPr>
          <w:rFonts w:ascii="Verdana" w:eastAsia="Times New Roman" w:hAnsi="Verdana" w:cs="Times New Roman"/>
          <w:bCs/>
          <w:sz w:val="20"/>
          <w:szCs w:val="20"/>
        </w:rPr>
        <w:t>2003,</w:t>
      </w:r>
      <w:r w:rsidR="008C152B" w:rsidRPr="00451C5A">
        <w:rPr>
          <w:rFonts w:ascii="Verdana" w:eastAsia="Times New Roman" w:hAnsi="Verdana" w:cs="Times New Roman"/>
          <w:bCs/>
          <w:sz w:val="20"/>
          <w:szCs w:val="20"/>
        </w:rPr>
        <w:t xml:space="preserve"> through April 21</w:t>
      </w:r>
      <w:r w:rsidR="008C152B" w:rsidRPr="00451C5A">
        <w:rPr>
          <w:rFonts w:ascii="Verdana" w:eastAsia="Times New Roman" w:hAnsi="Verdana" w:cs="Times New Roman"/>
          <w:bCs/>
          <w:sz w:val="20"/>
          <w:szCs w:val="20"/>
          <w:vertAlign w:val="superscript"/>
        </w:rPr>
        <w:t>st</w:t>
      </w:r>
      <w:r w:rsidR="008C152B" w:rsidRPr="00451C5A">
        <w:rPr>
          <w:rFonts w:ascii="Verdana" w:eastAsia="Times New Roman" w:hAnsi="Verdana" w:cs="Times New Roman"/>
          <w:bCs/>
          <w:sz w:val="20"/>
          <w:szCs w:val="20"/>
        </w:rPr>
        <w:t xml:space="preserve">, </w:t>
      </w:r>
      <w:r w:rsidR="008030AA" w:rsidRPr="00451C5A">
        <w:rPr>
          <w:rFonts w:ascii="Verdana" w:eastAsia="Times New Roman" w:hAnsi="Verdana" w:cs="Times New Roman"/>
          <w:bCs/>
          <w:sz w:val="20"/>
          <w:szCs w:val="20"/>
        </w:rPr>
        <w:t>2022,</w:t>
      </w:r>
      <w:r w:rsidR="00C2537D" w:rsidRPr="00451C5A">
        <w:rPr>
          <w:rFonts w:ascii="Verdana" w:eastAsia="Times New Roman" w:hAnsi="Verdana" w:cs="Times New Roman"/>
          <w:bCs/>
          <w:sz w:val="20"/>
          <w:szCs w:val="20"/>
        </w:rPr>
        <w:t xml:space="preserve"> </w:t>
      </w:r>
      <w:r w:rsidR="00617792" w:rsidRPr="00451C5A">
        <w:rPr>
          <w:rFonts w:ascii="Verdana" w:eastAsia="Times New Roman" w:hAnsi="Verdana" w:cs="Times New Roman"/>
          <w:bCs/>
          <w:sz w:val="20"/>
          <w:szCs w:val="20"/>
        </w:rPr>
        <w:t xml:space="preserve">except the two recession columns </w:t>
      </w:r>
      <w:r w:rsidR="00C2537D" w:rsidRPr="00451C5A">
        <w:rPr>
          <w:rFonts w:ascii="Verdana" w:eastAsia="Times New Roman" w:hAnsi="Verdana" w:cs="Times New Roman"/>
          <w:bCs/>
          <w:sz w:val="20"/>
          <w:szCs w:val="20"/>
        </w:rPr>
        <w:t>will be filled using linear interpolation for the purpose of the ridge regression piece of this study.</w:t>
      </w:r>
      <w:r w:rsidR="00953135" w:rsidRPr="00451C5A">
        <w:rPr>
          <w:rFonts w:ascii="Verdana" w:eastAsia="Times New Roman" w:hAnsi="Verdana" w:cs="Times New Roman"/>
          <w:bCs/>
          <w:sz w:val="20"/>
          <w:szCs w:val="20"/>
        </w:rPr>
        <w:t xml:space="preserve"> Since the two recession columns are categorical, the missing values here will instead be filled</w:t>
      </w:r>
      <w:r w:rsidR="00C2537D" w:rsidRPr="00451C5A">
        <w:rPr>
          <w:rFonts w:ascii="Verdana" w:eastAsia="Times New Roman" w:hAnsi="Verdana" w:cs="Times New Roman"/>
          <w:bCs/>
          <w:sz w:val="20"/>
          <w:szCs w:val="20"/>
        </w:rPr>
        <w:t xml:space="preserve"> </w:t>
      </w:r>
      <w:r w:rsidR="00953135" w:rsidRPr="00451C5A">
        <w:rPr>
          <w:rFonts w:ascii="Verdana" w:eastAsia="Times New Roman" w:hAnsi="Verdana" w:cs="Times New Roman"/>
          <w:bCs/>
          <w:sz w:val="20"/>
          <w:szCs w:val="20"/>
        </w:rPr>
        <w:t xml:space="preserve">using forward fill. </w:t>
      </w:r>
      <w:r w:rsidR="00C2537D" w:rsidRPr="00451C5A">
        <w:rPr>
          <w:rFonts w:ascii="Verdana" w:eastAsia="Times New Roman" w:hAnsi="Verdana" w:cs="Times New Roman"/>
          <w:bCs/>
          <w:sz w:val="20"/>
          <w:szCs w:val="20"/>
        </w:rPr>
        <w:t xml:space="preserve">Any missing values in the Silver_USD column </w:t>
      </w:r>
      <w:r w:rsidR="00607B7D" w:rsidRPr="00451C5A">
        <w:rPr>
          <w:rFonts w:ascii="Verdana" w:eastAsia="Times New Roman" w:hAnsi="Verdana" w:cs="Times New Roman"/>
          <w:bCs/>
          <w:sz w:val="20"/>
          <w:szCs w:val="20"/>
        </w:rPr>
        <w:t>between January 2</w:t>
      </w:r>
      <w:r w:rsidR="00607B7D" w:rsidRPr="00451C5A">
        <w:rPr>
          <w:rFonts w:ascii="Verdana" w:eastAsia="Times New Roman" w:hAnsi="Verdana" w:cs="Times New Roman"/>
          <w:bCs/>
          <w:sz w:val="20"/>
          <w:szCs w:val="20"/>
          <w:vertAlign w:val="superscript"/>
        </w:rPr>
        <w:t>nd</w:t>
      </w:r>
      <w:r w:rsidR="00607B7D" w:rsidRPr="00451C5A">
        <w:rPr>
          <w:rFonts w:ascii="Verdana" w:eastAsia="Times New Roman" w:hAnsi="Verdana" w:cs="Times New Roman"/>
          <w:bCs/>
          <w:sz w:val="20"/>
          <w:szCs w:val="20"/>
        </w:rPr>
        <w:t xml:space="preserve">, </w:t>
      </w:r>
      <w:r w:rsidR="008030AA" w:rsidRPr="00451C5A">
        <w:rPr>
          <w:rFonts w:ascii="Verdana" w:eastAsia="Times New Roman" w:hAnsi="Verdana" w:cs="Times New Roman"/>
          <w:bCs/>
          <w:sz w:val="20"/>
          <w:szCs w:val="20"/>
        </w:rPr>
        <w:t>1968,</w:t>
      </w:r>
      <w:r w:rsidR="00607B7D" w:rsidRPr="00451C5A">
        <w:rPr>
          <w:rFonts w:ascii="Verdana" w:eastAsia="Times New Roman" w:hAnsi="Verdana" w:cs="Times New Roman"/>
          <w:bCs/>
          <w:sz w:val="20"/>
          <w:szCs w:val="20"/>
        </w:rPr>
        <w:t xml:space="preserve"> through April 21</w:t>
      </w:r>
      <w:r w:rsidR="00607B7D" w:rsidRPr="00451C5A">
        <w:rPr>
          <w:rFonts w:ascii="Verdana" w:eastAsia="Times New Roman" w:hAnsi="Verdana" w:cs="Times New Roman"/>
          <w:bCs/>
          <w:sz w:val="20"/>
          <w:szCs w:val="20"/>
          <w:vertAlign w:val="superscript"/>
        </w:rPr>
        <w:t>st</w:t>
      </w:r>
      <w:r w:rsidR="00607B7D" w:rsidRPr="00451C5A">
        <w:rPr>
          <w:rFonts w:ascii="Verdana" w:eastAsia="Times New Roman" w:hAnsi="Verdana" w:cs="Times New Roman"/>
          <w:bCs/>
          <w:sz w:val="20"/>
          <w:szCs w:val="20"/>
        </w:rPr>
        <w:t xml:space="preserve">, </w:t>
      </w:r>
      <w:r w:rsidR="008030AA" w:rsidRPr="00451C5A">
        <w:rPr>
          <w:rFonts w:ascii="Verdana" w:eastAsia="Times New Roman" w:hAnsi="Verdana" w:cs="Times New Roman"/>
          <w:bCs/>
          <w:sz w:val="20"/>
          <w:szCs w:val="20"/>
        </w:rPr>
        <w:t>2022,</w:t>
      </w:r>
      <w:r w:rsidR="00607B7D" w:rsidRPr="00451C5A">
        <w:rPr>
          <w:rFonts w:ascii="Verdana" w:eastAsia="Times New Roman" w:hAnsi="Verdana" w:cs="Times New Roman"/>
          <w:bCs/>
          <w:sz w:val="20"/>
          <w:szCs w:val="20"/>
        </w:rPr>
        <w:t xml:space="preserve"> will be filled using linear interpolation for the purpose of the ARIMA piece of this study.</w:t>
      </w:r>
      <w:r w:rsidR="0049246E" w:rsidRPr="00451C5A">
        <w:rPr>
          <w:rFonts w:ascii="Verdana" w:eastAsia="Times New Roman" w:hAnsi="Verdana" w:cs="Times New Roman"/>
          <w:bCs/>
          <w:sz w:val="20"/>
          <w:szCs w:val="20"/>
        </w:rPr>
        <w:t xml:space="preserve"> Linear interpolation is a recommended method that can be used with time series data</w:t>
      </w:r>
      <w:r w:rsidR="00FF3CDA" w:rsidRPr="00451C5A">
        <w:rPr>
          <w:rFonts w:ascii="Verdana" w:eastAsia="Times New Roman" w:hAnsi="Verdana" w:cs="Times New Roman"/>
          <w:bCs/>
          <w:sz w:val="20"/>
          <w:szCs w:val="20"/>
        </w:rPr>
        <w:t xml:space="preserve"> (GeeksforGeeks, 2024). </w:t>
      </w:r>
      <w:r w:rsidR="003E2614" w:rsidRPr="00451C5A">
        <w:rPr>
          <w:rFonts w:ascii="Verdana" w:eastAsia="Times New Roman" w:hAnsi="Verdana" w:cs="Times New Roman"/>
          <w:bCs/>
          <w:sz w:val="20"/>
          <w:szCs w:val="20"/>
        </w:rPr>
        <w:t xml:space="preserve">Rows from the combined dataset </w:t>
      </w:r>
      <w:r w:rsidR="003B28F3" w:rsidRPr="00451C5A">
        <w:rPr>
          <w:rFonts w:ascii="Verdana" w:eastAsia="Times New Roman" w:hAnsi="Verdana" w:cs="Times New Roman"/>
          <w:bCs/>
          <w:sz w:val="20"/>
          <w:szCs w:val="20"/>
        </w:rPr>
        <w:t>prior to January 2</w:t>
      </w:r>
      <w:r w:rsidR="003B28F3" w:rsidRPr="00451C5A">
        <w:rPr>
          <w:rFonts w:ascii="Verdana" w:eastAsia="Times New Roman" w:hAnsi="Verdana" w:cs="Times New Roman"/>
          <w:bCs/>
          <w:sz w:val="20"/>
          <w:szCs w:val="20"/>
          <w:vertAlign w:val="superscript"/>
        </w:rPr>
        <w:t>nd</w:t>
      </w:r>
      <w:r w:rsidR="003B28F3" w:rsidRPr="00451C5A">
        <w:rPr>
          <w:rFonts w:ascii="Verdana" w:eastAsia="Times New Roman" w:hAnsi="Verdana" w:cs="Times New Roman"/>
          <w:bCs/>
          <w:sz w:val="20"/>
          <w:szCs w:val="20"/>
        </w:rPr>
        <w:t xml:space="preserve">, </w:t>
      </w:r>
      <w:r w:rsidR="008030AA" w:rsidRPr="00451C5A">
        <w:rPr>
          <w:rFonts w:ascii="Verdana" w:eastAsia="Times New Roman" w:hAnsi="Verdana" w:cs="Times New Roman"/>
          <w:bCs/>
          <w:sz w:val="20"/>
          <w:szCs w:val="20"/>
        </w:rPr>
        <w:t>1968,</w:t>
      </w:r>
      <w:r w:rsidR="003B28F3" w:rsidRPr="00451C5A">
        <w:rPr>
          <w:rFonts w:ascii="Verdana" w:eastAsia="Times New Roman" w:hAnsi="Verdana" w:cs="Times New Roman"/>
          <w:bCs/>
          <w:sz w:val="20"/>
          <w:szCs w:val="20"/>
        </w:rPr>
        <w:t xml:space="preserve"> will be dropped</w:t>
      </w:r>
      <w:r w:rsidR="006C2F05">
        <w:rPr>
          <w:rFonts w:ascii="Verdana" w:eastAsia="Times New Roman" w:hAnsi="Verdana" w:cs="Times New Roman"/>
          <w:bCs/>
          <w:sz w:val="20"/>
          <w:szCs w:val="20"/>
        </w:rPr>
        <w:t>.</w:t>
      </w:r>
      <w:r w:rsidR="003B28F3" w:rsidRPr="00451C5A">
        <w:rPr>
          <w:rFonts w:ascii="Verdana" w:eastAsia="Times New Roman" w:hAnsi="Verdana" w:cs="Times New Roman"/>
          <w:bCs/>
          <w:sz w:val="20"/>
          <w:szCs w:val="20"/>
        </w:rPr>
        <w:t xml:space="preserve"> </w:t>
      </w:r>
      <w:r w:rsidR="006C2F05">
        <w:rPr>
          <w:rFonts w:ascii="Verdana" w:eastAsia="Times New Roman" w:hAnsi="Verdana" w:cs="Times New Roman"/>
          <w:bCs/>
          <w:sz w:val="20"/>
          <w:szCs w:val="20"/>
        </w:rPr>
        <w:t>Similarly, rows</w:t>
      </w:r>
      <w:r w:rsidR="003B28F3" w:rsidRPr="00451C5A">
        <w:rPr>
          <w:rFonts w:ascii="Verdana" w:eastAsia="Times New Roman" w:hAnsi="Verdana" w:cs="Times New Roman"/>
          <w:bCs/>
          <w:sz w:val="20"/>
          <w:szCs w:val="20"/>
        </w:rPr>
        <w:t xml:space="preserve"> after April 21</w:t>
      </w:r>
      <w:r w:rsidR="003B28F3" w:rsidRPr="00451C5A">
        <w:rPr>
          <w:rFonts w:ascii="Verdana" w:eastAsia="Times New Roman" w:hAnsi="Verdana" w:cs="Times New Roman"/>
          <w:bCs/>
          <w:sz w:val="20"/>
          <w:szCs w:val="20"/>
          <w:vertAlign w:val="superscript"/>
        </w:rPr>
        <w:t>st</w:t>
      </w:r>
      <w:r w:rsidR="003B28F3" w:rsidRPr="00451C5A">
        <w:rPr>
          <w:rFonts w:ascii="Verdana" w:eastAsia="Times New Roman" w:hAnsi="Verdana" w:cs="Times New Roman"/>
          <w:bCs/>
          <w:sz w:val="20"/>
          <w:szCs w:val="20"/>
        </w:rPr>
        <w:t xml:space="preserve">, </w:t>
      </w:r>
      <w:r w:rsidR="008030AA" w:rsidRPr="00451C5A">
        <w:rPr>
          <w:rFonts w:ascii="Verdana" w:eastAsia="Times New Roman" w:hAnsi="Verdana" w:cs="Times New Roman"/>
          <w:bCs/>
          <w:sz w:val="20"/>
          <w:szCs w:val="20"/>
        </w:rPr>
        <w:t>2022,</w:t>
      </w:r>
      <w:r w:rsidR="006C2F05">
        <w:rPr>
          <w:rFonts w:ascii="Verdana" w:eastAsia="Times New Roman" w:hAnsi="Verdana" w:cs="Times New Roman"/>
          <w:bCs/>
          <w:sz w:val="20"/>
          <w:szCs w:val="20"/>
        </w:rPr>
        <w:t xml:space="preserve"> will be dropped</w:t>
      </w:r>
      <w:r w:rsidR="003B28F3" w:rsidRPr="00451C5A">
        <w:rPr>
          <w:rFonts w:ascii="Verdana" w:eastAsia="Times New Roman" w:hAnsi="Verdana" w:cs="Times New Roman"/>
          <w:bCs/>
          <w:sz w:val="20"/>
          <w:szCs w:val="20"/>
        </w:rPr>
        <w:t>.</w:t>
      </w:r>
      <w:r w:rsidR="008C7D38" w:rsidRPr="00451C5A">
        <w:rPr>
          <w:rFonts w:ascii="Verdana" w:eastAsia="Times New Roman" w:hAnsi="Verdana" w:cs="Times New Roman"/>
          <w:bCs/>
          <w:sz w:val="20"/>
          <w:szCs w:val="20"/>
        </w:rPr>
        <w:t xml:space="preserve"> </w:t>
      </w:r>
      <w:r w:rsidR="004036B5" w:rsidRPr="00451C5A">
        <w:rPr>
          <w:rFonts w:ascii="Verdana" w:eastAsia="Times New Roman" w:hAnsi="Verdana" w:cs="Times New Roman"/>
          <w:bCs/>
          <w:sz w:val="20"/>
          <w:szCs w:val="20"/>
        </w:rPr>
        <w:t xml:space="preserve">Since the two categorical variables are already </w:t>
      </w:r>
      <w:r w:rsidR="007E5F43" w:rsidRPr="00451C5A">
        <w:rPr>
          <w:rFonts w:ascii="Verdana" w:eastAsia="Times New Roman" w:hAnsi="Verdana" w:cs="Times New Roman"/>
          <w:bCs/>
          <w:sz w:val="20"/>
          <w:szCs w:val="20"/>
        </w:rPr>
        <w:t>binary, creating dummy variables is not necessary—this would be required for categorical variables with more than two categories.</w:t>
      </w:r>
      <w:r w:rsidR="00910FC6">
        <w:rPr>
          <w:rFonts w:ascii="Verdana" w:eastAsia="Times New Roman" w:hAnsi="Verdana" w:cs="Times New Roman"/>
          <w:bCs/>
          <w:sz w:val="20"/>
          <w:szCs w:val="20"/>
        </w:rPr>
        <w:t xml:space="preserve"> The Silver_GBP and Silver_</w:t>
      </w:r>
      <w:r w:rsidR="00643751">
        <w:rPr>
          <w:rFonts w:ascii="Verdana" w:eastAsia="Times New Roman" w:hAnsi="Verdana" w:cs="Times New Roman"/>
          <w:bCs/>
          <w:sz w:val="20"/>
          <w:szCs w:val="20"/>
        </w:rPr>
        <w:t>Euro</w:t>
      </w:r>
      <w:r w:rsidR="00910FC6">
        <w:rPr>
          <w:rFonts w:ascii="Verdana" w:eastAsia="Times New Roman" w:hAnsi="Verdana" w:cs="Times New Roman"/>
          <w:bCs/>
          <w:sz w:val="20"/>
          <w:szCs w:val="20"/>
        </w:rPr>
        <w:t xml:space="preserve"> columns will be dropped.</w:t>
      </w:r>
    </w:p>
    <w:p w14:paraId="10523177" w14:textId="77777777" w:rsidR="00C23BD7" w:rsidRPr="00451C5A" w:rsidRDefault="00C23BD7" w:rsidP="005B4AB1">
      <w:pPr>
        <w:spacing w:after="0" w:line="240" w:lineRule="auto"/>
        <w:rPr>
          <w:rFonts w:ascii="Verdana" w:eastAsia="Times New Roman" w:hAnsi="Verdana" w:cs="Times New Roman"/>
          <w:bCs/>
          <w:sz w:val="20"/>
          <w:szCs w:val="20"/>
        </w:rPr>
      </w:pPr>
    </w:p>
    <w:p w14:paraId="0BD241D5" w14:textId="7C7DDAB5" w:rsidR="00254490" w:rsidRPr="00691654" w:rsidRDefault="00C23BD7" w:rsidP="005B4AB1">
      <w:pPr>
        <w:spacing w:after="0" w:line="240" w:lineRule="auto"/>
        <w:rPr>
          <w:rFonts w:ascii="Verdana" w:eastAsia="Times New Roman" w:hAnsi="Verdana" w:cs="Times New Roman"/>
          <w:bCs/>
          <w:sz w:val="20"/>
          <w:szCs w:val="20"/>
        </w:rPr>
      </w:pPr>
      <w:r w:rsidRPr="00451C5A">
        <w:rPr>
          <w:rFonts w:ascii="Verdana" w:eastAsia="Times New Roman" w:hAnsi="Verdana" w:cs="Times New Roman"/>
          <w:bCs/>
          <w:sz w:val="20"/>
          <w:szCs w:val="20"/>
        </w:rPr>
        <w:t xml:space="preserve">The quality of the data is high </w:t>
      </w:r>
      <w:r w:rsidR="0001434D" w:rsidRPr="00451C5A">
        <w:rPr>
          <w:rFonts w:ascii="Verdana" w:eastAsia="Times New Roman" w:hAnsi="Verdana" w:cs="Times New Roman"/>
          <w:bCs/>
          <w:sz w:val="20"/>
          <w:szCs w:val="20"/>
        </w:rPr>
        <w:t>as each dataset was sourced from a credible organization. For the silver price data, the organization is the London Bouillon Market Association. For the macroeconomic data, this is the Federal Reserve Bank of St. Louis. The combined dataset contains both quantitative and qualitative variables.</w:t>
      </w:r>
    </w:p>
    <w:p w14:paraId="1A5398F5" w14:textId="036B057B" w:rsidR="00254490" w:rsidRPr="001E2ACD" w:rsidRDefault="001C7247" w:rsidP="005B4AB1">
      <w:pPr>
        <w:spacing w:after="0" w:line="240" w:lineRule="auto"/>
      </w:pPr>
      <w:r>
        <w:rPr>
          <w:rFonts w:ascii="Verdana" w:hAnsi="Verdana"/>
          <w:bCs/>
          <w:sz w:val="20"/>
          <w:szCs w:val="20"/>
        </w:rPr>
        <w:t>T</w:t>
      </w:r>
      <w:r w:rsidR="000F030F">
        <w:rPr>
          <w:rFonts w:ascii="Verdana" w:hAnsi="Verdana"/>
          <w:bCs/>
          <w:sz w:val="20"/>
          <w:szCs w:val="20"/>
        </w:rPr>
        <w:t xml:space="preserve">he combined dataset’s </w:t>
      </w:r>
      <w:r>
        <w:rPr>
          <w:rFonts w:ascii="Verdana" w:hAnsi="Verdana"/>
          <w:bCs/>
          <w:sz w:val="20"/>
          <w:szCs w:val="20"/>
        </w:rPr>
        <w:t xml:space="preserve">final </w:t>
      </w:r>
      <w:r w:rsidR="000F030F">
        <w:rPr>
          <w:rFonts w:ascii="Verdana" w:hAnsi="Verdana"/>
          <w:bCs/>
          <w:sz w:val="20"/>
          <w:szCs w:val="20"/>
        </w:rPr>
        <w:t xml:space="preserve">overall sparsity is </w:t>
      </w:r>
      <w:r w:rsidR="00691654">
        <w:rPr>
          <w:rFonts w:ascii="Verdana" w:hAnsi="Verdana"/>
          <w:bCs/>
          <w:sz w:val="20"/>
          <w:szCs w:val="20"/>
        </w:rPr>
        <w:t>14.73</w:t>
      </w:r>
      <w:r w:rsidR="000F030F">
        <w:rPr>
          <w:rFonts w:ascii="Verdana" w:hAnsi="Verdana"/>
          <w:bCs/>
          <w:sz w:val="20"/>
          <w:szCs w:val="20"/>
        </w:rPr>
        <w:t>%</w:t>
      </w:r>
      <w:r w:rsidR="00E63B4B">
        <w:rPr>
          <w:rFonts w:ascii="Verdana" w:hAnsi="Verdana"/>
          <w:bCs/>
          <w:sz w:val="20"/>
          <w:szCs w:val="20"/>
        </w:rPr>
        <w:t>.</w:t>
      </w:r>
    </w:p>
    <w:p w14:paraId="53F6C580" w14:textId="77777777" w:rsidR="00C66594" w:rsidRPr="00E864E0" w:rsidRDefault="00C66594" w:rsidP="00C66594">
      <w:pPr>
        <w:spacing w:after="0" w:line="240" w:lineRule="auto"/>
        <w:rPr>
          <w:rFonts w:ascii="Verdana" w:eastAsia="Times New Roman" w:hAnsi="Verdana" w:cs="Times New Roman"/>
          <w:b/>
          <w:sz w:val="20"/>
          <w:szCs w:val="20"/>
        </w:rPr>
      </w:pPr>
    </w:p>
    <w:p w14:paraId="0F0153BF" w14:textId="316CC69D" w:rsidR="009A1010" w:rsidRPr="009A1010" w:rsidRDefault="00C66594" w:rsidP="0092488D">
      <w:pPr>
        <w:spacing w:after="0" w:line="240" w:lineRule="auto"/>
        <w:rPr>
          <w:rFonts w:ascii="Verdana" w:hAnsi="Verdana"/>
          <w:sz w:val="20"/>
          <w:szCs w:val="20"/>
        </w:rPr>
      </w:pPr>
      <w:r w:rsidRPr="00E864E0">
        <w:rPr>
          <w:rFonts w:ascii="Verdana" w:eastAsia="Times New Roman" w:hAnsi="Verdana" w:cs="Times New Roman"/>
          <w:b/>
          <w:sz w:val="20"/>
          <w:szCs w:val="20"/>
        </w:rPr>
        <w:t>Data Analytics Tools and Techniques</w:t>
      </w:r>
      <w:r w:rsidRPr="00E864E0">
        <w:rPr>
          <w:rFonts w:ascii="Verdana" w:eastAsia="Times New Roman" w:hAnsi="Verdana" w:cs="Times New Roman"/>
          <w:sz w:val="20"/>
          <w:szCs w:val="20"/>
        </w:rPr>
        <w:t xml:space="preserve">: </w:t>
      </w:r>
      <w:r w:rsidR="0000544C">
        <w:rPr>
          <w:rFonts w:ascii="Verdana" w:eastAsia="Times New Roman" w:hAnsi="Verdana" w:cs="Times New Roman"/>
          <w:sz w:val="20"/>
          <w:szCs w:val="20"/>
          <w:u w:val="single"/>
        </w:rPr>
        <w:t>The Design of the Study:</w:t>
      </w:r>
      <w:r w:rsidR="0000544C">
        <w:t xml:space="preserve"> </w:t>
      </w:r>
      <w:r w:rsidR="009A1010">
        <w:rPr>
          <w:rFonts w:ascii="Verdana" w:hAnsi="Verdana"/>
          <w:sz w:val="20"/>
          <w:szCs w:val="20"/>
        </w:rPr>
        <w:t>The main data analysis technique that will be run is ridge regression.</w:t>
      </w:r>
      <w:r w:rsidR="00E878DB">
        <w:rPr>
          <w:rFonts w:ascii="Verdana" w:hAnsi="Verdana"/>
          <w:sz w:val="20"/>
          <w:szCs w:val="20"/>
        </w:rPr>
        <w:t xml:space="preserve"> The ridge regression analysis will use a type of linear regression to describe the contribution of each independent variable in predicting the dependent variable, Silver_USD. Ridge regression is appropriate for this data because it is useful when multiple linear regression cannot be used because the multivariate data does not follow a normal distribution </w:t>
      </w:r>
      <w:r w:rsidR="00E878DB" w:rsidRPr="00C51C1E">
        <w:rPr>
          <w:rFonts w:ascii="Verdana" w:hAnsi="Verdana"/>
          <w:sz w:val="20"/>
          <w:szCs w:val="20"/>
        </w:rPr>
        <w:t>(NCSS Statistical Software, n.d.)</w:t>
      </w:r>
      <w:r w:rsidR="00E878DB">
        <w:rPr>
          <w:rFonts w:ascii="Verdana" w:hAnsi="Verdana"/>
          <w:sz w:val="20"/>
          <w:szCs w:val="20"/>
        </w:rPr>
        <w:t xml:space="preserve">. </w:t>
      </w:r>
      <w:r w:rsidR="009A1010">
        <w:rPr>
          <w:rFonts w:ascii="Verdana" w:hAnsi="Verdana"/>
          <w:sz w:val="20"/>
          <w:szCs w:val="20"/>
        </w:rPr>
        <w:t>This will be followed by an ARIMA model</w:t>
      </w:r>
      <w:r w:rsidR="00321738">
        <w:rPr>
          <w:rFonts w:ascii="Verdana" w:hAnsi="Verdana"/>
          <w:sz w:val="20"/>
          <w:szCs w:val="20"/>
        </w:rPr>
        <w:t xml:space="preserve">, which will be compared to the ridge model. </w:t>
      </w:r>
      <w:r w:rsidR="00BB502B">
        <w:rPr>
          <w:rFonts w:ascii="Verdana" w:hAnsi="Verdana"/>
          <w:sz w:val="20"/>
          <w:szCs w:val="20"/>
        </w:rPr>
        <w:t xml:space="preserve">The goals and expectations of the study are to predict silver prices </w:t>
      </w:r>
      <w:r w:rsidR="00E13CC8">
        <w:rPr>
          <w:rFonts w:ascii="Verdana" w:hAnsi="Verdana"/>
          <w:sz w:val="20"/>
          <w:szCs w:val="20"/>
        </w:rPr>
        <w:t xml:space="preserve">using macroeconomic factors and identify the macroeconomic factors that most contribute to the fluctuation </w:t>
      </w:r>
      <w:r w:rsidR="00BC6108">
        <w:rPr>
          <w:rFonts w:ascii="Verdana" w:hAnsi="Verdana"/>
          <w:sz w:val="20"/>
          <w:szCs w:val="20"/>
        </w:rPr>
        <w:t>of</w:t>
      </w:r>
      <w:r w:rsidR="00E13CC8">
        <w:rPr>
          <w:rFonts w:ascii="Verdana" w:hAnsi="Verdana"/>
          <w:sz w:val="20"/>
          <w:szCs w:val="20"/>
        </w:rPr>
        <w:t xml:space="preserve"> silver prices.</w:t>
      </w:r>
      <w:r w:rsidR="00C11291">
        <w:rPr>
          <w:rFonts w:ascii="Verdana" w:hAnsi="Verdana"/>
          <w:sz w:val="20"/>
          <w:szCs w:val="20"/>
        </w:rPr>
        <w:t xml:space="preserve"> The presentation layer will include univariate and bivariate </w:t>
      </w:r>
      <w:r w:rsidR="00106CC5">
        <w:rPr>
          <w:rFonts w:ascii="Verdana" w:hAnsi="Verdana"/>
          <w:sz w:val="20"/>
          <w:szCs w:val="20"/>
        </w:rPr>
        <w:t>visualizations and a Tableau dashboard explaining this study’s findings.</w:t>
      </w:r>
    </w:p>
    <w:p w14:paraId="48ED7922" w14:textId="77777777" w:rsidR="009A1010" w:rsidRDefault="009A1010" w:rsidP="0092488D">
      <w:pPr>
        <w:spacing w:after="0" w:line="240" w:lineRule="auto"/>
      </w:pPr>
    </w:p>
    <w:p w14:paraId="1B45DCD7" w14:textId="0438EAFD" w:rsidR="009A1010" w:rsidRDefault="0092488D" w:rsidP="0092488D">
      <w:pPr>
        <w:spacing w:after="0" w:line="240" w:lineRule="auto"/>
        <w:rPr>
          <w:rFonts w:ascii="Verdana" w:hAnsi="Verdana"/>
          <w:sz w:val="20"/>
          <w:szCs w:val="20"/>
        </w:rPr>
      </w:pPr>
      <w:r>
        <w:rPr>
          <w:rFonts w:ascii="Verdana" w:hAnsi="Verdana"/>
          <w:sz w:val="20"/>
          <w:szCs w:val="20"/>
        </w:rPr>
        <w:t>While ridge regression and ARIMA analysis do not require normality, a Q-Q plot and Shapiro-Wilk test will nevertheless be run to determine normality. Univariate and bivariate graphs will be created to determine if variable relationships are linear and whether or not the residuals have constant variance (are homoscedastic.)</w:t>
      </w:r>
      <w:r w:rsidR="0000544C">
        <w:rPr>
          <w:rFonts w:ascii="Verdana" w:hAnsi="Verdana"/>
          <w:sz w:val="20"/>
          <w:szCs w:val="20"/>
        </w:rPr>
        <w:t xml:space="preserve"> </w:t>
      </w:r>
      <w:r w:rsidR="00F23505">
        <w:rPr>
          <w:rFonts w:ascii="Verdana" w:hAnsi="Verdana"/>
          <w:sz w:val="20"/>
          <w:szCs w:val="20"/>
        </w:rPr>
        <w:t xml:space="preserve">Visualizations will be created </w:t>
      </w:r>
      <w:r w:rsidR="00BE65FE">
        <w:rPr>
          <w:rFonts w:ascii="Verdana" w:hAnsi="Verdana"/>
          <w:sz w:val="20"/>
          <w:szCs w:val="20"/>
        </w:rPr>
        <w:t>using the tool “seasonal_decom</w:t>
      </w:r>
      <w:r w:rsidR="009A1010">
        <w:rPr>
          <w:rFonts w:ascii="Verdana" w:hAnsi="Verdana"/>
          <w:sz w:val="20"/>
          <w:szCs w:val="20"/>
        </w:rPr>
        <w:t>p</w:t>
      </w:r>
      <w:r w:rsidR="00BE65FE">
        <w:rPr>
          <w:rFonts w:ascii="Verdana" w:hAnsi="Verdana"/>
          <w:sz w:val="20"/>
          <w:szCs w:val="20"/>
        </w:rPr>
        <w:t xml:space="preserve">ose” to check the </w:t>
      </w:r>
      <w:r w:rsidR="009A1010">
        <w:rPr>
          <w:rFonts w:ascii="Verdana" w:hAnsi="Verdana"/>
          <w:sz w:val="20"/>
          <w:szCs w:val="20"/>
        </w:rPr>
        <w:t>Silver_USD and Date columns for factors that influence what type of ARIMA model should be used, such as seasonality. The ACF and PACF plots will also be created to determine the ARIMA model’s order.</w:t>
      </w:r>
    </w:p>
    <w:p w14:paraId="75AE7EB9" w14:textId="77777777" w:rsidR="0013024E" w:rsidRDefault="0013024E" w:rsidP="0092488D">
      <w:pPr>
        <w:spacing w:after="0" w:line="240" w:lineRule="auto"/>
        <w:rPr>
          <w:rFonts w:ascii="Verdana" w:hAnsi="Verdana"/>
          <w:sz w:val="20"/>
          <w:szCs w:val="20"/>
        </w:rPr>
      </w:pPr>
    </w:p>
    <w:p w14:paraId="518848F6" w14:textId="6D1E7509" w:rsidR="00C66594" w:rsidRDefault="00D60867" w:rsidP="0092488D">
      <w:pPr>
        <w:spacing w:after="0" w:line="240" w:lineRule="auto"/>
        <w:rPr>
          <w:rFonts w:ascii="Verdana" w:hAnsi="Verdana"/>
          <w:sz w:val="20"/>
          <w:szCs w:val="20"/>
        </w:rPr>
      </w:pPr>
      <w:r>
        <w:rPr>
          <w:rFonts w:ascii="Verdana" w:hAnsi="Verdana"/>
          <w:sz w:val="20"/>
          <w:szCs w:val="20"/>
        </w:rPr>
        <w:t>The data</w:t>
      </w:r>
      <w:r w:rsidR="00AA16E3">
        <w:rPr>
          <w:rFonts w:ascii="Verdana" w:hAnsi="Verdana"/>
          <w:sz w:val="20"/>
          <w:szCs w:val="20"/>
        </w:rPr>
        <w:t>, using all columns,</w:t>
      </w:r>
      <w:r>
        <w:rPr>
          <w:rFonts w:ascii="Verdana" w:hAnsi="Verdana"/>
          <w:sz w:val="20"/>
          <w:szCs w:val="20"/>
        </w:rPr>
        <w:t xml:space="preserve"> will be split into a training set and a test</w:t>
      </w:r>
      <w:r w:rsidR="005C5E5A">
        <w:rPr>
          <w:rFonts w:ascii="Verdana" w:hAnsi="Verdana"/>
          <w:sz w:val="20"/>
          <w:szCs w:val="20"/>
        </w:rPr>
        <w:t>ing</w:t>
      </w:r>
      <w:r>
        <w:rPr>
          <w:rFonts w:ascii="Verdana" w:hAnsi="Verdana"/>
          <w:sz w:val="20"/>
          <w:szCs w:val="20"/>
        </w:rPr>
        <w:t xml:space="preserve"> set</w:t>
      </w:r>
      <w:r w:rsidR="009243CB">
        <w:rPr>
          <w:rFonts w:ascii="Verdana" w:hAnsi="Verdana"/>
          <w:sz w:val="20"/>
          <w:szCs w:val="20"/>
        </w:rPr>
        <w:t xml:space="preserve"> where 80% of the data is used to train the model and the remaining 20% is used to conduct an assessment of the ridge regression model.</w:t>
      </w:r>
      <w:r w:rsidR="00AA16E3">
        <w:rPr>
          <w:rFonts w:ascii="Verdana" w:hAnsi="Verdana"/>
          <w:sz w:val="20"/>
          <w:szCs w:val="20"/>
        </w:rPr>
        <w:t xml:space="preserve"> For the second portion of this study, the ARIMA model, </w:t>
      </w:r>
      <w:r w:rsidR="001105ED">
        <w:rPr>
          <w:rFonts w:ascii="Verdana" w:hAnsi="Verdana"/>
          <w:sz w:val="20"/>
          <w:szCs w:val="20"/>
        </w:rPr>
        <w:t>only the date and Silver_USD columns will be used. T</w:t>
      </w:r>
      <w:r w:rsidR="00E52EDA">
        <w:rPr>
          <w:rFonts w:ascii="Verdana" w:hAnsi="Verdana"/>
          <w:sz w:val="20"/>
          <w:szCs w:val="20"/>
        </w:rPr>
        <w:t xml:space="preserve">he data for the ARIMA model will also be split into 80% for the training data and 20% for the testing data, which will allow </w:t>
      </w:r>
      <w:r w:rsidR="00342C27">
        <w:rPr>
          <w:rFonts w:ascii="Verdana" w:hAnsi="Verdana"/>
          <w:sz w:val="20"/>
          <w:szCs w:val="20"/>
        </w:rPr>
        <w:t>an assessment of the ARIMA model.</w:t>
      </w:r>
      <w:r w:rsidR="005C5E5A">
        <w:rPr>
          <w:rFonts w:ascii="Verdana" w:hAnsi="Verdana"/>
          <w:sz w:val="20"/>
          <w:szCs w:val="20"/>
        </w:rPr>
        <w:t xml:space="preserve"> An ARIMA model will look for patterns in the historical price of silver and use the patterns within the price itself to predict future silver prices</w:t>
      </w:r>
      <w:r w:rsidR="00FC6E4F">
        <w:rPr>
          <w:rFonts w:ascii="Verdana" w:hAnsi="Verdana"/>
          <w:sz w:val="20"/>
          <w:szCs w:val="20"/>
        </w:rPr>
        <w:t>.</w:t>
      </w:r>
    </w:p>
    <w:p w14:paraId="5EA1363E" w14:textId="77777777" w:rsidR="00C701B1" w:rsidRDefault="00C701B1" w:rsidP="0092488D">
      <w:pPr>
        <w:spacing w:after="0" w:line="240" w:lineRule="auto"/>
        <w:rPr>
          <w:rFonts w:ascii="Verdana" w:hAnsi="Verdana"/>
          <w:sz w:val="20"/>
          <w:szCs w:val="20"/>
        </w:rPr>
      </w:pPr>
    </w:p>
    <w:p w14:paraId="58288D5C" w14:textId="2EEA97F3" w:rsidR="00C701B1" w:rsidRDefault="00C701B1" w:rsidP="0092488D">
      <w:pPr>
        <w:spacing w:after="0" w:line="240" w:lineRule="auto"/>
        <w:rPr>
          <w:rFonts w:ascii="Verdana" w:hAnsi="Verdana"/>
          <w:sz w:val="20"/>
          <w:szCs w:val="20"/>
        </w:rPr>
      </w:pPr>
      <w:r>
        <w:rPr>
          <w:rFonts w:ascii="Verdana" w:hAnsi="Verdana"/>
          <w:sz w:val="20"/>
          <w:szCs w:val="20"/>
        </w:rPr>
        <w:t>Both analyses will be performed in a Jupyter Notebo</w:t>
      </w:r>
      <w:r w:rsidR="00F147F7">
        <w:rPr>
          <w:rFonts w:ascii="Verdana" w:hAnsi="Verdana"/>
          <w:sz w:val="20"/>
          <w:szCs w:val="20"/>
        </w:rPr>
        <w:t>ok</w:t>
      </w:r>
      <w:r w:rsidR="009C2DAE">
        <w:rPr>
          <w:rFonts w:ascii="Verdana" w:hAnsi="Verdana"/>
          <w:sz w:val="20"/>
          <w:szCs w:val="20"/>
        </w:rPr>
        <w:t xml:space="preserve"> using Anaconda.</w:t>
      </w:r>
    </w:p>
    <w:p w14:paraId="37C7956E" w14:textId="77777777" w:rsidR="0092488D" w:rsidRPr="00E864E0" w:rsidRDefault="0092488D" w:rsidP="0092488D">
      <w:pPr>
        <w:spacing w:after="0" w:line="240" w:lineRule="auto"/>
        <w:rPr>
          <w:rFonts w:ascii="Verdana" w:eastAsia="Times New Roman" w:hAnsi="Verdana" w:cs="Times New Roman"/>
          <w:b/>
          <w:sz w:val="20"/>
          <w:szCs w:val="20"/>
        </w:rPr>
      </w:pPr>
    </w:p>
    <w:p w14:paraId="6FB85321" w14:textId="15BB5926" w:rsidR="00930A01" w:rsidRDefault="00C66594" w:rsidP="0092488D">
      <w:pPr>
        <w:spacing w:after="0" w:line="240" w:lineRule="auto"/>
        <w:ind w:left="720"/>
        <w:rPr>
          <w:rFonts w:ascii="Verdana" w:hAnsi="Verdana"/>
          <w:bCs/>
          <w:sz w:val="20"/>
          <w:szCs w:val="20"/>
        </w:rPr>
      </w:pPr>
      <w:r w:rsidRPr="00E864E0">
        <w:rPr>
          <w:rFonts w:ascii="Verdana" w:eastAsia="Times New Roman" w:hAnsi="Verdana" w:cs="Times New Roman"/>
          <w:b/>
          <w:sz w:val="20"/>
          <w:szCs w:val="20"/>
        </w:rPr>
        <w:t>Justification of Tools/Techniques:</w:t>
      </w:r>
      <w:r w:rsidRPr="00E864E0">
        <w:rPr>
          <w:rFonts w:ascii="Verdana" w:eastAsia="Times New Roman" w:hAnsi="Verdana" w:cs="Times New Roman"/>
          <w:sz w:val="20"/>
          <w:szCs w:val="20"/>
        </w:rPr>
        <w:t xml:space="preserve"> </w:t>
      </w:r>
      <w:r w:rsidR="00930A01">
        <w:rPr>
          <w:rFonts w:ascii="Verdana" w:eastAsia="Times New Roman" w:hAnsi="Verdana" w:cs="Times New Roman"/>
          <w:bCs/>
          <w:sz w:val="20"/>
          <w:szCs w:val="20"/>
        </w:rPr>
        <w:t xml:space="preserve">Python will be used to clean the data including the mitigation of issues such as missing data, anomalies, and so on. </w:t>
      </w:r>
      <w:r w:rsidR="00930A01" w:rsidRPr="00656C9B">
        <w:rPr>
          <w:rFonts w:ascii="Verdana" w:eastAsia="Times New Roman" w:hAnsi="Verdana" w:cs="Times New Roman"/>
          <w:bCs/>
          <w:sz w:val="20"/>
          <w:szCs w:val="20"/>
        </w:rPr>
        <w:t>According to a book published in 2022 by Marco Peixeiro called “Time Series Forecasting in Python,” R used to be the gold standard for statistical analysis. However, many robust statistical analysis packages have since been designed in Python</w:t>
      </w:r>
      <w:r w:rsidR="00930A01">
        <w:rPr>
          <w:rFonts w:ascii="Verdana" w:eastAsia="Times New Roman" w:hAnsi="Verdana" w:cs="Times New Roman"/>
          <w:bCs/>
          <w:sz w:val="20"/>
          <w:szCs w:val="20"/>
        </w:rPr>
        <w:t xml:space="preserve">. </w:t>
      </w:r>
      <w:r w:rsidR="00930A01" w:rsidRPr="00656C9B">
        <w:rPr>
          <w:rFonts w:ascii="Verdana" w:eastAsia="Times New Roman" w:hAnsi="Verdana" w:cs="Times New Roman"/>
          <w:bCs/>
          <w:sz w:val="20"/>
          <w:szCs w:val="20"/>
        </w:rPr>
        <w:t xml:space="preserve">In addition, in recent years, all data scientists </w:t>
      </w:r>
      <w:r w:rsidR="006357B4">
        <w:rPr>
          <w:rFonts w:ascii="Verdana" w:eastAsia="Times New Roman" w:hAnsi="Verdana" w:cs="Times New Roman"/>
          <w:bCs/>
          <w:sz w:val="20"/>
          <w:szCs w:val="20"/>
        </w:rPr>
        <w:t>have been</w:t>
      </w:r>
      <w:r w:rsidR="00930A01" w:rsidRPr="00656C9B">
        <w:rPr>
          <w:rFonts w:ascii="Verdana" w:eastAsia="Times New Roman" w:hAnsi="Verdana" w:cs="Times New Roman"/>
          <w:bCs/>
          <w:sz w:val="20"/>
          <w:szCs w:val="20"/>
        </w:rPr>
        <w:t xml:space="preserve"> required to be proficient with Python and it is now “the most widespread language in the field of machine learning.” Python is very versatile, more so than R</w:t>
      </w:r>
      <w:r w:rsidR="00930A01">
        <w:rPr>
          <w:rFonts w:ascii="Verdana" w:eastAsia="Times New Roman" w:hAnsi="Verdana" w:cs="Times New Roman"/>
          <w:bCs/>
          <w:sz w:val="20"/>
          <w:szCs w:val="20"/>
        </w:rPr>
        <w:t xml:space="preserve"> (Peixeiro, 2022). Regarding SAS, </w:t>
      </w:r>
      <w:r w:rsidR="00C27FA3">
        <w:rPr>
          <w:rFonts w:ascii="Verdana" w:eastAsia="Times New Roman" w:hAnsi="Verdana" w:cs="Times New Roman"/>
          <w:bCs/>
          <w:sz w:val="20"/>
          <w:szCs w:val="20"/>
        </w:rPr>
        <w:t xml:space="preserve">Python is the better choice because it possesses </w:t>
      </w:r>
      <w:r w:rsidR="00726F9A">
        <w:rPr>
          <w:rFonts w:ascii="Verdana" w:eastAsia="Times New Roman" w:hAnsi="Verdana" w:cs="Times New Roman"/>
          <w:bCs/>
          <w:sz w:val="20"/>
          <w:szCs w:val="20"/>
        </w:rPr>
        <w:t xml:space="preserve">graphing </w:t>
      </w:r>
      <w:r w:rsidR="00C27FA3">
        <w:rPr>
          <w:rFonts w:ascii="Verdana" w:eastAsia="Times New Roman" w:hAnsi="Verdana" w:cs="Times New Roman"/>
          <w:bCs/>
          <w:sz w:val="20"/>
          <w:szCs w:val="20"/>
        </w:rPr>
        <w:t xml:space="preserve">packages that are much more </w:t>
      </w:r>
      <w:r w:rsidR="00726F9A">
        <w:rPr>
          <w:rFonts w:ascii="Verdana" w:eastAsia="Times New Roman" w:hAnsi="Verdana" w:cs="Times New Roman"/>
          <w:bCs/>
          <w:sz w:val="20"/>
          <w:szCs w:val="20"/>
        </w:rPr>
        <w:t>adaptable and robust than SA</w:t>
      </w:r>
      <w:r w:rsidR="00AD4D3E">
        <w:rPr>
          <w:rFonts w:ascii="Verdana" w:eastAsia="Times New Roman" w:hAnsi="Verdana" w:cs="Times New Roman"/>
          <w:bCs/>
          <w:sz w:val="20"/>
          <w:szCs w:val="20"/>
        </w:rPr>
        <w:t xml:space="preserve">S, and it is </w:t>
      </w:r>
      <w:r w:rsidR="007B3DCF">
        <w:rPr>
          <w:rFonts w:ascii="Verdana" w:eastAsia="Times New Roman" w:hAnsi="Verdana" w:cs="Times New Roman"/>
          <w:bCs/>
          <w:sz w:val="20"/>
          <w:szCs w:val="20"/>
        </w:rPr>
        <w:t>open-source and updated more quickly</w:t>
      </w:r>
      <w:r w:rsidR="00A75BA3">
        <w:rPr>
          <w:rFonts w:ascii="Verdana" w:eastAsia="Times New Roman" w:hAnsi="Verdana" w:cs="Times New Roman"/>
          <w:bCs/>
          <w:sz w:val="20"/>
          <w:szCs w:val="20"/>
        </w:rPr>
        <w:t xml:space="preserve"> than SAS</w:t>
      </w:r>
      <w:r w:rsidR="00AD4D3E">
        <w:rPr>
          <w:rFonts w:ascii="Verdana" w:eastAsia="Times New Roman" w:hAnsi="Verdana" w:cs="Times New Roman"/>
          <w:bCs/>
          <w:sz w:val="20"/>
          <w:szCs w:val="20"/>
        </w:rPr>
        <w:t xml:space="preserve"> so users have the best features sooner</w:t>
      </w:r>
      <w:r w:rsidR="001C52CA">
        <w:rPr>
          <w:rFonts w:ascii="Verdana" w:eastAsia="Times New Roman" w:hAnsi="Verdana" w:cs="Times New Roman"/>
          <w:bCs/>
          <w:sz w:val="20"/>
          <w:szCs w:val="20"/>
        </w:rPr>
        <w:t xml:space="preserve"> </w:t>
      </w:r>
      <w:r w:rsidR="001C52CA" w:rsidRPr="001C52CA">
        <w:rPr>
          <w:rFonts w:ascii="Verdana" w:eastAsia="Times New Roman" w:hAnsi="Verdana" w:cs="Times New Roman"/>
          <w:bCs/>
          <w:sz w:val="20"/>
          <w:szCs w:val="20"/>
        </w:rPr>
        <w:t xml:space="preserve">(Dutta, </w:t>
      </w:r>
      <w:r w:rsidR="00636238">
        <w:rPr>
          <w:rFonts w:ascii="Verdana" w:eastAsia="Times New Roman" w:hAnsi="Verdana" w:cs="Times New Roman"/>
          <w:bCs/>
          <w:sz w:val="20"/>
          <w:szCs w:val="20"/>
        </w:rPr>
        <w:t>2021</w:t>
      </w:r>
      <w:r w:rsidR="001C52CA" w:rsidRPr="001C52CA">
        <w:rPr>
          <w:rFonts w:ascii="Verdana" w:eastAsia="Times New Roman" w:hAnsi="Verdana" w:cs="Times New Roman"/>
          <w:bCs/>
          <w:sz w:val="20"/>
          <w:szCs w:val="20"/>
        </w:rPr>
        <w:t>)</w:t>
      </w:r>
      <w:r w:rsidR="001C52CA">
        <w:rPr>
          <w:rFonts w:ascii="Verdana" w:eastAsia="Times New Roman" w:hAnsi="Verdana" w:cs="Times New Roman"/>
          <w:bCs/>
          <w:sz w:val="20"/>
          <w:szCs w:val="20"/>
        </w:rPr>
        <w:t>.</w:t>
      </w:r>
    </w:p>
    <w:p w14:paraId="7463EBF1" w14:textId="0D5A0C75" w:rsidR="00C66594" w:rsidRPr="00E864E0" w:rsidRDefault="00C66594" w:rsidP="00C66594">
      <w:pPr>
        <w:spacing w:after="0" w:line="240" w:lineRule="auto"/>
        <w:ind w:left="360"/>
        <w:rPr>
          <w:rFonts w:ascii="Verdana" w:eastAsia="Times New Roman" w:hAnsi="Verdana" w:cs="Times New Roman"/>
          <w:sz w:val="20"/>
          <w:szCs w:val="20"/>
        </w:rPr>
      </w:pPr>
    </w:p>
    <w:p w14:paraId="385F6FF1" w14:textId="77777777" w:rsidR="00C66594" w:rsidRPr="00B8701D" w:rsidRDefault="00C66594" w:rsidP="00C66594">
      <w:pPr>
        <w:spacing w:after="0" w:line="240" w:lineRule="auto"/>
        <w:rPr>
          <w:rFonts w:ascii="Verdana" w:hAnsi="Verdana"/>
          <w:b/>
          <w:sz w:val="20"/>
          <w:szCs w:val="20"/>
        </w:rPr>
      </w:pPr>
    </w:p>
    <w:p w14:paraId="40563FE6" w14:textId="7B783789"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Project Outcomes</w:t>
      </w:r>
      <w:r w:rsidRPr="00B8701D">
        <w:rPr>
          <w:rFonts w:ascii="Verdana" w:hAnsi="Verdana"/>
          <w:sz w:val="20"/>
          <w:szCs w:val="20"/>
        </w:rPr>
        <w:t xml:space="preserve">: </w:t>
      </w:r>
      <w:r w:rsidR="00363CC4">
        <w:rPr>
          <w:rFonts w:ascii="Verdana" w:hAnsi="Verdana"/>
          <w:iCs/>
          <w:sz w:val="20"/>
          <w:szCs w:val="20"/>
        </w:rPr>
        <w:t xml:space="preserve">The project seeks to create a ridge regression model </w:t>
      </w:r>
      <w:r w:rsidR="006A1934">
        <w:rPr>
          <w:rFonts w:ascii="Verdana" w:hAnsi="Verdana"/>
          <w:iCs/>
          <w:sz w:val="20"/>
          <w:szCs w:val="20"/>
        </w:rPr>
        <w:t>predictive of the price of silver in USD based on economic factors</w:t>
      </w:r>
      <w:r w:rsidR="00A469B3">
        <w:rPr>
          <w:rFonts w:ascii="Verdana" w:hAnsi="Verdana"/>
          <w:iCs/>
          <w:sz w:val="20"/>
          <w:szCs w:val="20"/>
        </w:rPr>
        <w:t>.</w:t>
      </w:r>
      <w:r w:rsidR="006A1934">
        <w:rPr>
          <w:rFonts w:ascii="Verdana" w:hAnsi="Verdana"/>
          <w:iCs/>
          <w:sz w:val="20"/>
          <w:szCs w:val="20"/>
        </w:rPr>
        <w:t xml:space="preserve"> </w:t>
      </w:r>
      <w:r w:rsidR="003F0BE3">
        <w:rPr>
          <w:rFonts w:ascii="Verdana" w:hAnsi="Verdana"/>
          <w:sz w:val="20"/>
          <w:szCs w:val="20"/>
        </w:rPr>
        <w:t>Support for the alternative hypothesis</w:t>
      </w:r>
      <w:r w:rsidR="00155E60">
        <w:rPr>
          <w:rFonts w:ascii="Verdana" w:hAnsi="Verdana"/>
          <w:sz w:val="20"/>
          <w:szCs w:val="20"/>
        </w:rPr>
        <w:t xml:space="preserve"> that either a ridge regression model </w:t>
      </w:r>
      <w:r w:rsidR="00F81CA7">
        <w:rPr>
          <w:rFonts w:ascii="Verdana" w:hAnsi="Verdana"/>
          <w:sz w:val="20"/>
          <w:szCs w:val="20"/>
        </w:rPr>
        <w:t xml:space="preserve">that is accurate and predictive </w:t>
      </w:r>
      <w:r w:rsidR="00155E60">
        <w:rPr>
          <w:rFonts w:ascii="Verdana" w:hAnsi="Verdana"/>
          <w:sz w:val="20"/>
          <w:szCs w:val="20"/>
        </w:rPr>
        <w:t xml:space="preserve">can be constructed from </w:t>
      </w:r>
      <w:r w:rsidR="009A6850">
        <w:rPr>
          <w:rFonts w:ascii="Verdana" w:hAnsi="Verdana"/>
          <w:sz w:val="20"/>
          <w:szCs w:val="20"/>
        </w:rPr>
        <w:t>macroeconomic and/or commodity price data</w:t>
      </w:r>
      <w:r w:rsidR="003F0BE3">
        <w:rPr>
          <w:rFonts w:ascii="Verdana" w:hAnsi="Verdana"/>
          <w:sz w:val="20"/>
          <w:szCs w:val="20"/>
        </w:rPr>
        <w:t xml:space="preserve"> can be found in </w:t>
      </w:r>
      <w:r w:rsidR="00B551B3" w:rsidRPr="00B551B3">
        <w:rPr>
          <w:rFonts w:ascii="Verdana" w:hAnsi="Verdana"/>
          <w:sz w:val="20"/>
          <w:szCs w:val="20"/>
        </w:rPr>
        <w:t>Gargano and Timmermann (2014)</w:t>
      </w:r>
      <w:r w:rsidR="006E25D6">
        <w:rPr>
          <w:rFonts w:ascii="Verdana" w:hAnsi="Verdana"/>
          <w:sz w:val="20"/>
          <w:szCs w:val="20"/>
        </w:rPr>
        <w:t>.</w:t>
      </w:r>
    </w:p>
    <w:p w14:paraId="47DE421B" w14:textId="77777777" w:rsidR="00C66594" w:rsidRPr="00B8701D" w:rsidRDefault="00C66594" w:rsidP="00C66594">
      <w:pPr>
        <w:spacing w:after="0" w:line="240" w:lineRule="auto"/>
        <w:rPr>
          <w:rFonts w:ascii="Verdana" w:hAnsi="Verdana"/>
          <w:b/>
          <w:sz w:val="20"/>
          <w:szCs w:val="20"/>
        </w:rPr>
      </w:pPr>
    </w:p>
    <w:p w14:paraId="349AE0B3" w14:textId="543238AE" w:rsidR="00C66594" w:rsidRPr="00B8701D" w:rsidRDefault="00C66594" w:rsidP="00C66594">
      <w:pPr>
        <w:spacing w:after="0" w:line="240" w:lineRule="auto"/>
        <w:rPr>
          <w:rFonts w:ascii="Verdana" w:hAnsi="Verdana"/>
          <w:sz w:val="20"/>
          <w:szCs w:val="20"/>
        </w:rPr>
      </w:pPr>
      <w:r w:rsidRPr="00B8701D">
        <w:rPr>
          <w:rFonts w:ascii="Verdana" w:hAnsi="Verdana"/>
          <w:b/>
          <w:sz w:val="20"/>
          <w:szCs w:val="20"/>
        </w:rPr>
        <w:t>Projected Project End Date</w:t>
      </w:r>
      <w:r w:rsidRPr="00B8701D">
        <w:rPr>
          <w:rFonts w:ascii="Verdana" w:hAnsi="Verdana"/>
          <w:sz w:val="20"/>
          <w:szCs w:val="20"/>
        </w:rPr>
        <w:t xml:space="preserve">: </w:t>
      </w:r>
      <w:r w:rsidR="007247DE">
        <w:rPr>
          <w:rFonts w:ascii="Verdana" w:hAnsi="Verdana"/>
          <w:sz w:val="20"/>
          <w:szCs w:val="20"/>
        </w:rPr>
        <w:t>4/</w:t>
      </w:r>
      <w:r w:rsidR="00BF09B7">
        <w:rPr>
          <w:rFonts w:ascii="Verdana" w:hAnsi="Verdana"/>
          <w:sz w:val="20"/>
          <w:szCs w:val="20"/>
        </w:rPr>
        <w:t>15/2025</w:t>
      </w:r>
    </w:p>
    <w:p w14:paraId="34AAF32B" w14:textId="77777777" w:rsidR="00C66594" w:rsidRDefault="00C66594" w:rsidP="00C66594">
      <w:pPr>
        <w:spacing w:after="0" w:line="240" w:lineRule="auto"/>
        <w:rPr>
          <w:rFonts w:ascii="Verdana" w:hAnsi="Verdana"/>
          <w:b/>
          <w:sz w:val="20"/>
          <w:szCs w:val="20"/>
        </w:rPr>
      </w:pPr>
    </w:p>
    <w:p w14:paraId="1D3F7EAE" w14:textId="3B2A910D" w:rsidR="00C66594" w:rsidRDefault="00C66594" w:rsidP="00C66594">
      <w:pPr>
        <w:spacing w:after="0" w:line="240" w:lineRule="auto"/>
        <w:rPr>
          <w:rFonts w:ascii="Verdana" w:hAnsi="Verdana"/>
          <w:sz w:val="20"/>
          <w:szCs w:val="20"/>
        </w:rPr>
      </w:pPr>
      <w:r w:rsidRPr="00B8701D">
        <w:rPr>
          <w:rFonts w:ascii="Verdana" w:hAnsi="Verdana"/>
          <w:b/>
          <w:sz w:val="20"/>
          <w:szCs w:val="20"/>
        </w:rPr>
        <w:t>Sources</w:t>
      </w:r>
      <w:r w:rsidRPr="00B8701D">
        <w:rPr>
          <w:rFonts w:ascii="Verdana" w:hAnsi="Verdana"/>
          <w:sz w:val="20"/>
          <w:szCs w:val="20"/>
        </w:rPr>
        <w:t xml:space="preserve">: </w:t>
      </w:r>
    </w:p>
    <w:p w14:paraId="0F25F0BF" w14:textId="77777777" w:rsidR="003431C5" w:rsidRDefault="003431C5" w:rsidP="00C66594">
      <w:pPr>
        <w:spacing w:after="0" w:line="240" w:lineRule="auto"/>
        <w:rPr>
          <w:rFonts w:ascii="Verdana" w:hAnsi="Verdana"/>
          <w:sz w:val="20"/>
          <w:szCs w:val="20"/>
        </w:rPr>
      </w:pPr>
    </w:p>
    <w:p w14:paraId="11C6706D" w14:textId="1F5C6BD0" w:rsidR="003431C5" w:rsidRDefault="003431C5" w:rsidP="00C66594">
      <w:pPr>
        <w:spacing w:after="0" w:line="240" w:lineRule="auto"/>
        <w:rPr>
          <w:rFonts w:ascii="Verdana" w:hAnsi="Verdana"/>
          <w:sz w:val="20"/>
          <w:szCs w:val="20"/>
        </w:rPr>
      </w:pPr>
      <w:r w:rsidRPr="003431C5">
        <w:rPr>
          <w:rFonts w:ascii="Verdana" w:hAnsi="Verdana"/>
          <w:sz w:val="20"/>
          <w:szCs w:val="20"/>
        </w:rPr>
        <w:t xml:space="preserve">Cochintu, C. (2024, July 16). </w:t>
      </w:r>
      <w:r w:rsidRPr="003431C5">
        <w:rPr>
          <w:rFonts w:ascii="Verdana" w:hAnsi="Verdana"/>
          <w:i/>
          <w:iCs/>
          <w:sz w:val="20"/>
          <w:szCs w:val="20"/>
        </w:rPr>
        <w:t>Silver Forecast &amp; Price Predictions Q2 2024: Breakout from a three-and-a-half-year range</w:t>
      </w:r>
      <w:r w:rsidR="008B2499">
        <w:rPr>
          <w:rFonts w:ascii="Verdana" w:hAnsi="Verdana"/>
          <w:i/>
          <w:iCs/>
          <w:sz w:val="20"/>
          <w:szCs w:val="20"/>
        </w:rPr>
        <w:t>.</w:t>
      </w:r>
      <w:r w:rsidR="008B2499" w:rsidRPr="008B2499">
        <w:rPr>
          <w:rFonts w:ascii="Verdana" w:hAnsi="Verdana"/>
          <w:sz w:val="20"/>
          <w:szCs w:val="20"/>
        </w:rPr>
        <w:t xml:space="preserve"> Retrieved January 28, 2025, </w:t>
      </w:r>
      <w:r w:rsidR="008B2499">
        <w:rPr>
          <w:rFonts w:ascii="Verdana" w:hAnsi="Verdana"/>
          <w:sz w:val="20"/>
          <w:szCs w:val="20"/>
        </w:rPr>
        <w:t>from</w:t>
      </w:r>
      <w:r w:rsidRPr="003431C5">
        <w:rPr>
          <w:rFonts w:ascii="Verdana" w:hAnsi="Verdana"/>
          <w:sz w:val="20"/>
          <w:szCs w:val="20"/>
        </w:rPr>
        <w:t xml:space="preserve"> </w:t>
      </w:r>
      <w:hyperlink r:id="rId9" w:history="1">
        <w:r w:rsidRPr="00087E90">
          <w:rPr>
            <w:rStyle w:val="Hyperlink"/>
            <w:rFonts w:ascii="Verdana" w:hAnsi="Verdana"/>
            <w:sz w:val="20"/>
            <w:szCs w:val="20"/>
          </w:rPr>
          <w:t>https://capex.com/en/overview/silver-forecast-price-prediction</w:t>
        </w:r>
      </w:hyperlink>
      <w:r>
        <w:rPr>
          <w:rFonts w:ascii="Verdana" w:hAnsi="Verdana"/>
          <w:sz w:val="20"/>
          <w:szCs w:val="20"/>
        </w:rPr>
        <w:t xml:space="preserve"> </w:t>
      </w:r>
    </w:p>
    <w:p w14:paraId="5DF266F4" w14:textId="77777777" w:rsidR="00270F82" w:rsidRDefault="00270F82" w:rsidP="00C66594">
      <w:pPr>
        <w:spacing w:after="0" w:line="240" w:lineRule="auto"/>
        <w:rPr>
          <w:rFonts w:ascii="Verdana" w:hAnsi="Verdana"/>
          <w:sz w:val="20"/>
          <w:szCs w:val="20"/>
        </w:rPr>
      </w:pPr>
    </w:p>
    <w:p w14:paraId="76FE8547" w14:textId="37A0D3B1" w:rsidR="00CE3A3A" w:rsidRDefault="00CE3A3A" w:rsidP="00C66594">
      <w:pPr>
        <w:spacing w:after="0" w:line="240" w:lineRule="auto"/>
        <w:rPr>
          <w:rFonts w:ascii="Verdana" w:hAnsi="Verdana"/>
          <w:sz w:val="20"/>
          <w:szCs w:val="20"/>
        </w:rPr>
      </w:pPr>
      <w:r w:rsidRPr="00CE3A3A">
        <w:rPr>
          <w:rFonts w:ascii="Verdana" w:hAnsi="Verdana"/>
          <w:i/>
          <w:iCs/>
          <w:sz w:val="20"/>
          <w:szCs w:val="20"/>
        </w:rPr>
        <w:t>Deed - Attribution-NonCommercial-NoDerivatives 4.0 International - Creative Commons.</w:t>
      </w:r>
      <w:r w:rsidRPr="00CE3A3A">
        <w:rPr>
          <w:rFonts w:ascii="Verdana" w:hAnsi="Verdana"/>
          <w:sz w:val="20"/>
          <w:szCs w:val="20"/>
        </w:rPr>
        <w:t xml:space="preserve"> (n.d.). Creative Commons. </w:t>
      </w:r>
      <w:r w:rsidR="008B2499" w:rsidRPr="008B2499">
        <w:rPr>
          <w:rFonts w:ascii="Verdana" w:hAnsi="Verdana"/>
          <w:sz w:val="20"/>
          <w:szCs w:val="20"/>
        </w:rPr>
        <w:t xml:space="preserve">Retrieved January 28, 2025, </w:t>
      </w:r>
      <w:r w:rsidR="008B2499">
        <w:rPr>
          <w:rFonts w:ascii="Verdana" w:hAnsi="Verdana"/>
          <w:sz w:val="20"/>
          <w:szCs w:val="20"/>
        </w:rPr>
        <w:t>from</w:t>
      </w:r>
      <w:r w:rsidR="008B2499" w:rsidRPr="00270F82">
        <w:rPr>
          <w:rFonts w:ascii="Verdana" w:hAnsi="Verdana"/>
          <w:sz w:val="20"/>
          <w:szCs w:val="20"/>
        </w:rPr>
        <w:t xml:space="preserve"> </w:t>
      </w:r>
      <w:hyperlink r:id="rId10" w:history="1">
        <w:r w:rsidRPr="0043463D">
          <w:rPr>
            <w:rStyle w:val="Hyperlink"/>
            <w:rFonts w:ascii="Verdana" w:hAnsi="Verdana"/>
            <w:sz w:val="20"/>
            <w:szCs w:val="20"/>
          </w:rPr>
          <w:t>https://creativecommons.org/licenses/by-nc-nd/4.0/</w:t>
        </w:r>
      </w:hyperlink>
      <w:r>
        <w:rPr>
          <w:rFonts w:ascii="Verdana" w:hAnsi="Verdana"/>
          <w:sz w:val="20"/>
          <w:szCs w:val="20"/>
        </w:rPr>
        <w:t xml:space="preserve"> </w:t>
      </w:r>
    </w:p>
    <w:p w14:paraId="053F352E" w14:textId="77777777" w:rsidR="00CE3A3A" w:rsidRDefault="00CE3A3A" w:rsidP="00C66594">
      <w:pPr>
        <w:spacing w:after="0" w:line="240" w:lineRule="auto"/>
        <w:rPr>
          <w:rFonts w:ascii="Verdana" w:hAnsi="Verdana"/>
          <w:sz w:val="20"/>
          <w:szCs w:val="20"/>
        </w:rPr>
      </w:pPr>
    </w:p>
    <w:p w14:paraId="352D25EB" w14:textId="4C03D362" w:rsidR="001C52CA" w:rsidRDefault="00636238" w:rsidP="00C66594">
      <w:pPr>
        <w:spacing w:after="0" w:line="240" w:lineRule="auto"/>
        <w:rPr>
          <w:rFonts w:ascii="Verdana" w:hAnsi="Verdana"/>
          <w:sz w:val="20"/>
          <w:szCs w:val="20"/>
        </w:rPr>
      </w:pPr>
      <w:r w:rsidRPr="00636238">
        <w:rPr>
          <w:rFonts w:ascii="Verdana" w:hAnsi="Verdana"/>
          <w:sz w:val="20"/>
          <w:szCs w:val="20"/>
        </w:rPr>
        <w:t xml:space="preserve">Dutta, B. (2021, August 15). </w:t>
      </w:r>
      <w:r w:rsidRPr="00636238">
        <w:rPr>
          <w:rFonts w:ascii="Verdana" w:hAnsi="Verdana"/>
          <w:i/>
          <w:iCs/>
          <w:sz w:val="20"/>
          <w:szCs w:val="20"/>
        </w:rPr>
        <w:t>8 Differences Between SAS and Python</w:t>
      </w:r>
      <w:r w:rsidR="00BB6FA9">
        <w:rPr>
          <w:rFonts w:ascii="Verdana" w:hAnsi="Verdana"/>
          <w:sz w:val="20"/>
          <w:szCs w:val="20"/>
        </w:rPr>
        <w:t xml:space="preserve">. </w:t>
      </w:r>
      <w:r w:rsidRPr="00636238">
        <w:rPr>
          <w:rFonts w:ascii="Verdana" w:hAnsi="Verdana"/>
          <w:sz w:val="20"/>
          <w:szCs w:val="20"/>
        </w:rPr>
        <w:t xml:space="preserve">Analytics Steps. Retrieved January 28, 2025, from </w:t>
      </w:r>
      <w:hyperlink r:id="rId11" w:history="1">
        <w:r w:rsidRPr="00087E90">
          <w:rPr>
            <w:rStyle w:val="Hyperlink"/>
            <w:rFonts w:ascii="Verdana" w:hAnsi="Verdana"/>
            <w:sz w:val="20"/>
            <w:szCs w:val="20"/>
          </w:rPr>
          <w:t>https://www.analyticssteps.com/blogs/8-differences-between-sas-and-python</w:t>
        </w:r>
      </w:hyperlink>
      <w:r>
        <w:rPr>
          <w:rFonts w:ascii="Verdana" w:hAnsi="Verdana"/>
          <w:sz w:val="20"/>
          <w:szCs w:val="20"/>
        </w:rPr>
        <w:t xml:space="preserve"> </w:t>
      </w:r>
    </w:p>
    <w:p w14:paraId="3C073EF7" w14:textId="77777777" w:rsidR="00636238" w:rsidRDefault="00636238" w:rsidP="00C66594">
      <w:pPr>
        <w:spacing w:after="0" w:line="240" w:lineRule="auto"/>
        <w:rPr>
          <w:rFonts w:ascii="Verdana" w:hAnsi="Verdana"/>
          <w:sz w:val="20"/>
          <w:szCs w:val="20"/>
        </w:rPr>
      </w:pPr>
    </w:p>
    <w:p w14:paraId="10B7EEDF" w14:textId="2FE611EE" w:rsidR="006619C0" w:rsidRDefault="00032F2D" w:rsidP="00C66594">
      <w:pPr>
        <w:spacing w:after="0" w:line="240" w:lineRule="auto"/>
        <w:rPr>
          <w:rFonts w:ascii="Verdana" w:hAnsi="Verdana"/>
          <w:sz w:val="20"/>
          <w:szCs w:val="20"/>
        </w:rPr>
      </w:pPr>
      <w:r w:rsidRPr="00032F2D">
        <w:rPr>
          <w:rFonts w:ascii="Verdana" w:hAnsi="Verdana"/>
          <w:sz w:val="20"/>
          <w:szCs w:val="20"/>
        </w:rPr>
        <w:t xml:space="preserve">Gargano, A., &amp; Timmermann, A. (2014). Forecasting commodity price indexes using macroeconomic and financial predictors. </w:t>
      </w:r>
      <w:r w:rsidRPr="004F563E">
        <w:rPr>
          <w:rFonts w:ascii="Verdana" w:hAnsi="Verdana"/>
          <w:i/>
          <w:sz w:val="20"/>
          <w:szCs w:val="20"/>
        </w:rPr>
        <w:t>International Journal of Forecasting</w:t>
      </w:r>
      <w:r w:rsidRPr="00032F2D">
        <w:rPr>
          <w:rFonts w:ascii="Verdana" w:hAnsi="Verdana"/>
          <w:sz w:val="20"/>
          <w:szCs w:val="20"/>
        </w:rPr>
        <w:t xml:space="preserve">, </w:t>
      </w:r>
      <w:r w:rsidRPr="004F563E">
        <w:rPr>
          <w:rFonts w:ascii="Verdana" w:hAnsi="Verdana"/>
          <w:i/>
          <w:sz w:val="20"/>
          <w:szCs w:val="20"/>
        </w:rPr>
        <w:t>30</w:t>
      </w:r>
      <w:r w:rsidRPr="00032F2D">
        <w:rPr>
          <w:rFonts w:ascii="Verdana" w:hAnsi="Verdana"/>
          <w:sz w:val="20"/>
          <w:szCs w:val="20"/>
        </w:rPr>
        <w:t xml:space="preserve">(3), 825–843. </w:t>
      </w:r>
      <w:r w:rsidR="008B2499" w:rsidRPr="008B2499">
        <w:rPr>
          <w:rFonts w:ascii="Verdana" w:hAnsi="Verdana"/>
          <w:sz w:val="20"/>
          <w:szCs w:val="20"/>
        </w:rPr>
        <w:t xml:space="preserve">Retrieved January 28, 2025, </w:t>
      </w:r>
      <w:r w:rsidR="008B2499">
        <w:rPr>
          <w:rFonts w:ascii="Verdana" w:hAnsi="Verdana"/>
          <w:sz w:val="20"/>
          <w:szCs w:val="20"/>
        </w:rPr>
        <w:t>from</w:t>
      </w:r>
      <w:r w:rsidR="008B2499" w:rsidRPr="00270F82">
        <w:rPr>
          <w:rFonts w:ascii="Verdana" w:hAnsi="Verdana"/>
          <w:sz w:val="20"/>
          <w:szCs w:val="20"/>
        </w:rPr>
        <w:t xml:space="preserve"> </w:t>
      </w:r>
      <w:hyperlink r:id="rId12" w:history="1">
        <w:r w:rsidR="004F563E" w:rsidRPr="004F563E">
          <w:rPr>
            <w:rStyle w:val="Hyperlink"/>
            <w:rFonts w:ascii="Verdana" w:hAnsi="Verdana"/>
            <w:sz w:val="20"/>
            <w:szCs w:val="20"/>
          </w:rPr>
          <w:t>https://doi.org/10.1016/j.ijforecast.2013.09.003</w:t>
        </w:r>
      </w:hyperlink>
      <w:r w:rsidR="004F563E">
        <w:rPr>
          <w:rFonts w:ascii="Verdana" w:hAnsi="Verdana"/>
          <w:sz w:val="20"/>
          <w:szCs w:val="20"/>
        </w:rPr>
        <w:t xml:space="preserve"> </w:t>
      </w:r>
    </w:p>
    <w:p w14:paraId="743DDB45" w14:textId="77777777" w:rsidR="00FF3CDA" w:rsidRDefault="00FF3CDA" w:rsidP="00C66594">
      <w:pPr>
        <w:spacing w:after="0" w:line="240" w:lineRule="auto"/>
        <w:rPr>
          <w:rFonts w:ascii="Verdana" w:hAnsi="Verdana"/>
          <w:sz w:val="20"/>
          <w:szCs w:val="20"/>
        </w:rPr>
      </w:pPr>
    </w:p>
    <w:p w14:paraId="3E3A3120" w14:textId="284AAF21" w:rsidR="00FF3CDA" w:rsidRDefault="00FF3CDA" w:rsidP="00C66594">
      <w:pPr>
        <w:spacing w:after="0" w:line="240" w:lineRule="auto"/>
        <w:rPr>
          <w:rFonts w:ascii="Verdana" w:hAnsi="Verdana"/>
          <w:sz w:val="20"/>
          <w:szCs w:val="20"/>
        </w:rPr>
      </w:pPr>
      <w:r w:rsidRPr="00FF3CDA">
        <w:rPr>
          <w:rFonts w:ascii="Verdana" w:hAnsi="Verdana"/>
          <w:sz w:val="20"/>
          <w:szCs w:val="20"/>
        </w:rPr>
        <w:t xml:space="preserve">GeeksforGeeks. (2024, January 18). </w:t>
      </w:r>
      <w:r w:rsidRPr="00FF3CDA">
        <w:rPr>
          <w:rFonts w:ascii="Verdana" w:hAnsi="Verdana"/>
          <w:i/>
          <w:iCs/>
          <w:sz w:val="20"/>
          <w:szCs w:val="20"/>
        </w:rPr>
        <w:t>Handling missing values in time series data.</w:t>
      </w:r>
      <w:r w:rsidRPr="00FF3CDA">
        <w:rPr>
          <w:rFonts w:ascii="Verdana" w:hAnsi="Verdana"/>
          <w:sz w:val="20"/>
          <w:szCs w:val="20"/>
        </w:rPr>
        <w:t xml:space="preserve"> GeeksforGeeks. </w:t>
      </w:r>
      <w:r w:rsidR="008B2499" w:rsidRPr="008B2499">
        <w:rPr>
          <w:rFonts w:ascii="Verdana" w:hAnsi="Verdana"/>
          <w:sz w:val="20"/>
          <w:szCs w:val="20"/>
        </w:rPr>
        <w:t xml:space="preserve">Retrieved January 28, 2025, </w:t>
      </w:r>
      <w:r w:rsidR="008B2499">
        <w:rPr>
          <w:rFonts w:ascii="Verdana" w:hAnsi="Verdana"/>
          <w:sz w:val="20"/>
          <w:szCs w:val="20"/>
        </w:rPr>
        <w:t>from</w:t>
      </w:r>
      <w:r w:rsidR="008B2499" w:rsidRPr="00270F82">
        <w:rPr>
          <w:rFonts w:ascii="Verdana" w:hAnsi="Verdana"/>
          <w:sz w:val="20"/>
          <w:szCs w:val="20"/>
        </w:rPr>
        <w:t xml:space="preserve"> </w:t>
      </w:r>
      <w:hyperlink r:id="rId13" w:history="1">
        <w:r w:rsidRPr="0043463D">
          <w:rPr>
            <w:rStyle w:val="Hyperlink"/>
            <w:rFonts w:ascii="Verdana" w:hAnsi="Verdana"/>
            <w:sz w:val="20"/>
            <w:szCs w:val="20"/>
          </w:rPr>
          <w:t>https://www.geeksforgeeks.org/handling-missing-values-in-time-series-data/</w:t>
        </w:r>
      </w:hyperlink>
      <w:r>
        <w:rPr>
          <w:rFonts w:ascii="Verdana" w:hAnsi="Verdana"/>
          <w:sz w:val="20"/>
          <w:szCs w:val="20"/>
        </w:rPr>
        <w:t xml:space="preserve"> </w:t>
      </w:r>
    </w:p>
    <w:p w14:paraId="63A4C9B9" w14:textId="77777777" w:rsidR="00254D37" w:rsidRDefault="00254D37" w:rsidP="00C66594">
      <w:pPr>
        <w:spacing w:after="0" w:line="240" w:lineRule="auto"/>
        <w:rPr>
          <w:rFonts w:ascii="Verdana" w:hAnsi="Verdana"/>
          <w:sz w:val="20"/>
          <w:szCs w:val="20"/>
        </w:rPr>
      </w:pPr>
    </w:p>
    <w:p w14:paraId="5CD499F7" w14:textId="542D4C65" w:rsidR="00254D37" w:rsidRDefault="00254D37" w:rsidP="00C66594">
      <w:pPr>
        <w:spacing w:after="0" w:line="240" w:lineRule="auto"/>
        <w:rPr>
          <w:rFonts w:ascii="Verdana" w:hAnsi="Verdana"/>
          <w:sz w:val="20"/>
          <w:szCs w:val="20"/>
        </w:rPr>
      </w:pPr>
      <w:r w:rsidRPr="00254D37">
        <w:rPr>
          <w:rFonts w:ascii="Verdana" w:hAnsi="Verdana"/>
          <w:sz w:val="20"/>
          <w:szCs w:val="20"/>
        </w:rPr>
        <w:t xml:space="preserve">Kriechbaumer, T., Angus, A., Parsons, D., &amp; Casado, M. R. (2013). An improved wavelet–ARIMA approach for forecasting metal prices. </w:t>
      </w:r>
      <w:r w:rsidRPr="00254D37">
        <w:rPr>
          <w:rFonts w:ascii="Verdana" w:hAnsi="Verdana"/>
          <w:i/>
          <w:iCs/>
          <w:sz w:val="20"/>
          <w:szCs w:val="20"/>
        </w:rPr>
        <w:t>Resources Policy</w:t>
      </w:r>
      <w:r w:rsidRPr="00254D37">
        <w:rPr>
          <w:rFonts w:ascii="Verdana" w:hAnsi="Verdana"/>
          <w:sz w:val="20"/>
          <w:szCs w:val="20"/>
        </w:rPr>
        <w:t xml:space="preserve">, 39, 32–41. </w:t>
      </w:r>
      <w:r w:rsidR="008B2499" w:rsidRPr="008B2499">
        <w:rPr>
          <w:rFonts w:ascii="Verdana" w:hAnsi="Verdana"/>
          <w:sz w:val="20"/>
          <w:szCs w:val="20"/>
        </w:rPr>
        <w:t xml:space="preserve">Retrieved January 28, 2025, </w:t>
      </w:r>
      <w:r w:rsidR="008B2499">
        <w:rPr>
          <w:rFonts w:ascii="Verdana" w:hAnsi="Verdana"/>
          <w:sz w:val="20"/>
          <w:szCs w:val="20"/>
        </w:rPr>
        <w:t>from</w:t>
      </w:r>
      <w:r w:rsidR="008B2499" w:rsidRPr="00270F82">
        <w:rPr>
          <w:rFonts w:ascii="Verdana" w:hAnsi="Verdana"/>
          <w:sz w:val="20"/>
          <w:szCs w:val="20"/>
        </w:rPr>
        <w:t xml:space="preserve"> </w:t>
      </w:r>
      <w:hyperlink r:id="rId14" w:history="1">
        <w:r w:rsidRPr="007877B7">
          <w:rPr>
            <w:rStyle w:val="Hyperlink"/>
            <w:rFonts w:ascii="Verdana" w:hAnsi="Verdana"/>
            <w:sz w:val="20"/>
            <w:szCs w:val="20"/>
          </w:rPr>
          <w:t>https://doi.org/10.1016/j.resourpol.2013.10.005</w:t>
        </w:r>
      </w:hyperlink>
      <w:r>
        <w:rPr>
          <w:rFonts w:ascii="Verdana" w:hAnsi="Verdana"/>
          <w:sz w:val="20"/>
          <w:szCs w:val="20"/>
        </w:rPr>
        <w:t xml:space="preserve"> </w:t>
      </w:r>
    </w:p>
    <w:p w14:paraId="5A6AD2F6" w14:textId="77777777" w:rsidR="00032F2D" w:rsidRDefault="00032F2D" w:rsidP="006619C0">
      <w:pPr>
        <w:spacing w:after="0" w:line="240" w:lineRule="auto"/>
        <w:rPr>
          <w:rFonts w:ascii="Verdana" w:hAnsi="Verdana"/>
          <w:i/>
          <w:iCs/>
          <w:sz w:val="20"/>
          <w:szCs w:val="20"/>
        </w:rPr>
      </w:pPr>
    </w:p>
    <w:p w14:paraId="37544EA2" w14:textId="68D89C80" w:rsidR="00B3517B" w:rsidRDefault="00B3517B" w:rsidP="006619C0">
      <w:pPr>
        <w:spacing w:after="0" w:line="240" w:lineRule="auto"/>
        <w:rPr>
          <w:rFonts w:ascii="Verdana" w:hAnsi="Verdana"/>
          <w:sz w:val="20"/>
          <w:szCs w:val="20"/>
        </w:rPr>
      </w:pPr>
      <w:r w:rsidRPr="00B3517B">
        <w:rPr>
          <w:rFonts w:ascii="Verdana" w:hAnsi="Verdana"/>
          <w:i/>
          <w:iCs/>
          <w:sz w:val="20"/>
          <w:szCs w:val="20"/>
        </w:rPr>
        <w:t xml:space="preserve">Legal Notices, Information and Disclaimers. </w:t>
      </w:r>
      <w:r w:rsidRPr="00B3517B">
        <w:rPr>
          <w:rFonts w:ascii="Verdana" w:hAnsi="Verdana"/>
          <w:sz w:val="20"/>
          <w:szCs w:val="20"/>
        </w:rPr>
        <w:t xml:space="preserve">(n.d.). Federal Reserve Bank of St. Louis. </w:t>
      </w:r>
      <w:r w:rsidR="008B2499" w:rsidRPr="008B2499">
        <w:rPr>
          <w:rFonts w:ascii="Verdana" w:hAnsi="Verdana"/>
          <w:sz w:val="20"/>
          <w:szCs w:val="20"/>
        </w:rPr>
        <w:t xml:space="preserve">Retrieved January 28, 2025, </w:t>
      </w:r>
      <w:r w:rsidR="008B2499">
        <w:rPr>
          <w:rFonts w:ascii="Verdana" w:hAnsi="Verdana"/>
          <w:sz w:val="20"/>
          <w:szCs w:val="20"/>
        </w:rPr>
        <w:t>from</w:t>
      </w:r>
      <w:r w:rsidR="008B2499" w:rsidRPr="00270F82">
        <w:rPr>
          <w:rFonts w:ascii="Verdana" w:hAnsi="Verdana"/>
          <w:sz w:val="20"/>
          <w:szCs w:val="20"/>
        </w:rPr>
        <w:t xml:space="preserve"> </w:t>
      </w:r>
      <w:hyperlink r:id="rId15" w:history="1">
        <w:r w:rsidRPr="0043463D">
          <w:rPr>
            <w:rStyle w:val="Hyperlink"/>
            <w:rFonts w:ascii="Verdana" w:hAnsi="Verdana"/>
            <w:sz w:val="20"/>
            <w:szCs w:val="20"/>
          </w:rPr>
          <w:t>https://fred.stlouisfed.org/legal/</w:t>
        </w:r>
      </w:hyperlink>
    </w:p>
    <w:p w14:paraId="2ECEDF0B" w14:textId="77777777" w:rsidR="00C51C1E" w:rsidRDefault="00C51C1E" w:rsidP="006619C0">
      <w:pPr>
        <w:spacing w:after="0" w:line="240" w:lineRule="auto"/>
        <w:rPr>
          <w:rFonts w:ascii="Verdana" w:hAnsi="Verdana"/>
          <w:sz w:val="20"/>
          <w:szCs w:val="20"/>
        </w:rPr>
      </w:pPr>
    </w:p>
    <w:p w14:paraId="2C4DDD07" w14:textId="77777777" w:rsidR="008B2499" w:rsidRDefault="00C51C1E" w:rsidP="008B2499">
      <w:pPr>
        <w:spacing w:after="0" w:line="240" w:lineRule="auto"/>
        <w:rPr>
          <w:rFonts w:ascii="Verdana" w:hAnsi="Verdana"/>
          <w:sz w:val="20"/>
          <w:szCs w:val="20"/>
        </w:rPr>
      </w:pPr>
      <w:r w:rsidRPr="00C51C1E">
        <w:rPr>
          <w:rFonts w:ascii="Verdana" w:hAnsi="Verdana"/>
          <w:sz w:val="20"/>
          <w:szCs w:val="20"/>
        </w:rPr>
        <w:t xml:space="preserve">NCSS Statistical Software. (n.d.). </w:t>
      </w:r>
      <w:r w:rsidRPr="00C51C1E">
        <w:rPr>
          <w:rFonts w:ascii="Verdana" w:hAnsi="Verdana"/>
          <w:i/>
          <w:iCs/>
          <w:sz w:val="20"/>
          <w:szCs w:val="20"/>
        </w:rPr>
        <w:t>Ridge Regression.</w:t>
      </w:r>
      <w:r w:rsidRPr="00C51C1E">
        <w:rPr>
          <w:rFonts w:ascii="Verdana" w:hAnsi="Verdana"/>
          <w:sz w:val="20"/>
          <w:szCs w:val="20"/>
        </w:rPr>
        <w:t xml:space="preserve"> Retrieved January 22, 2025, from </w:t>
      </w:r>
      <w:r w:rsidR="008B2499" w:rsidRPr="008B2499">
        <w:rPr>
          <w:rFonts w:ascii="Verdana" w:hAnsi="Verdana"/>
          <w:sz w:val="20"/>
          <w:szCs w:val="20"/>
        </w:rPr>
        <w:t xml:space="preserve">Retrieved January 28, 2025, </w:t>
      </w:r>
      <w:r w:rsidR="008B2499">
        <w:rPr>
          <w:rFonts w:ascii="Verdana" w:hAnsi="Verdana"/>
          <w:sz w:val="20"/>
          <w:szCs w:val="20"/>
        </w:rPr>
        <w:t>from</w:t>
      </w:r>
      <w:r w:rsidR="008B2499" w:rsidRPr="00270F82">
        <w:rPr>
          <w:rFonts w:ascii="Verdana" w:hAnsi="Verdana"/>
          <w:sz w:val="20"/>
          <w:szCs w:val="20"/>
        </w:rPr>
        <w:t xml:space="preserve"> </w:t>
      </w:r>
      <w:hyperlink r:id="rId16" w:history="1">
        <w:r w:rsidRPr="0043463D">
          <w:rPr>
            <w:rStyle w:val="Hyperlink"/>
            <w:rFonts w:ascii="Verdana" w:hAnsi="Verdana"/>
            <w:sz w:val="20"/>
            <w:szCs w:val="20"/>
          </w:rPr>
          <w:t>https://www.ncss.com/wp-content/themes/ncss/pdf/Procedures/NCSS/Ridge_Regression.pdf</w:t>
        </w:r>
      </w:hyperlink>
      <w:r>
        <w:rPr>
          <w:rFonts w:ascii="Verdana" w:hAnsi="Verdana"/>
          <w:sz w:val="20"/>
          <w:szCs w:val="20"/>
        </w:rPr>
        <w:t xml:space="preserve"> </w:t>
      </w:r>
    </w:p>
    <w:p w14:paraId="31B09E0D" w14:textId="4AEAC9D5" w:rsidR="0000063B" w:rsidRDefault="00F87E16" w:rsidP="008B2499">
      <w:pPr>
        <w:spacing w:after="0" w:line="240" w:lineRule="auto"/>
        <w:rPr>
          <w:rFonts w:ascii="Verdana" w:hAnsi="Verdana"/>
          <w:sz w:val="20"/>
          <w:szCs w:val="20"/>
        </w:rPr>
      </w:pPr>
      <w:r>
        <w:rPr>
          <w:rFonts w:ascii="Verdana" w:hAnsi="Verdana"/>
          <w:sz w:val="20"/>
          <w:szCs w:val="20"/>
        </w:rPr>
        <w:t xml:space="preserve"> </w:t>
      </w:r>
    </w:p>
    <w:p w14:paraId="195F7BC5" w14:textId="4225178E" w:rsidR="002C45A8" w:rsidRDefault="002C45A8" w:rsidP="001A33E5">
      <w:pPr>
        <w:rPr>
          <w:rFonts w:ascii="Verdana" w:hAnsi="Verdana"/>
          <w:sz w:val="20"/>
          <w:szCs w:val="20"/>
        </w:rPr>
      </w:pPr>
      <w:r w:rsidRPr="002C45A8">
        <w:rPr>
          <w:rFonts w:ascii="Verdana" w:hAnsi="Verdana"/>
          <w:sz w:val="20"/>
          <w:szCs w:val="20"/>
        </w:rPr>
        <w:t xml:space="preserve">Peixeiro, M. (2022). Understanding Time Series Forecasting [Google Books]. In </w:t>
      </w:r>
      <w:r w:rsidRPr="002C45A8">
        <w:rPr>
          <w:rFonts w:ascii="Verdana" w:hAnsi="Verdana"/>
          <w:i/>
          <w:iCs/>
          <w:sz w:val="20"/>
          <w:szCs w:val="20"/>
        </w:rPr>
        <w:t>Time Series Forecasting in Python</w:t>
      </w:r>
      <w:r w:rsidRPr="002C45A8">
        <w:rPr>
          <w:rFonts w:ascii="Verdana" w:hAnsi="Verdana"/>
          <w:sz w:val="20"/>
          <w:szCs w:val="20"/>
        </w:rPr>
        <w:t xml:space="preserve"> (pp. 3–4). Manning Publications Co. </w:t>
      </w:r>
      <w:r w:rsidR="008B2499" w:rsidRPr="008B2499">
        <w:rPr>
          <w:rFonts w:ascii="Verdana" w:hAnsi="Verdana"/>
          <w:sz w:val="20"/>
          <w:szCs w:val="20"/>
        </w:rPr>
        <w:t xml:space="preserve">Retrieved January 28, 2025, </w:t>
      </w:r>
      <w:r w:rsidR="008B2499">
        <w:rPr>
          <w:rFonts w:ascii="Verdana" w:hAnsi="Verdana"/>
          <w:sz w:val="20"/>
          <w:szCs w:val="20"/>
        </w:rPr>
        <w:t>from</w:t>
      </w:r>
      <w:r w:rsidR="008B2499" w:rsidRPr="00270F82">
        <w:rPr>
          <w:rFonts w:ascii="Verdana" w:hAnsi="Verdana"/>
          <w:sz w:val="20"/>
          <w:szCs w:val="20"/>
        </w:rPr>
        <w:t xml:space="preserve"> </w:t>
      </w:r>
      <w:hyperlink r:id="rId17" w:anchor="v=onepage&amp;q=time%20series%20analysis%20python%20or%20R&amp;f=false" w:history="1">
        <w:r w:rsidRPr="0043463D">
          <w:rPr>
            <w:rStyle w:val="Hyperlink"/>
            <w:rFonts w:ascii="Verdana" w:hAnsi="Verdana"/>
            <w:sz w:val="20"/>
            <w:szCs w:val="20"/>
          </w:rPr>
          <w:t>https://books.google.com/books?hl=en&amp;lr=&amp;id=4H6HEAAAQBAJ&amp;oi=fnd&amp;pg=PA1&amp;dq=time+series+analysis+python+or+R&amp;ots=6-bjU9uB4J&amp;sig=MKLgxNAb9yKTELKf1jd38Hd643s#v=onepage&amp;q=time%20series%20analysis%20python%20or%20R&amp;f=false</w:t>
        </w:r>
      </w:hyperlink>
      <w:r>
        <w:rPr>
          <w:rFonts w:ascii="Verdana" w:hAnsi="Verdana"/>
          <w:sz w:val="20"/>
          <w:szCs w:val="20"/>
        </w:rPr>
        <w:t xml:space="preserve"> </w:t>
      </w:r>
    </w:p>
    <w:p w14:paraId="26A58883" w14:textId="24057D67" w:rsidR="006619C0" w:rsidRPr="006619C0" w:rsidRDefault="006619C0" w:rsidP="006619C0">
      <w:pPr>
        <w:spacing w:after="0" w:line="240" w:lineRule="auto"/>
        <w:rPr>
          <w:rFonts w:ascii="Verdana" w:hAnsi="Verdana"/>
          <w:sz w:val="20"/>
          <w:szCs w:val="20"/>
        </w:rPr>
      </w:pPr>
      <w:r w:rsidRPr="006619C0">
        <w:rPr>
          <w:rFonts w:ascii="Verdana" w:hAnsi="Verdana"/>
          <w:i/>
          <w:iCs/>
          <w:sz w:val="20"/>
          <w:szCs w:val="20"/>
        </w:rPr>
        <w:t>Silver and solar technology</w:t>
      </w:r>
      <w:r w:rsidRPr="006619C0">
        <w:rPr>
          <w:rFonts w:ascii="Verdana" w:hAnsi="Verdana"/>
          <w:sz w:val="20"/>
          <w:szCs w:val="20"/>
        </w:rPr>
        <w:t xml:space="preserve">. (n.d.). The Silver Institute. </w:t>
      </w:r>
      <w:r w:rsidR="008B2499" w:rsidRPr="008B2499">
        <w:rPr>
          <w:rFonts w:ascii="Verdana" w:hAnsi="Verdana"/>
          <w:sz w:val="20"/>
          <w:szCs w:val="20"/>
        </w:rPr>
        <w:t xml:space="preserve">Retrieved January 28, 2025, </w:t>
      </w:r>
      <w:r w:rsidR="008B2499">
        <w:rPr>
          <w:rFonts w:ascii="Verdana" w:hAnsi="Verdana"/>
          <w:sz w:val="20"/>
          <w:szCs w:val="20"/>
        </w:rPr>
        <w:t>from</w:t>
      </w:r>
      <w:r w:rsidR="008B2499" w:rsidRPr="00270F82">
        <w:rPr>
          <w:rFonts w:ascii="Verdana" w:hAnsi="Verdana"/>
          <w:sz w:val="20"/>
          <w:szCs w:val="20"/>
        </w:rPr>
        <w:t xml:space="preserve"> </w:t>
      </w:r>
      <w:hyperlink r:id="rId18" w:history="1">
        <w:r w:rsidRPr="006619C0">
          <w:rPr>
            <w:rStyle w:val="Hyperlink"/>
            <w:rFonts w:ascii="Verdana" w:hAnsi="Verdana"/>
            <w:sz w:val="20"/>
            <w:szCs w:val="20"/>
          </w:rPr>
          <w:t>https://silverinstitute.org/silver-solar-technology-2/</w:t>
        </w:r>
      </w:hyperlink>
      <w:r>
        <w:rPr>
          <w:rFonts w:ascii="Verdana" w:hAnsi="Verdana"/>
          <w:sz w:val="20"/>
          <w:szCs w:val="20"/>
        </w:rPr>
        <w:t xml:space="preserve"> </w:t>
      </w:r>
    </w:p>
    <w:p w14:paraId="034E758C" w14:textId="77777777" w:rsidR="001A33E5" w:rsidRDefault="001A33E5" w:rsidP="00C66594">
      <w:pPr>
        <w:spacing w:after="0" w:line="240" w:lineRule="auto"/>
        <w:rPr>
          <w:rFonts w:ascii="Verdana" w:hAnsi="Verdana"/>
          <w:b/>
          <w:sz w:val="20"/>
          <w:szCs w:val="20"/>
        </w:rPr>
      </w:pPr>
    </w:p>
    <w:p w14:paraId="6B66925F" w14:textId="7470AB2E" w:rsidR="00C66594" w:rsidRDefault="00C66594" w:rsidP="00C66594">
      <w:pPr>
        <w:spacing w:after="0" w:line="240" w:lineRule="auto"/>
        <w:rPr>
          <w:rFonts w:ascii="Verdana" w:hAnsi="Verdana"/>
          <w:b/>
          <w:sz w:val="20"/>
          <w:szCs w:val="20"/>
        </w:rPr>
      </w:pPr>
      <w:r>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25B85578"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1"/>
            <w14:checkedState w14:val="2612" w14:font="MS Gothic"/>
            <w14:uncheckedState w14:val="2610" w14:font="MS Gothic"/>
          </w14:checkbox>
        </w:sdtPr>
        <w:sdtContent>
          <w:r w:rsidR="00B43F8B">
            <w:rPr>
              <w:rFonts w:ascii="MS Gothic" w:eastAsia="MS Gothic" w:hAnsi="MS Gothic" w:hint="eastAsia"/>
              <w:sz w:val="20"/>
              <w:szCs w:val="20"/>
            </w:rPr>
            <w:t>☒</w:t>
          </w:r>
        </w:sdtContent>
      </w:sdt>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77777777" w:rsidR="008F2014" w:rsidRDefault="0000000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Content>
          <w:r w:rsidR="008F2014">
            <w:rPr>
              <w:rFonts w:ascii="Segoe UI Symbol" w:eastAsia="MS Gothic" w:hAnsi="Segoe UI Symbol" w:cs="Segoe UI Symbol"/>
              <w:sz w:val="20"/>
              <w:szCs w:val="20"/>
            </w:rPr>
            <w:t>☐</w:t>
          </w:r>
        </w:sdtContent>
      </w:sdt>
      <w:r w:rsidR="008F2014">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22F45C20"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E47A3">
        <w:rPr>
          <w:rFonts w:ascii="Verdana" w:hAnsi="Verdana"/>
          <w:sz w:val="20"/>
          <w:szCs w:val="20"/>
        </w:rPr>
        <w:t>Instructor’</w:t>
      </w:r>
      <w:r>
        <w:rPr>
          <w:rFonts w:ascii="Verdana" w:hAnsi="Verdana"/>
          <w:sz w:val="20"/>
          <w:szCs w:val="20"/>
        </w:rPr>
        <w:t xml:space="preserve">s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showingPlcHdr/>
        </w:sdtPr>
        <w:sdtContent>
          <w:r>
            <w:rPr>
              <w:rStyle w:val="PlaceholderText"/>
              <w:rFonts w:ascii="Verdana" w:hAnsi="Verdana"/>
              <w:sz w:val="20"/>
              <w:szCs w:val="20"/>
            </w:rPr>
            <w:t>Click here to enter text.</w:t>
          </w:r>
        </w:sdtContent>
      </w:sdt>
    </w:p>
    <w:p w14:paraId="5806ADC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i/>
          <w:sz w:val="20"/>
          <w:szCs w:val="20"/>
        </w:rPr>
      </w:pPr>
    </w:p>
    <w:p w14:paraId="1344BB34" w14:textId="77777777" w:rsidR="008F2014" w:rsidRDefault="008F2014" w:rsidP="008F2014">
      <w:pPr>
        <w:spacing w:after="0" w:line="240" w:lineRule="auto"/>
        <w:rPr>
          <w:rFonts w:ascii="Verdana" w:hAnsi="Verdana"/>
          <w:b/>
          <w:sz w:val="20"/>
          <w:szCs w:val="20"/>
        </w:rPr>
      </w:pPr>
    </w:p>
    <w:p w14:paraId="4ECE778E" w14:textId="1ACB03C6" w:rsidR="008F2014" w:rsidRDefault="008F2014" w:rsidP="008F2014">
      <w:pPr>
        <w:spacing w:after="160" w:line="259" w:lineRule="auto"/>
        <w:rPr>
          <w:rFonts w:ascii="Verdana" w:hAnsi="Verdana"/>
          <w:b/>
          <w:sz w:val="20"/>
          <w:szCs w:val="20"/>
        </w:rPr>
      </w:pPr>
    </w:p>
    <w:sectPr w:rsidR="008F2014" w:rsidSect="00926D6B">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581242"/>
    <w:multiLevelType w:val="hybridMultilevel"/>
    <w:tmpl w:val="2FEA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8662127">
    <w:abstractNumId w:val="0"/>
  </w:num>
  <w:num w:numId="2" w16cid:durableId="42752304">
    <w:abstractNumId w:val="3"/>
  </w:num>
  <w:num w:numId="3" w16cid:durableId="366225191">
    <w:abstractNumId w:val="2"/>
  </w:num>
  <w:num w:numId="4" w16cid:durableId="1863670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94"/>
    <w:rsid w:val="0000063B"/>
    <w:rsid w:val="00000E15"/>
    <w:rsid w:val="00001431"/>
    <w:rsid w:val="000030A3"/>
    <w:rsid w:val="0000544C"/>
    <w:rsid w:val="00010258"/>
    <w:rsid w:val="0001434D"/>
    <w:rsid w:val="000328D6"/>
    <w:rsid w:val="00032F2D"/>
    <w:rsid w:val="00041D3F"/>
    <w:rsid w:val="00044E5C"/>
    <w:rsid w:val="000558C0"/>
    <w:rsid w:val="000558FC"/>
    <w:rsid w:val="00057CB1"/>
    <w:rsid w:val="00060B8D"/>
    <w:rsid w:val="000644B0"/>
    <w:rsid w:val="000655F3"/>
    <w:rsid w:val="00067B31"/>
    <w:rsid w:val="000706D5"/>
    <w:rsid w:val="0008554E"/>
    <w:rsid w:val="00085722"/>
    <w:rsid w:val="00085D17"/>
    <w:rsid w:val="000A34A2"/>
    <w:rsid w:val="000B13CC"/>
    <w:rsid w:val="000B3FBD"/>
    <w:rsid w:val="000B733B"/>
    <w:rsid w:val="000C05B8"/>
    <w:rsid w:val="000C0A8F"/>
    <w:rsid w:val="000C4456"/>
    <w:rsid w:val="000C719D"/>
    <w:rsid w:val="000D0FE8"/>
    <w:rsid w:val="000D1DF5"/>
    <w:rsid w:val="000D2AE8"/>
    <w:rsid w:val="000E1926"/>
    <w:rsid w:val="000F030F"/>
    <w:rsid w:val="000F1192"/>
    <w:rsid w:val="000F2940"/>
    <w:rsid w:val="000F61EB"/>
    <w:rsid w:val="00106CC5"/>
    <w:rsid w:val="00110363"/>
    <w:rsid w:val="001105ED"/>
    <w:rsid w:val="0011208E"/>
    <w:rsid w:val="001175B8"/>
    <w:rsid w:val="00124053"/>
    <w:rsid w:val="00125A12"/>
    <w:rsid w:val="0013024E"/>
    <w:rsid w:val="00130733"/>
    <w:rsid w:val="001378AA"/>
    <w:rsid w:val="00141C3A"/>
    <w:rsid w:val="00145925"/>
    <w:rsid w:val="0014613C"/>
    <w:rsid w:val="001532B9"/>
    <w:rsid w:val="00155E60"/>
    <w:rsid w:val="00156783"/>
    <w:rsid w:val="0016032D"/>
    <w:rsid w:val="00166D89"/>
    <w:rsid w:val="0018280F"/>
    <w:rsid w:val="00186BEA"/>
    <w:rsid w:val="00192AFE"/>
    <w:rsid w:val="001A33E5"/>
    <w:rsid w:val="001A489F"/>
    <w:rsid w:val="001A6E93"/>
    <w:rsid w:val="001B7E48"/>
    <w:rsid w:val="001C1B68"/>
    <w:rsid w:val="001C52CA"/>
    <w:rsid w:val="001C7247"/>
    <w:rsid w:val="001C7686"/>
    <w:rsid w:val="001E2ACD"/>
    <w:rsid w:val="001F6E1C"/>
    <w:rsid w:val="00216D8B"/>
    <w:rsid w:val="002176AF"/>
    <w:rsid w:val="002206B1"/>
    <w:rsid w:val="002332CB"/>
    <w:rsid w:val="00236781"/>
    <w:rsid w:val="00237C23"/>
    <w:rsid w:val="00242722"/>
    <w:rsid w:val="0024745A"/>
    <w:rsid w:val="00247A76"/>
    <w:rsid w:val="0025181D"/>
    <w:rsid w:val="00254490"/>
    <w:rsid w:val="00254D37"/>
    <w:rsid w:val="00260310"/>
    <w:rsid w:val="0026358A"/>
    <w:rsid w:val="00270F82"/>
    <w:rsid w:val="002732CB"/>
    <w:rsid w:val="0028083C"/>
    <w:rsid w:val="00294DEE"/>
    <w:rsid w:val="00295342"/>
    <w:rsid w:val="00296A77"/>
    <w:rsid w:val="002A3414"/>
    <w:rsid w:val="002A43C6"/>
    <w:rsid w:val="002A51CE"/>
    <w:rsid w:val="002A62F7"/>
    <w:rsid w:val="002B77C8"/>
    <w:rsid w:val="002C14C9"/>
    <w:rsid w:val="002C45A8"/>
    <w:rsid w:val="002D1C05"/>
    <w:rsid w:val="002D26AB"/>
    <w:rsid w:val="002D2A4E"/>
    <w:rsid w:val="002D413F"/>
    <w:rsid w:val="002E1A6C"/>
    <w:rsid w:val="002F0969"/>
    <w:rsid w:val="002F3328"/>
    <w:rsid w:val="00300C17"/>
    <w:rsid w:val="0030242B"/>
    <w:rsid w:val="00303CB3"/>
    <w:rsid w:val="00313481"/>
    <w:rsid w:val="00321738"/>
    <w:rsid w:val="00324F5E"/>
    <w:rsid w:val="00326ADA"/>
    <w:rsid w:val="0033196D"/>
    <w:rsid w:val="00332E21"/>
    <w:rsid w:val="00333D53"/>
    <w:rsid w:val="00335CA4"/>
    <w:rsid w:val="00342C27"/>
    <w:rsid w:val="003431C5"/>
    <w:rsid w:val="003505BC"/>
    <w:rsid w:val="00355FDB"/>
    <w:rsid w:val="00356EBF"/>
    <w:rsid w:val="00362855"/>
    <w:rsid w:val="00363CC4"/>
    <w:rsid w:val="00385360"/>
    <w:rsid w:val="0038611D"/>
    <w:rsid w:val="00386802"/>
    <w:rsid w:val="003905C1"/>
    <w:rsid w:val="00392F83"/>
    <w:rsid w:val="00393130"/>
    <w:rsid w:val="003B28F3"/>
    <w:rsid w:val="003C2267"/>
    <w:rsid w:val="003C6950"/>
    <w:rsid w:val="003D18E9"/>
    <w:rsid w:val="003D5154"/>
    <w:rsid w:val="003D6404"/>
    <w:rsid w:val="003D682F"/>
    <w:rsid w:val="003D77B6"/>
    <w:rsid w:val="003E2614"/>
    <w:rsid w:val="003E3DDA"/>
    <w:rsid w:val="003E6EC8"/>
    <w:rsid w:val="003F0BE3"/>
    <w:rsid w:val="003F324A"/>
    <w:rsid w:val="003F4D5D"/>
    <w:rsid w:val="003F69A7"/>
    <w:rsid w:val="00400C93"/>
    <w:rsid w:val="004036B5"/>
    <w:rsid w:val="0041295F"/>
    <w:rsid w:val="00415764"/>
    <w:rsid w:val="00417C4E"/>
    <w:rsid w:val="00421ED7"/>
    <w:rsid w:val="00423A9C"/>
    <w:rsid w:val="00427217"/>
    <w:rsid w:val="00434C06"/>
    <w:rsid w:val="004366AA"/>
    <w:rsid w:val="0044456A"/>
    <w:rsid w:val="00450612"/>
    <w:rsid w:val="00451C5A"/>
    <w:rsid w:val="00460C10"/>
    <w:rsid w:val="00461B44"/>
    <w:rsid w:val="00465870"/>
    <w:rsid w:val="004660FB"/>
    <w:rsid w:val="00470F8F"/>
    <w:rsid w:val="00477E01"/>
    <w:rsid w:val="0048196E"/>
    <w:rsid w:val="0049246E"/>
    <w:rsid w:val="00493876"/>
    <w:rsid w:val="00493BBE"/>
    <w:rsid w:val="004A0AAE"/>
    <w:rsid w:val="004A513C"/>
    <w:rsid w:val="004A56DB"/>
    <w:rsid w:val="004A65D4"/>
    <w:rsid w:val="004A66D4"/>
    <w:rsid w:val="004C3C86"/>
    <w:rsid w:val="004C66CE"/>
    <w:rsid w:val="004C71FC"/>
    <w:rsid w:val="004D4BC6"/>
    <w:rsid w:val="004D6CF2"/>
    <w:rsid w:val="004E340F"/>
    <w:rsid w:val="004F03A4"/>
    <w:rsid w:val="004F563E"/>
    <w:rsid w:val="00521738"/>
    <w:rsid w:val="0053036B"/>
    <w:rsid w:val="00536937"/>
    <w:rsid w:val="00542532"/>
    <w:rsid w:val="005457CD"/>
    <w:rsid w:val="00546C45"/>
    <w:rsid w:val="005610A2"/>
    <w:rsid w:val="005635A6"/>
    <w:rsid w:val="00574666"/>
    <w:rsid w:val="00576830"/>
    <w:rsid w:val="00584B03"/>
    <w:rsid w:val="00587760"/>
    <w:rsid w:val="00591714"/>
    <w:rsid w:val="00594A52"/>
    <w:rsid w:val="0059721F"/>
    <w:rsid w:val="0059728C"/>
    <w:rsid w:val="005A41DD"/>
    <w:rsid w:val="005B3BFD"/>
    <w:rsid w:val="005B4AB1"/>
    <w:rsid w:val="005B7414"/>
    <w:rsid w:val="005C4FCC"/>
    <w:rsid w:val="005C5554"/>
    <w:rsid w:val="005C5E5A"/>
    <w:rsid w:val="005D5855"/>
    <w:rsid w:val="005E40D3"/>
    <w:rsid w:val="005E5B8E"/>
    <w:rsid w:val="005F7BD6"/>
    <w:rsid w:val="00607B7D"/>
    <w:rsid w:val="0061248F"/>
    <w:rsid w:val="00612AAA"/>
    <w:rsid w:val="00617149"/>
    <w:rsid w:val="00617792"/>
    <w:rsid w:val="006357B4"/>
    <w:rsid w:val="00636238"/>
    <w:rsid w:val="00643751"/>
    <w:rsid w:val="00645BBC"/>
    <w:rsid w:val="006500F7"/>
    <w:rsid w:val="0065167B"/>
    <w:rsid w:val="00656C9B"/>
    <w:rsid w:val="006619C0"/>
    <w:rsid w:val="00663925"/>
    <w:rsid w:val="0066468C"/>
    <w:rsid w:val="006667F0"/>
    <w:rsid w:val="00673E9F"/>
    <w:rsid w:val="00685C5F"/>
    <w:rsid w:val="00687419"/>
    <w:rsid w:val="00691654"/>
    <w:rsid w:val="006A1934"/>
    <w:rsid w:val="006B0CFB"/>
    <w:rsid w:val="006B1178"/>
    <w:rsid w:val="006B2113"/>
    <w:rsid w:val="006B7F3B"/>
    <w:rsid w:val="006C2632"/>
    <w:rsid w:val="006C2F05"/>
    <w:rsid w:val="006D0E7D"/>
    <w:rsid w:val="006E25D6"/>
    <w:rsid w:val="006E29A5"/>
    <w:rsid w:val="006E47A3"/>
    <w:rsid w:val="006F0D97"/>
    <w:rsid w:val="006F65A9"/>
    <w:rsid w:val="006F69BC"/>
    <w:rsid w:val="00705F4A"/>
    <w:rsid w:val="00715072"/>
    <w:rsid w:val="007247DE"/>
    <w:rsid w:val="00726F9A"/>
    <w:rsid w:val="00727C58"/>
    <w:rsid w:val="007328A3"/>
    <w:rsid w:val="00741195"/>
    <w:rsid w:val="00747DE9"/>
    <w:rsid w:val="007555CC"/>
    <w:rsid w:val="00764669"/>
    <w:rsid w:val="00764D84"/>
    <w:rsid w:val="0076577A"/>
    <w:rsid w:val="00771E84"/>
    <w:rsid w:val="007A119B"/>
    <w:rsid w:val="007A4ADD"/>
    <w:rsid w:val="007B028D"/>
    <w:rsid w:val="007B052C"/>
    <w:rsid w:val="007B295B"/>
    <w:rsid w:val="007B3C81"/>
    <w:rsid w:val="007B3DCF"/>
    <w:rsid w:val="007B3F5D"/>
    <w:rsid w:val="007B75CE"/>
    <w:rsid w:val="007C37A5"/>
    <w:rsid w:val="007D01D1"/>
    <w:rsid w:val="007D04F8"/>
    <w:rsid w:val="007E3562"/>
    <w:rsid w:val="007E3842"/>
    <w:rsid w:val="007E5F43"/>
    <w:rsid w:val="007E7214"/>
    <w:rsid w:val="007F49D5"/>
    <w:rsid w:val="007F6A1D"/>
    <w:rsid w:val="008030AA"/>
    <w:rsid w:val="0082185D"/>
    <w:rsid w:val="00834B3F"/>
    <w:rsid w:val="00836F35"/>
    <w:rsid w:val="00844CE8"/>
    <w:rsid w:val="00851A60"/>
    <w:rsid w:val="00853844"/>
    <w:rsid w:val="008560E5"/>
    <w:rsid w:val="0085797F"/>
    <w:rsid w:val="008664EC"/>
    <w:rsid w:val="00871AE4"/>
    <w:rsid w:val="008772E6"/>
    <w:rsid w:val="00880D48"/>
    <w:rsid w:val="0088277E"/>
    <w:rsid w:val="00884F70"/>
    <w:rsid w:val="00886E48"/>
    <w:rsid w:val="00890E3A"/>
    <w:rsid w:val="00892811"/>
    <w:rsid w:val="008A658C"/>
    <w:rsid w:val="008B2499"/>
    <w:rsid w:val="008C152B"/>
    <w:rsid w:val="008C7D38"/>
    <w:rsid w:val="008F0539"/>
    <w:rsid w:val="008F1D53"/>
    <w:rsid w:val="008F2014"/>
    <w:rsid w:val="008F7EF7"/>
    <w:rsid w:val="009037F6"/>
    <w:rsid w:val="00905B9D"/>
    <w:rsid w:val="00907B77"/>
    <w:rsid w:val="00910FC6"/>
    <w:rsid w:val="009243CB"/>
    <w:rsid w:val="0092488D"/>
    <w:rsid w:val="009249CF"/>
    <w:rsid w:val="00926D6B"/>
    <w:rsid w:val="0092705C"/>
    <w:rsid w:val="00927419"/>
    <w:rsid w:val="00930A01"/>
    <w:rsid w:val="0093452D"/>
    <w:rsid w:val="00952BD8"/>
    <w:rsid w:val="00952FA8"/>
    <w:rsid w:val="00953135"/>
    <w:rsid w:val="00953C65"/>
    <w:rsid w:val="009602F2"/>
    <w:rsid w:val="009628AF"/>
    <w:rsid w:val="00964C3D"/>
    <w:rsid w:val="009678FD"/>
    <w:rsid w:val="0097763F"/>
    <w:rsid w:val="00977B0D"/>
    <w:rsid w:val="00986B0C"/>
    <w:rsid w:val="00987588"/>
    <w:rsid w:val="00991555"/>
    <w:rsid w:val="0099436F"/>
    <w:rsid w:val="009978EF"/>
    <w:rsid w:val="009A1010"/>
    <w:rsid w:val="009A6850"/>
    <w:rsid w:val="009A79D4"/>
    <w:rsid w:val="009B5B94"/>
    <w:rsid w:val="009C2DAE"/>
    <w:rsid w:val="009C6B87"/>
    <w:rsid w:val="009D370C"/>
    <w:rsid w:val="009E1253"/>
    <w:rsid w:val="009E5495"/>
    <w:rsid w:val="00A11489"/>
    <w:rsid w:val="00A15C09"/>
    <w:rsid w:val="00A22A54"/>
    <w:rsid w:val="00A245A1"/>
    <w:rsid w:val="00A27A6B"/>
    <w:rsid w:val="00A31DF6"/>
    <w:rsid w:val="00A3495F"/>
    <w:rsid w:val="00A45D3A"/>
    <w:rsid w:val="00A469B3"/>
    <w:rsid w:val="00A46B72"/>
    <w:rsid w:val="00A507BD"/>
    <w:rsid w:val="00A508F3"/>
    <w:rsid w:val="00A52AE7"/>
    <w:rsid w:val="00A54CF8"/>
    <w:rsid w:val="00A639D9"/>
    <w:rsid w:val="00A724BE"/>
    <w:rsid w:val="00A748B9"/>
    <w:rsid w:val="00A75BA3"/>
    <w:rsid w:val="00A95AF8"/>
    <w:rsid w:val="00A9627A"/>
    <w:rsid w:val="00AA072A"/>
    <w:rsid w:val="00AA16E3"/>
    <w:rsid w:val="00AA6D6C"/>
    <w:rsid w:val="00AB334F"/>
    <w:rsid w:val="00AB5E24"/>
    <w:rsid w:val="00AC1BF2"/>
    <w:rsid w:val="00AC46F3"/>
    <w:rsid w:val="00AC7E73"/>
    <w:rsid w:val="00AD4D3E"/>
    <w:rsid w:val="00AD7B91"/>
    <w:rsid w:val="00AE5D9F"/>
    <w:rsid w:val="00AE6912"/>
    <w:rsid w:val="00AF0FA7"/>
    <w:rsid w:val="00AF7398"/>
    <w:rsid w:val="00B016BE"/>
    <w:rsid w:val="00B03CC3"/>
    <w:rsid w:val="00B05EB6"/>
    <w:rsid w:val="00B13703"/>
    <w:rsid w:val="00B27303"/>
    <w:rsid w:val="00B3517B"/>
    <w:rsid w:val="00B36D70"/>
    <w:rsid w:val="00B43F8B"/>
    <w:rsid w:val="00B44499"/>
    <w:rsid w:val="00B46B4F"/>
    <w:rsid w:val="00B54E94"/>
    <w:rsid w:val="00B551B3"/>
    <w:rsid w:val="00B56CC1"/>
    <w:rsid w:val="00B60EE2"/>
    <w:rsid w:val="00B74086"/>
    <w:rsid w:val="00B80EED"/>
    <w:rsid w:val="00B83C44"/>
    <w:rsid w:val="00B84C88"/>
    <w:rsid w:val="00B90287"/>
    <w:rsid w:val="00B90D30"/>
    <w:rsid w:val="00B9149A"/>
    <w:rsid w:val="00B93C3C"/>
    <w:rsid w:val="00B947E5"/>
    <w:rsid w:val="00BB17E7"/>
    <w:rsid w:val="00BB1893"/>
    <w:rsid w:val="00BB378C"/>
    <w:rsid w:val="00BB502B"/>
    <w:rsid w:val="00BB559D"/>
    <w:rsid w:val="00BB6FA9"/>
    <w:rsid w:val="00BC6108"/>
    <w:rsid w:val="00BC7E09"/>
    <w:rsid w:val="00BD7FD3"/>
    <w:rsid w:val="00BE21F6"/>
    <w:rsid w:val="00BE3002"/>
    <w:rsid w:val="00BE50C2"/>
    <w:rsid w:val="00BE5626"/>
    <w:rsid w:val="00BE65FE"/>
    <w:rsid w:val="00BF09B7"/>
    <w:rsid w:val="00BF0E6F"/>
    <w:rsid w:val="00BF1ECC"/>
    <w:rsid w:val="00BF34F7"/>
    <w:rsid w:val="00BF5A45"/>
    <w:rsid w:val="00C023EA"/>
    <w:rsid w:val="00C11291"/>
    <w:rsid w:val="00C16088"/>
    <w:rsid w:val="00C23BD7"/>
    <w:rsid w:val="00C2537D"/>
    <w:rsid w:val="00C27FA3"/>
    <w:rsid w:val="00C30295"/>
    <w:rsid w:val="00C332DE"/>
    <w:rsid w:val="00C33896"/>
    <w:rsid w:val="00C33D48"/>
    <w:rsid w:val="00C36D6C"/>
    <w:rsid w:val="00C426A9"/>
    <w:rsid w:val="00C44A82"/>
    <w:rsid w:val="00C51C1E"/>
    <w:rsid w:val="00C52C84"/>
    <w:rsid w:val="00C55C47"/>
    <w:rsid w:val="00C55D92"/>
    <w:rsid w:val="00C61B51"/>
    <w:rsid w:val="00C648B5"/>
    <w:rsid w:val="00C66594"/>
    <w:rsid w:val="00C6798A"/>
    <w:rsid w:val="00C701B1"/>
    <w:rsid w:val="00C7107D"/>
    <w:rsid w:val="00C719C5"/>
    <w:rsid w:val="00C81DAF"/>
    <w:rsid w:val="00CA0184"/>
    <w:rsid w:val="00CC2BAE"/>
    <w:rsid w:val="00CC5214"/>
    <w:rsid w:val="00CD1383"/>
    <w:rsid w:val="00CD1DCE"/>
    <w:rsid w:val="00CD2969"/>
    <w:rsid w:val="00CE1EA7"/>
    <w:rsid w:val="00CE378B"/>
    <w:rsid w:val="00CE3A3A"/>
    <w:rsid w:val="00CE7CF3"/>
    <w:rsid w:val="00CF27A6"/>
    <w:rsid w:val="00D01DA8"/>
    <w:rsid w:val="00D046CC"/>
    <w:rsid w:val="00D12482"/>
    <w:rsid w:val="00D12D2C"/>
    <w:rsid w:val="00D248BD"/>
    <w:rsid w:val="00D305B4"/>
    <w:rsid w:val="00D3437A"/>
    <w:rsid w:val="00D34F32"/>
    <w:rsid w:val="00D362DC"/>
    <w:rsid w:val="00D40DE6"/>
    <w:rsid w:val="00D503BD"/>
    <w:rsid w:val="00D53064"/>
    <w:rsid w:val="00D60867"/>
    <w:rsid w:val="00D66224"/>
    <w:rsid w:val="00D676DB"/>
    <w:rsid w:val="00D749FE"/>
    <w:rsid w:val="00D822F5"/>
    <w:rsid w:val="00D84720"/>
    <w:rsid w:val="00D87526"/>
    <w:rsid w:val="00D94D31"/>
    <w:rsid w:val="00D96E0C"/>
    <w:rsid w:val="00DA5D3C"/>
    <w:rsid w:val="00DB4484"/>
    <w:rsid w:val="00DB48CF"/>
    <w:rsid w:val="00DC246F"/>
    <w:rsid w:val="00DC5DC9"/>
    <w:rsid w:val="00DD04E8"/>
    <w:rsid w:val="00DD26AE"/>
    <w:rsid w:val="00DD7FF5"/>
    <w:rsid w:val="00DE5810"/>
    <w:rsid w:val="00DE6B59"/>
    <w:rsid w:val="00DF06A2"/>
    <w:rsid w:val="00E042F3"/>
    <w:rsid w:val="00E13CC8"/>
    <w:rsid w:val="00E13F71"/>
    <w:rsid w:val="00E14866"/>
    <w:rsid w:val="00E20946"/>
    <w:rsid w:val="00E27CBE"/>
    <w:rsid w:val="00E27D06"/>
    <w:rsid w:val="00E337FF"/>
    <w:rsid w:val="00E33C2F"/>
    <w:rsid w:val="00E34E14"/>
    <w:rsid w:val="00E36FBC"/>
    <w:rsid w:val="00E424E4"/>
    <w:rsid w:val="00E449AC"/>
    <w:rsid w:val="00E52EDA"/>
    <w:rsid w:val="00E55197"/>
    <w:rsid w:val="00E62049"/>
    <w:rsid w:val="00E63920"/>
    <w:rsid w:val="00E63B4B"/>
    <w:rsid w:val="00E669EE"/>
    <w:rsid w:val="00E826DF"/>
    <w:rsid w:val="00E878DB"/>
    <w:rsid w:val="00E9209C"/>
    <w:rsid w:val="00E96504"/>
    <w:rsid w:val="00EA26B7"/>
    <w:rsid w:val="00EA30B2"/>
    <w:rsid w:val="00EA7AEA"/>
    <w:rsid w:val="00EB576A"/>
    <w:rsid w:val="00EB6359"/>
    <w:rsid w:val="00EC41AF"/>
    <w:rsid w:val="00EC47E6"/>
    <w:rsid w:val="00EC529C"/>
    <w:rsid w:val="00EC7EAF"/>
    <w:rsid w:val="00ED049D"/>
    <w:rsid w:val="00EE48E3"/>
    <w:rsid w:val="00EF24C6"/>
    <w:rsid w:val="00EF33E3"/>
    <w:rsid w:val="00EF49D0"/>
    <w:rsid w:val="00EF49DA"/>
    <w:rsid w:val="00EF51E2"/>
    <w:rsid w:val="00F05749"/>
    <w:rsid w:val="00F10EB5"/>
    <w:rsid w:val="00F1433F"/>
    <w:rsid w:val="00F147F7"/>
    <w:rsid w:val="00F22E24"/>
    <w:rsid w:val="00F23505"/>
    <w:rsid w:val="00F245DF"/>
    <w:rsid w:val="00F31C71"/>
    <w:rsid w:val="00F31F40"/>
    <w:rsid w:val="00F32497"/>
    <w:rsid w:val="00F42E8E"/>
    <w:rsid w:val="00F47B2C"/>
    <w:rsid w:val="00F51408"/>
    <w:rsid w:val="00F544D8"/>
    <w:rsid w:val="00F57D9E"/>
    <w:rsid w:val="00F63811"/>
    <w:rsid w:val="00F741A1"/>
    <w:rsid w:val="00F81CA7"/>
    <w:rsid w:val="00F85EC0"/>
    <w:rsid w:val="00F86BCE"/>
    <w:rsid w:val="00F87E16"/>
    <w:rsid w:val="00F91C0B"/>
    <w:rsid w:val="00F94BBE"/>
    <w:rsid w:val="00F9723A"/>
    <w:rsid w:val="00FA0419"/>
    <w:rsid w:val="00FA486D"/>
    <w:rsid w:val="00FA50C8"/>
    <w:rsid w:val="00FA6BD3"/>
    <w:rsid w:val="00FA6DAD"/>
    <w:rsid w:val="00FB0586"/>
    <w:rsid w:val="00FB335D"/>
    <w:rsid w:val="00FB68D2"/>
    <w:rsid w:val="00FB6BB1"/>
    <w:rsid w:val="00FC3150"/>
    <w:rsid w:val="00FC6E4F"/>
    <w:rsid w:val="00FD1F1F"/>
    <w:rsid w:val="00FD4F6F"/>
    <w:rsid w:val="00FE1797"/>
    <w:rsid w:val="00FF3CDA"/>
    <w:rsid w:val="00FF5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chartTrackingRefBased/>
  <w15:docId w15:val="{7FB13543-DD5A-4F94-9117-CDE1A718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semiHidden/>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74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E356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12AAA"/>
    <w:rPr>
      <w:color w:val="605E5C"/>
      <w:shd w:val="clear" w:color="auto" w:fill="E1DFDD"/>
    </w:rPr>
  </w:style>
  <w:style w:type="character" w:styleId="FollowedHyperlink">
    <w:name w:val="FollowedHyperlink"/>
    <w:basedOn w:val="DefaultParagraphFont"/>
    <w:uiPriority w:val="99"/>
    <w:semiHidden/>
    <w:unhideWhenUsed/>
    <w:rsid w:val="00D01D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591709">
      <w:bodyDiv w:val="1"/>
      <w:marLeft w:val="0"/>
      <w:marRight w:val="0"/>
      <w:marTop w:val="0"/>
      <w:marBottom w:val="0"/>
      <w:divBdr>
        <w:top w:val="none" w:sz="0" w:space="0" w:color="auto"/>
        <w:left w:val="none" w:sz="0" w:space="0" w:color="auto"/>
        <w:bottom w:val="none" w:sz="0" w:space="0" w:color="auto"/>
        <w:right w:val="none" w:sz="0" w:space="0" w:color="auto"/>
      </w:divBdr>
      <w:divsChild>
        <w:div w:id="549414936">
          <w:marLeft w:val="-720"/>
          <w:marRight w:val="0"/>
          <w:marTop w:val="0"/>
          <w:marBottom w:val="0"/>
          <w:divBdr>
            <w:top w:val="none" w:sz="0" w:space="0" w:color="auto"/>
            <w:left w:val="none" w:sz="0" w:space="0" w:color="auto"/>
            <w:bottom w:val="none" w:sz="0" w:space="0" w:color="auto"/>
            <w:right w:val="none" w:sz="0" w:space="0" w:color="auto"/>
          </w:divBdr>
        </w:div>
      </w:divsChild>
    </w:div>
    <w:div w:id="210923996">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412432155">
      <w:bodyDiv w:val="1"/>
      <w:marLeft w:val="0"/>
      <w:marRight w:val="0"/>
      <w:marTop w:val="0"/>
      <w:marBottom w:val="0"/>
      <w:divBdr>
        <w:top w:val="none" w:sz="0" w:space="0" w:color="auto"/>
        <w:left w:val="none" w:sz="0" w:space="0" w:color="auto"/>
        <w:bottom w:val="none" w:sz="0" w:space="0" w:color="auto"/>
        <w:right w:val="none" w:sz="0" w:space="0" w:color="auto"/>
      </w:divBdr>
      <w:divsChild>
        <w:div w:id="1374573438">
          <w:marLeft w:val="-720"/>
          <w:marRight w:val="0"/>
          <w:marTop w:val="0"/>
          <w:marBottom w:val="0"/>
          <w:divBdr>
            <w:top w:val="none" w:sz="0" w:space="0" w:color="auto"/>
            <w:left w:val="none" w:sz="0" w:space="0" w:color="auto"/>
            <w:bottom w:val="none" w:sz="0" w:space="0" w:color="auto"/>
            <w:right w:val="none" w:sz="0" w:space="0" w:color="auto"/>
          </w:divBdr>
        </w:div>
      </w:divsChild>
    </w:div>
    <w:div w:id="446775593">
      <w:bodyDiv w:val="1"/>
      <w:marLeft w:val="0"/>
      <w:marRight w:val="0"/>
      <w:marTop w:val="0"/>
      <w:marBottom w:val="0"/>
      <w:divBdr>
        <w:top w:val="none" w:sz="0" w:space="0" w:color="auto"/>
        <w:left w:val="none" w:sz="0" w:space="0" w:color="auto"/>
        <w:bottom w:val="none" w:sz="0" w:space="0" w:color="auto"/>
        <w:right w:val="none" w:sz="0" w:space="0" w:color="auto"/>
      </w:divBdr>
      <w:divsChild>
        <w:div w:id="647902759">
          <w:marLeft w:val="-720"/>
          <w:marRight w:val="0"/>
          <w:marTop w:val="0"/>
          <w:marBottom w:val="0"/>
          <w:divBdr>
            <w:top w:val="none" w:sz="0" w:space="0" w:color="auto"/>
            <w:left w:val="none" w:sz="0" w:space="0" w:color="auto"/>
            <w:bottom w:val="none" w:sz="0" w:space="0" w:color="auto"/>
            <w:right w:val="none" w:sz="0" w:space="0" w:color="auto"/>
          </w:divBdr>
        </w:div>
      </w:divsChild>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534460782">
      <w:bodyDiv w:val="1"/>
      <w:marLeft w:val="0"/>
      <w:marRight w:val="0"/>
      <w:marTop w:val="0"/>
      <w:marBottom w:val="0"/>
      <w:divBdr>
        <w:top w:val="none" w:sz="0" w:space="0" w:color="auto"/>
        <w:left w:val="none" w:sz="0" w:space="0" w:color="auto"/>
        <w:bottom w:val="none" w:sz="0" w:space="0" w:color="auto"/>
        <w:right w:val="none" w:sz="0" w:space="0" w:color="auto"/>
      </w:divBdr>
    </w:div>
    <w:div w:id="568461949">
      <w:bodyDiv w:val="1"/>
      <w:marLeft w:val="0"/>
      <w:marRight w:val="0"/>
      <w:marTop w:val="0"/>
      <w:marBottom w:val="0"/>
      <w:divBdr>
        <w:top w:val="none" w:sz="0" w:space="0" w:color="auto"/>
        <w:left w:val="none" w:sz="0" w:space="0" w:color="auto"/>
        <w:bottom w:val="none" w:sz="0" w:space="0" w:color="auto"/>
        <w:right w:val="none" w:sz="0" w:space="0" w:color="auto"/>
      </w:divBdr>
    </w:div>
    <w:div w:id="591621550">
      <w:bodyDiv w:val="1"/>
      <w:marLeft w:val="0"/>
      <w:marRight w:val="0"/>
      <w:marTop w:val="0"/>
      <w:marBottom w:val="0"/>
      <w:divBdr>
        <w:top w:val="none" w:sz="0" w:space="0" w:color="auto"/>
        <w:left w:val="none" w:sz="0" w:space="0" w:color="auto"/>
        <w:bottom w:val="none" w:sz="0" w:space="0" w:color="auto"/>
        <w:right w:val="none" w:sz="0" w:space="0" w:color="auto"/>
      </w:divBdr>
    </w:div>
    <w:div w:id="627666957">
      <w:bodyDiv w:val="1"/>
      <w:marLeft w:val="0"/>
      <w:marRight w:val="0"/>
      <w:marTop w:val="0"/>
      <w:marBottom w:val="0"/>
      <w:divBdr>
        <w:top w:val="none" w:sz="0" w:space="0" w:color="auto"/>
        <w:left w:val="none" w:sz="0" w:space="0" w:color="auto"/>
        <w:bottom w:val="none" w:sz="0" w:space="0" w:color="auto"/>
        <w:right w:val="none" w:sz="0" w:space="0" w:color="auto"/>
      </w:divBdr>
    </w:div>
    <w:div w:id="636836414">
      <w:bodyDiv w:val="1"/>
      <w:marLeft w:val="0"/>
      <w:marRight w:val="0"/>
      <w:marTop w:val="0"/>
      <w:marBottom w:val="0"/>
      <w:divBdr>
        <w:top w:val="none" w:sz="0" w:space="0" w:color="auto"/>
        <w:left w:val="none" w:sz="0" w:space="0" w:color="auto"/>
        <w:bottom w:val="none" w:sz="0" w:space="0" w:color="auto"/>
        <w:right w:val="none" w:sz="0" w:space="0" w:color="auto"/>
      </w:divBdr>
      <w:divsChild>
        <w:div w:id="1537817159">
          <w:marLeft w:val="0"/>
          <w:marRight w:val="0"/>
          <w:marTop w:val="0"/>
          <w:marBottom w:val="0"/>
          <w:divBdr>
            <w:top w:val="none" w:sz="0" w:space="0" w:color="auto"/>
            <w:left w:val="none" w:sz="0" w:space="0" w:color="auto"/>
            <w:bottom w:val="none" w:sz="0" w:space="0" w:color="auto"/>
            <w:right w:val="none" w:sz="0" w:space="0" w:color="auto"/>
          </w:divBdr>
          <w:divsChild>
            <w:div w:id="1643578647">
              <w:marLeft w:val="0"/>
              <w:marRight w:val="0"/>
              <w:marTop w:val="0"/>
              <w:marBottom w:val="0"/>
              <w:divBdr>
                <w:top w:val="none" w:sz="0" w:space="0" w:color="auto"/>
                <w:left w:val="none" w:sz="0" w:space="0" w:color="auto"/>
                <w:bottom w:val="none" w:sz="0" w:space="0" w:color="auto"/>
                <w:right w:val="none" w:sz="0" w:space="0" w:color="auto"/>
              </w:divBdr>
              <w:divsChild>
                <w:div w:id="9538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6574">
      <w:bodyDiv w:val="1"/>
      <w:marLeft w:val="0"/>
      <w:marRight w:val="0"/>
      <w:marTop w:val="0"/>
      <w:marBottom w:val="0"/>
      <w:divBdr>
        <w:top w:val="none" w:sz="0" w:space="0" w:color="auto"/>
        <w:left w:val="none" w:sz="0" w:space="0" w:color="auto"/>
        <w:bottom w:val="none" w:sz="0" w:space="0" w:color="auto"/>
        <w:right w:val="none" w:sz="0" w:space="0" w:color="auto"/>
      </w:divBdr>
      <w:divsChild>
        <w:div w:id="816334627">
          <w:marLeft w:val="-720"/>
          <w:marRight w:val="0"/>
          <w:marTop w:val="0"/>
          <w:marBottom w:val="0"/>
          <w:divBdr>
            <w:top w:val="none" w:sz="0" w:space="0" w:color="auto"/>
            <w:left w:val="none" w:sz="0" w:space="0" w:color="auto"/>
            <w:bottom w:val="none" w:sz="0" w:space="0" w:color="auto"/>
            <w:right w:val="none" w:sz="0" w:space="0" w:color="auto"/>
          </w:divBdr>
        </w:div>
      </w:divsChild>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725488056">
      <w:bodyDiv w:val="1"/>
      <w:marLeft w:val="0"/>
      <w:marRight w:val="0"/>
      <w:marTop w:val="0"/>
      <w:marBottom w:val="0"/>
      <w:divBdr>
        <w:top w:val="none" w:sz="0" w:space="0" w:color="auto"/>
        <w:left w:val="none" w:sz="0" w:space="0" w:color="auto"/>
        <w:bottom w:val="none" w:sz="0" w:space="0" w:color="auto"/>
        <w:right w:val="none" w:sz="0" w:space="0" w:color="auto"/>
      </w:divBdr>
      <w:divsChild>
        <w:div w:id="788553559">
          <w:marLeft w:val="-720"/>
          <w:marRight w:val="0"/>
          <w:marTop w:val="0"/>
          <w:marBottom w:val="0"/>
          <w:divBdr>
            <w:top w:val="none" w:sz="0" w:space="0" w:color="auto"/>
            <w:left w:val="none" w:sz="0" w:space="0" w:color="auto"/>
            <w:bottom w:val="none" w:sz="0" w:space="0" w:color="auto"/>
            <w:right w:val="none" w:sz="0" w:space="0" w:color="auto"/>
          </w:divBdr>
        </w:div>
      </w:divsChild>
    </w:div>
    <w:div w:id="751198143">
      <w:bodyDiv w:val="1"/>
      <w:marLeft w:val="0"/>
      <w:marRight w:val="0"/>
      <w:marTop w:val="0"/>
      <w:marBottom w:val="0"/>
      <w:divBdr>
        <w:top w:val="none" w:sz="0" w:space="0" w:color="auto"/>
        <w:left w:val="none" w:sz="0" w:space="0" w:color="auto"/>
        <w:bottom w:val="none" w:sz="0" w:space="0" w:color="auto"/>
        <w:right w:val="none" w:sz="0" w:space="0" w:color="auto"/>
      </w:divBdr>
    </w:div>
    <w:div w:id="802961282">
      <w:bodyDiv w:val="1"/>
      <w:marLeft w:val="0"/>
      <w:marRight w:val="0"/>
      <w:marTop w:val="0"/>
      <w:marBottom w:val="0"/>
      <w:divBdr>
        <w:top w:val="none" w:sz="0" w:space="0" w:color="auto"/>
        <w:left w:val="none" w:sz="0" w:space="0" w:color="auto"/>
        <w:bottom w:val="none" w:sz="0" w:space="0" w:color="auto"/>
        <w:right w:val="none" w:sz="0" w:space="0" w:color="auto"/>
      </w:divBdr>
      <w:divsChild>
        <w:div w:id="496650803">
          <w:marLeft w:val="-720"/>
          <w:marRight w:val="0"/>
          <w:marTop w:val="0"/>
          <w:marBottom w:val="0"/>
          <w:divBdr>
            <w:top w:val="none" w:sz="0" w:space="0" w:color="auto"/>
            <w:left w:val="none" w:sz="0" w:space="0" w:color="auto"/>
            <w:bottom w:val="none" w:sz="0" w:space="0" w:color="auto"/>
            <w:right w:val="none" w:sz="0" w:space="0" w:color="auto"/>
          </w:divBdr>
        </w:div>
      </w:divsChild>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32221624">
      <w:bodyDiv w:val="1"/>
      <w:marLeft w:val="0"/>
      <w:marRight w:val="0"/>
      <w:marTop w:val="0"/>
      <w:marBottom w:val="0"/>
      <w:divBdr>
        <w:top w:val="none" w:sz="0" w:space="0" w:color="auto"/>
        <w:left w:val="none" w:sz="0" w:space="0" w:color="auto"/>
        <w:bottom w:val="none" w:sz="0" w:space="0" w:color="auto"/>
        <w:right w:val="none" w:sz="0" w:space="0" w:color="auto"/>
      </w:divBdr>
      <w:divsChild>
        <w:div w:id="459611647">
          <w:marLeft w:val="-720"/>
          <w:marRight w:val="0"/>
          <w:marTop w:val="0"/>
          <w:marBottom w:val="0"/>
          <w:divBdr>
            <w:top w:val="none" w:sz="0" w:space="0" w:color="auto"/>
            <w:left w:val="none" w:sz="0" w:space="0" w:color="auto"/>
            <w:bottom w:val="none" w:sz="0" w:space="0" w:color="auto"/>
            <w:right w:val="none" w:sz="0" w:space="0" w:color="auto"/>
          </w:divBdr>
        </w:div>
      </w:divsChild>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00568257">
      <w:bodyDiv w:val="1"/>
      <w:marLeft w:val="0"/>
      <w:marRight w:val="0"/>
      <w:marTop w:val="0"/>
      <w:marBottom w:val="0"/>
      <w:divBdr>
        <w:top w:val="none" w:sz="0" w:space="0" w:color="auto"/>
        <w:left w:val="none" w:sz="0" w:space="0" w:color="auto"/>
        <w:bottom w:val="none" w:sz="0" w:space="0" w:color="auto"/>
        <w:right w:val="none" w:sz="0" w:space="0" w:color="auto"/>
      </w:divBdr>
    </w:div>
    <w:div w:id="1138693220">
      <w:bodyDiv w:val="1"/>
      <w:marLeft w:val="0"/>
      <w:marRight w:val="0"/>
      <w:marTop w:val="0"/>
      <w:marBottom w:val="0"/>
      <w:divBdr>
        <w:top w:val="none" w:sz="0" w:space="0" w:color="auto"/>
        <w:left w:val="none" w:sz="0" w:space="0" w:color="auto"/>
        <w:bottom w:val="none" w:sz="0" w:space="0" w:color="auto"/>
        <w:right w:val="none" w:sz="0" w:space="0" w:color="auto"/>
      </w:divBdr>
    </w:div>
    <w:div w:id="1159922580">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247618620">
      <w:bodyDiv w:val="1"/>
      <w:marLeft w:val="0"/>
      <w:marRight w:val="0"/>
      <w:marTop w:val="0"/>
      <w:marBottom w:val="0"/>
      <w:divBdr>
        <w:top w:val="none" w:sz="0" w:space="0" w:color="auto"/>
        <w:left w:val="none" w:sz="0" w:space="0" w:color="auto"/>
        <w:bottom w:val="none" w:sz="0" w:space="0" w:color="auto"/>
        <w:right w:val="none" w:sz="0" w:space="0" w:color="auto"/>
      </w:divBdr>
      <w:divsChild>
        <w:div w:id="2035186779">
          <w:marLeft w:val="-720"/>
          <w:marRight w:val="0"/>
          <w:marTop w:val="0"/>
          <w:marBottom w:val="0"/>
          <w:divBdr>
            <w:top w:val="none" w:sz="0" w:space="0" w:color="auto"/>
            <w:left w:val="none" w:sz="0" w:space="0" w:color="auto"/>
            <w:bottom w:val="none" w:sz="0" w:space="0" w:color="auto"/>
            <w:right w:val="none" w:sz="0" w:space="0" w:color="auto"/>
          </w:divBdr>
        </w:div>
      </w:divsChild>
    </w:div>
    <w:div w:id="1328090686">
      <w:bodyDiv w:val="1"/>
      <w:marLeft w:val="0"/>
      <w:marRight w:val="0"/>
      <w:marTop w:val="0"/>
      <w:marBottom w:val="0"/>
      <w:divBdr>
        <w:top w:val="none" w:sz="0" w:space="0" w:color="auto"/>
        <w:left w:val="none" w:sz="0" w:space="0" w:color="auto"/>
        <w:bottom w:val="none" w:sz="0" w:space="0" w:color="auto"/>
        <w:right w:val="none" w:sz="0" w:space="0" w:color="auto"/>
      </w:divBdr>
      <w:divsChild>
        <w:div w:id="1204514842">
          <w:marLeft w:val="-720"/>
          <w:marRight w:val="0"/>
          <w:marTop w:val="0"/>
          <w:marBottom w:val="0"/>
          <w:divBdr>
            <w:top w:val="none" w:sz="0" w:space="0" w:color="auto"/>
            <w:left w:val="none" w:sz="0" w:space="0" w:color="auto"/>
            <w:bottom w:val="none" w:sz="0" w:space="0" w:color="auto"/>
            <w:right w:val="none" w:sz="0" w:space="0" w:color="auto"/>
          </w:divBdr>
        </w:div>
      </w:divsChild>
    </w:div>
    <w:div w:id="1328627310">
      <w:bodyDiv w:val="1"/>
      <w:marLeft w:val="0"/>
      <w:marRight w:val="0"/>
      <w:marTop w:val="0"/>
      <w:marBottom w:val="0"/>
      <w:divBdr>
        <w:top w:val="none" w:sz="0" w:space="0" w:color="auto"/>
        <w:left w:val="none" w:sz="0" w:space="0" w:color="auto"/>
        <w:bottom w:val="none" w:sz="0" w:space="0" w:color="auto"/>
        <w:right w:val="none" w:sz="0" w:space="0" w:color="auto"/>
      </w:divBdr>
    </w:div>
    <w:div w:id="1339818557">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68405212">
      <w:bodyDiv w:val="1"/>
      <w:marLeft w:val="0"/>
      <w:marRight w:val="0"/>
      <w:marTop w:val="0"/>
      <w:marBottom w:val="0"/>
      <w:divBdr>
        <w:top w:val="none" w:sz="0" w:space="0" w:color="auto"/>
        <w:left w:val="none" w:sz="0" w:space="0" w:color="auto"/>
        <w:bottom w:val="none" w:sz="0" w:space="0" w:color="auto"/>
        <w:right w:val="none" w:sz="0" w:space="0" w:color="auto"/>
      </w:divBdr>
      <w:divsChild>
        <w:div w:id="1386877745">
          <w:marLeft w:val="-720"/>
          <w:marRight w:val="0"/>
          <w:marTop w:val="0"/>
          <w:marBottom w:val="0"/>
          <w:divBdr>
            <w:top w:val="none" w:sz="0" w:space="0" w:color="auto"/>
            <w:left w:val="none" w:sz="0" w:space="0" w:color="auto"/>
            <w:bottom w:val="none" w:sz="0" w:space="0" w:color="auto"/>
            <w:right w:val="none" w:sz="0" w:space="0" w:color="auto"/>
          </w:divBdr>
        </w:div>
      </w:divsChild>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2195240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511677410">
      <w:bodyDiv w:val="1"/>
      <w:marLeft w:val="0"/>
      <w:marRight w:val="0"/>
      <w:marTop w:val="0"/>
      <w:marBottom w:val="0"/>
      <w:divBdr>
        <w:top w:val="none" w:sz="0" w:space="0" w:color="auto"/>
        <w:left w:val="none" w:sz="0" w:space="0" w:color="auto"/>
        <w:bottom w:val="none" w:sz="0" w:space="0" w:color="auto"/>
        <w:right w:val="none" w:sz="0" w:space="0" w:color="auto"/>
      </w:divBdr>
    </w:div>
    <w:div w:id="1584608905">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798911984">
      <w:bodyDiv w:val="1"/>
      <w:marLeft w:val="0"/>
      <w:marRight w:val="0"/>
      <w:marTop w:val="0"/>
      <w:marBottom w:val="0"/>
      <w:divBdr>
        <w:top w:val="none" w:sz="0" w:space="0" w:color="auto"/>
        <w:left w:val="none" w:sz="0" w:space="0" w:color="auto"/>
        <w:bottom w:val="none" w:sz="0" w:space="0" w:color="auto"/>
        <w:right w:val="none" w:sz="0" w:space="0" w:color="auto"/>
      </w:divBdr>
    </w:div>
    <w:div w:id="1849565630">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1983339683">
      <w:bodyDiv w:val="1"/>
      <w:marLeft w:val="0"/>
      <w:marRight w:val="0"/>
      <w:marTop w:val="0"/>
      <w:marBottom w:val="0"/>
      <w:divBdr>
        <w:top w:val="none" w:sz="0" w:space="0" w:color="auto"/>
        <w:left w:val="none" w:sz="0" w:space="0" w:color="auto"/>
        <w:bottom w:val="none" w:sz="0" w:space="0" w:color="auto"/>
        <w:right w:val="none" w:sz="0" w:space="0" w:color="auto"/>
      </w:divBdr>
      <w:divsChild>
        <w:div w:id="460463149">
          <w:marLeft w:val="-720"/>
          <w:marRight w:val="0"/>
          <w:marTop w:val="0"/>
          <w:marBottom w:val="0"/>
          <w:divBdr>
            <w:top w:val="none" w:sz="0" w:space="0" w:color="auto"/>
            <w:left w:val="none" w:sz="0" w:space="0" w:color="auto"/>
            <w:bottom w:val="none" w:sz="0" w:space="0" w:color="auto"/>
            <w:right w:val="none" w:sz="0" w:space="0" w:color="auto"/>
          </w:divBdr>
        </w:div>
      </w:divsChild>
    </w:div>
    <w:div w:id="2104064939">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sterngovernorsuniversity-my.sharepoint.com/:x:/g/personal/mnel522_wgu_edu/EX74iym0Hl5MtdvuhU9EXBcBUs2U164UFvqV8FWEATg2Pw?e=oBfuUs" TargetMode="External"/><Relationship Id="rId13" Type="http://schemas.openxmlformats.org/officeDocument/2006/relationships/hyperlink" Target="https://www.geeksforgeeks.org/handling-missing-values-in-time-series-data/" TargetMode="External"/><Relationship Id="rId18" Type="http://schemas.openxmlformats.org/officeDocument/2006/relationships/hyperlink" Target="https://silverinstitute.org/silver-solar-technology-2/"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doi.org/10.1016/j.ijforecast.2013.09.003" TargetMode="External"/><Relationship Id="rId17" Type="http://schemas.openxmlformats.org/officeDocument/2006/relationships/hyperlink" Target="https://books.google.com/books?hl=en&amp;lr=&amp;id=4H6HEAAAQBAJ&amp;oi=fnd&amp;pg=PA1&amp;dq=time+series+analysis+python+or+R&amp;ots=6-bjU9uB4J&amp;sig=MKLgxNAb9yKTELKf1jd38Hd643s" TargetMode="External"/><Relationship Id="rId2" Type="http://schemas.openxmlformats.org/officeDocument/2006/relationships/customXml" Target="../customXml/item2.xml"/><Relationship Id="rId16" Type="http://schemas.openxmlformats.org/officeDocument/2006/relationships/hyperlink" Target="https://www.ncss.com/wp-content/themes/ncss/pdf/Procedures/NCSS/Ridge_Regression.pdf"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nalyticssteps.com/blogs/8-differences-between-sas-and-python" TargetMode="External"/><Relationship Id="rId5" Type="http://schemas.openxmlformats.org/officeDocument/2006/relationships/styles" Target="styles.xml"/><Relationship Id="rId15" Type="http://schemas.openxmlformats.org/officeDocument/2006/relationships/hyperlink" Target="https://fred.stlouisfed.org/legal/" TargetMode="External"/><Relationship Id="rId10" Type="http://schemas.openxmlformats.org/officeDocument/2006/relationships/hyperlink" Target="https://creativecommons.org/licenses/by-nc-nd/4.0/"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apex.com/en/overview/silver-forecast-price-prediction" TargetMode="External"/><Relationship Id="rId14" Type="http://schemas.openxmlformats.org/officeDocument/2006/relationships/hyperlink" Target="https://doi.org/10.1016/j.resourpol.2013.10.00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463AF9" w:rsidP="00463AF9">
          <w:pPr>
            <w:pStyle w:val="0BAAF023ACD844E8A8D3164F02751CCF"/>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463AF9" w:rsidP="00463AF9">
          <w:pPr>
            <w:pStyle w:val="3BC2B92D5875449DB25116FE7FCFD652"/>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463AF9" w:rsidP="00463AF9">
          <w:pPr>
            <w:pStyle w:val="E89256DBFBB64872BCE0D4ABB0324F1B"/>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463AF9" w:rsidP="00463AF9">
          <w:pPr>
            <w:pStyle w:val="1578984DA03B4FD691375605FBFB512B"/>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028FA"/>
    <w:rsid w:val="000964F3"/>
    <w:rsid w:val="00100302"/>
    <w:rsid w:val="0025181D"/>
    <w:rsid w:val="00255931"/>
    <w:rsid w:val="00463AF9"/>
    <w:rsid w:val="00467CBA"/>
    <w:rsid w:val="007A1C6D"/>
    <w:rsid w:val="008B7825"/>
    <w:rsid w:val="00A724BE"/>
    <w:rsid w:val="00AF4023"/>
    <w:rsid w:val="00B02BD1"/>
    <w:rsid w:val="00B83C44"/>
    <w:rsid w:val="00B84C88"/>
    <w:rsid w:val="00BC7E09"/>
    <w:rsid w:val="00BD6C1D"/>
    <w:rsid w:val="00C81DAF"/>
    <w:rsid w:val="00C91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63AF9"/>
    <w:rPr>
      <w:color w:val="808080"/>
    </w:rPr>
  </w:style>
  <w:style w:type="paragraph" w:customStyle="1" w:styleId="0BAAF023ACD844E8A8D3164F02751CCF">
    <w:name w:val="0BAAF023ACD844E8A8D3164F02751CCF"/>
    <w:rsid w:val="00463AF9"/>
  </w:style>
  <w:style w:type="paragraph" w:customStyle="1" w:styleId="09C49FA8560647618624C4CE2FB24DF9">
    <w:name w:val="09C49FA8560647618624C4CE2FB24DF9"/>
    <w:rsid w:val="00463AF9"/>
  </w:style>
  <w:style w:type="paragraph" w:customStyle="1" w:styleId="8CB853E649D741DCB2883B2433A617F9">
    <w:name w:val="8CB853E649D741DCB2883B2433A617F9"/>
    <w:rsid w:val="00463AF9"/>
  </w:style>
  <w:style w:type="paragraph" w:customStyle="1" w:styleId="3BC2B92D5875449DB25116FE7FCFD652">
    <w:name w:val="3BC2B92D5875449DB25116FE7FCFD652"/>
    <w:rsid w:val="00463AF9"/>
  </w:style>
  <w:style w:type="paragraph" w:customStyle="1" w:styleId="E89256DBFBB64872BCE0D4ABB0324F1B">
    <w:name w:val="E89256DBFBB64872BCE0D4ABB0324F1B"/>
    <w:rsid w:val="00463AF9"/>
  </w:style>
  <w:style w:type="paragraph" w:customStyle="1" w:styleId="1578984DA03B4FD691375605FBFB512B">
    <w:name w:val="1578984DA03B4FD691375605FBFB512B"/>
    <w:rsid w:val="00463AF9"/>
  </w:style>
  <w:style w:type="paragraph" w:customStyle="1" w:styleId="7CB68474BF7B472B88169EF3BF7DAABD">
    <w:name w:val="7CB68474BF7B472B88169EF3BF7DAABD"/>
    <w:rsid w:val="00463A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6DEF767353ED4AABACA00104988FDB" ma:contentTypeVersion="13" ma:contentTypeDescription="Create a new document." ma:contentTypeScope="" ma:versionID="19c71d4ce03de6ad18f5a433323c233d">
  <xsd:schema xmlns:xsd="http://www.w3.org/2001/XMLSchema" xmlns:xs="http://www.w3.org/2001/XMLSchema" xmlns:p="http://schemas.microsoft.com/office/2006/metadata/properties" xmlns:ns3="e7b1d905-24de-49f1-ac69-282527225b8e" xmlns:ns4="986a1e7c-3408-4565-abd6-87412778acff" targetNamespace="http://schemas.microsoft.com/office/2006/metadata/properties" ma:root="true" ma:fieldsID="c08cdb5147eef2ae9d786403b59569ae" ns3:_="" ns4:_="">
    <xsd:import namespace="e7b1d905-24de-49f1-ac69-282527225b8e"/>
    <xsd:import namespace="986a1e7c-3408-4565-abd6-87412778ac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b1d905-24de-49f1-ac69-282527225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6a1e7c-3408-4565-abd6-87412778ac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6BD12951-5F7E-40B4-84BE-C5F2EA44BD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b1d905-24de-49f1-ac69-282527225b8e"/>
    <ds:schemaRef ds:uri="986a1e7c-3408-4565-abd6-87412778a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2237f07-77ed-465b-b292-cb49ce18d5e2}" enabled="0" method="" siteId="{12237f07-77ed-465b-b292-cb49ce18d5e2}" removed="1"/>
</clbl:labelList>
</file>

<file path=docProps/app.xml><?xml version="1.0" encoding="utf-8"?>
<Properties xmlns="http://schemas.openxmlformats.org/officeDocument/2006/extended-properties" xmlns:vt="http://schemas.openxmlformats.org/officeDocument/2006/docPropsVTypes">
  <Template>Normal.dotm</Template>
  <TotalTime>54</TotalTime>
  <Pages>4</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Links>
    <vt:vector size="84" baseType="variant">
      <vt:variant>
        <vt:i4>2031618</vt:i4>
      </vt:variant>
      <vt:variant>
        <vt:i4>39</vt:i4>
      </vt:variant>
      <vt:variant>
        <vt:i4>0</vt:i4>
      </vt:variant>
      <vt:variant>
        <vt:i4>5</vt:i4>
      </vt:variant>
      <vt:variant>
        <vt:lpwstr>https://fred.stlouisfed.org/series/T5YIE</vt:lpwstr>
      </vt:variant>
      <vt:variant>
        <vt:lpwstr/>
      </vt:variant>
      <vt:variant>
        <vt:i4>262225</vt:i4>
      </vt:variant>
      <vt:variant>
        <vt:i4>36</vt:i4>
      </vt:variant>
      <vt:variant>
        <vt:i4>0</vt:i4>
      </vt:variant>
      <vt:variant>
        <vt:i4>5</vt:i4>
      </vt:variant>
      <vt:variant>
        <vt:lpwstr>https://fred.stlouisfed.org/series/UNRATE</vt:lpwstr>
      </vt:variant>
      <vt:variant>
        <vt:lpwstr/>
      </vt:variant>
      <vt:variant>
        <vt:i4>6619235</vt:i4>
      </vt:variant>
      <vt:variant>
        <vt:i4>33</vt:i4>
      </vt:variant>
      <vt:variant>
        <vt:i4>0</vt:i4>
      </vt:variant>
      <vt:variant>
        <vt:i4>5</vt:i4>
      </vt:variant>
      <vt:variant>
        <vt:lpwstr>https://silverinstitute.org/silver-solar-technology-2/</vt:lpwstr>
      </vt:variant>
      <vt:variant>
        <vt:lpwstr/>
      </vt:variant>
      <vt:variant>
        <vt:i4>6422588</vt:i4>
      </vt:variant>
      <vt:variant>
        <vt:i4>30</vt:i4>
      </vt:variant>
      <vt:variant>
        <vt:i4>0</vt:i4>
      </vt:variant>
      <vt:variant>
        <vt:i4>5</vt:i4>
      </vt:variant>
      <vt:variant>
        <vt:lpwstr>https://fred.stlouisfed.org/series/USARECDM</vt:lpwstr>
      </vt:variant>
      <vt:variant>
        <vt:lpwstr/>
      </vt:variant>
      <vt:variant>
        <vt:i4>7471143</vt:i4>
      </vt:variant>
      <vt:variant>
        <vt:i4>27</vt:i4>
      </vt:variant>
      <vt:variant>
        <vt:i4>0</vt:i4>
      </vt:variant>
      <vt:variant>
        <vt:i4>5</vt:i4>
      </vt:variant>
      <vt:variant>
        <vt:lpwstr>https://fred.stlouisfed.org/series/CHNRECM</vt:lpwstr>
      </vt:variant>
      <vt:variant>
        <vt:lpwstr/>
      </vt:variant>
      <vt:variant>
        <vt:i4>2687091</vt:i4>
      </vt:variant>
      <vt:variant>
        <vt:i4>24</vt:i4>
      </vt:variant>
      <vt:variant>
        <vt:i4>0</vt:i4>
      </vt:variant>
      <vt:variant>
        <vt:i4>5</vt:i4>
      </vt:variant>
      <vt:variant>
        <vt:lpwstr>https://doi.org/10.1016/j.resourpol.2013.10.005</vt:lpwstr>
      </vt:variant>
      <vt:variant>
        <vt:lpwstr/>
      </vt:variant>
      <vt:variant>
        <vt:i4>6160472</vt:i4>
      </vt:variant>
      <vt:variant>
        <vt:i4>21</vt:i4>
      </vt:variant>
      <vt:variant>
        <vt:i4>0</vt:i4>
      </vt:variant>
      <vt:variant>
        <vt:i4>5</vt:i4>
      </vt:variant>
      <vt:variant>
        <vt:lpwstr>https://doi.org/10.1016/j.ijforecast.2013.09.003</vt:lpwstr>
      </vt:variant>
      <vt:variant>
        <vt:lpwstr/>
      </vt:variant>
      <vt:variant>
        <vt:i4>7602223</vt:i4>
      </vt:variant>
      <vt:variant>
        <vt:i4>18</vt:i4>
      </vt:variant>
      <vt:variant>
        <vt:i4>0</vt:i4>
      </vt:variant>
      <vt:variant>
        <vt:i4>5</vt:i4>
      </vt:variant>
      <vt:variant>
        <vt:lpwstr>https://fred.stlouisfed.org/series/DEXUSAL</vt:lpwstr>
      </vt:variant>
      <vt:variant>
        <vt:lpwstr/>
      </vt:variant>
      <vt:variant>
        <vt:i4>7602223</vt:i4>
      </vt:variant>
      <vt:variant>
        <vt:i4>15</vt:i4>
      </vt:variant>
      <vt:variant>
        <vt:i4>0</vt:i4>
      </vt:variant>
      <vt:variant>
        <vt:i4>5</vt:i4>
      </vt:variant>
      <vt:variant>
        <vt:lpwstr>https://fred.stlouisfed.org/series/DEXUSAL</vt:lpwstr>
      </vt:variant>
      <vt:variant>
        <vt:lpwstr/>
      </vt:variant>
      <vt:variant>
        <vt:i4>6422588</vt:i4>
      </vt:variant>
      <vt:variant>
        <vt:i4>12</vt:i4>
      </vt:variant>
      <vt:variant>
        <vt:i4>0</vt:i4>
      </vt:variant>
      <vt:variant>
        <vt:i4>5</vt:i4>
      </vt:variant>
      <vt:variant>
        <vt:lpwstr>https://fred.stlouisfed.org/series/USARECDM</vt:lpwstr>
      </vt:variant>
      <vt:variant>
        <vt:lpwstr/>
      </vt:variant>
      <vt:variant>
        <vt:i4>262225</vt:i4>
      </vt:variant>
      <vt:variant>
        <vt:i4>9</vt:i4>
      </vt:variant>
      <vt:variant>
        <vt:i4>0</vt:i4>
      </vt:variant>
      <vt:variant>
        <vt:i4>5</vt:i4>
      </vt:variant>
      <vt:variant>
        <vt:lpwstr>https://fred.stlouisfed.org/series/UNRATE</vt:lpwstr>
      </vt:variant>
      <vt:variant>
        <vt:lpwstr/>
      </vt:variant>
      <vt:variant>
        <vt:i4>2031618</vt:i4>
      </vt:variant>
      <vt:variant>
        <vt:i4>6</vt:i4>
      </vt:variant>
      <vt:variant>
        <vt:i4>0</vt:i4>
      </vt:variant>
      <vt:variant>
        <vt:i4>5</vt:i4>
      </vt:variant>
      <vt:variant>
        <vt:lpwstr>https://fred.stlouisfed.org/series/T5YIE</vt:lpwstr>
      </vt:variant>
      <vt:variant>
        <vt:lpwstr/>
      </vt:variant>
      <vt:variant>
        <vt:i4>7471143</vt:i4>
      </vt:variant>
      <vt:variant>
        <vt:i4>3</vt:i4>
      </vt:variant>
      <vt:variant>
        <vt:i4>0</vt:i4>
      </vt:variant>
      <vt:variant>
        <vt:i4>5</vt:i4>
      </vt:variant>
      <vt:variant>
        <vt:lpwstr>https://fred.stlouisfed.org/series/CHNRECM</vt:lpwstr>
      </vt:variant>
      <vt:variant>
        <vt:lpwstr/>
      </vt:variant>
      <vt:variant>
        <vt:i4>8060980</vt:i4>
      </vt:variant>
      <vt:variant>
        <vt:i4>0</vt:i4>
      </vt:variant>
      <vt:variant>
        <vt:i4>0</vt:i4>
      </vt:variant>
      <vt:variant>
        <vt:i4>5</vt:i4>
      </vt:variant>
      <vt:variant>
        <vt:lpwstr>https://www.kaggle.com/datasets/balabaskar/silver-prices-1968-2021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Michelle Nelson</cp:lastModifiedBy>
  <cp:revision>46</cp:revision>
  <dcterms:created xsi:type="dcterms:W3CDTF">2025-01-23T15:32:00Z</dcterms:created>
  <dcterms:modified xsi:type="dcterms:W3CDTF">2025-04-15T12:55:00Z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0x010100C36DEF767353ED4AABACA00104988FDB</vt:lpwstr>
  </property>
</Properties>
</file>