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BD0CB">
      <w:pPr>
        <w:spacing w:before="0" w:after="0" w:line="20" w:lineRule="exact"/>
      </w:pPr>
    </w:p>
    <w:p w14:paraId="0D5DA4C7">
      <w:pPr>
        <w:rPr>
          <w:rFonts w:asciiTheme="minorHAnsi" w:hAnsiTheme="minorHAnsi"/>
          <w:sz w:val="32"/>
        </w:rPr>
      </w:pPr>
      <w:r>
        <w:rPr>
          <w:rFonts w:asciiTheme="minorHAnsi" w:hAnsiTheme="minorHAnsi"/>
          <w:sz w:val="32"/>
        </w:rPr>
        <w:drawing>
          <wp:inline distT="0" distB="0" distL="0" distR="0">
            <wp:extent cx="5731510" cy="12395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1510" cy="1239520"/>
                    </a:xfrm>
                    <a:prstGeom prst="rect">
                      <a:avLst/>
                    </a:prstGeom>
                  </pic:spPr>
                </pic:pic>
              </a:graphicData>
            </a:graphic>
          </wp:inline>
        </w:drawing>
      </w:r>
    </w:p>
    <w:p w14:paraId="5C87308C">
      <w:pPr>
        <w:spacing w:before="0" w:after="0" w:line="20" w:lineRule="exact"/>
        <w:rPr>
          <w:rFonts w:asciiTheme="minorHAnsi" w:hAnsiTheme="minorHAnsi"/>
          <w:sz w:val="32"/>
        </w:rPr>
      </w:pPr>
    </w:p>
    <w:p w14:paraId="0D285A6B">
      <w:pPr>
        <w:spacing w:before="0" w:after="0" w:line="20" w:lineRule="exact"/>
        <w:rPr>
          <w:rFonts w:asciiTheme="minorHAnsi" w:hAnsiTheme="minorHAnsi"/>
          <w:sz w:val="32"/>
        </w:rPr>
      </w:pPr>
    </w:p>
    <w:p w14:paraId="011C9545">
      <w:pPr>
        <w:spacing w:before="0" w:after="0" w:line="20" w:lineRule="exact"/>
        <w:rPr>
          <w:rFonts w:asciiTheme="minorHAnsi" w:hAnsiTheme="minorHAnsi"/>
          <w:sz w:val="32"/>
        </w:rPr>
      </w:pPr>
    </w:p>
    <w:p w14:paraId="495E44EC">
      <w:pPr>
        <w:spacing w:before="0" w:after="160" w:line="240" w:lineRule="auto"/>
        <w:rPr>
          <w:rFonts w:asciiTheme="minorHAnsi" w:hAnsiTheme="minorHAnsi"/>
          <w:sz w:val="32"/>
        </w:rPr>
      </w:pPr>
      <w:r>
        <w:rPr>
          <w:rFonts w:asciiTheme="minorHAnsi" w:hAnsiTheme="minorHAnsi"/>
          <w:sz w:val="32"/>
        </w:rPr>
        <w:t>Student Name: M.W.V.D.M.J. Wijewickrama</w:t>
      </w:r>
    </w:p>
    <w:p w14:paraId="4086F850">
      <w:pPr>
        <w:spacing w:before="0" w:after="0" w:line="20" w:lineRule="exact"/>
        <w:rPr>
          <w:rFonts w:asciiTheme="minorHAnsi" w:hAnsiTheme="minorHAnsi"/>
          <w:sz w:val="32"/>
        </w:rPr>
      </w:pPr>
    </w:p>
    <w:p w14:paraId="14F0E217">
      <w:pPr>
        <w:spacing w:before="0" w:after="160" w:line="240" w:lineRule="auto"/>
        <w:rPr>
          <w:sz w:val="32"/>
        </w:rPr>
      </w:pPr>
      <w:r>
        <w:rPr>
          <w:rFonts w:asciiTheme="minorHAnsi" w:hAnsiTheme="minorHAnsi"/>
          <w:sz w:val="32"/>
        </w:rPr>
        <w:t>Student Number: 2642837</w:t>
      </w:r>
    </w:p>
    <w:p w14:paraId="781E5BB4">
      <w:pPr>
        <w:spacing w:before="0" w:after="0" w:line="20" w:lineRule="exact"/>
        <w:rPr>
          <w:rFonts w:asciiTheme="minorHAnsi" w:hAnsiTheme="minorHAnsi"/>
          <w:sz w:val="32"/>
        </w:rPr>
      </w:pPr>
    </w:p>
    <w:p w14:paraId="3FB0EFF1">
      <w:pPr>
        <w:spacing w:before="0" w:after="160" w:line="240" w:lineRule="auto"/>
        <w:rPr>
          <w:rFonts w:asciiTheme="minorHAnsi" w:hAnsiTheme="minorHAnsi"/>
          <w:sz w:val="32"/>
        </w:rPr>
      </w:pPr>
      <w:r>
        <w:rPr>
          <w:rFonts w:asciiTheme="minorHAnsi" w:hAnsiTheme="minorHAnsi"/>
          <w:sz w:val="32"/>
        </w:rPr>
        <w:t>Module Code: 6CS007</w:t>
      </w:r>
    </w:p>
    <w:p w14:paraId="01F1CB98">
      <w:pPr>
        <w:spacing w:before="0" w:after="0" w:line="20" w:lineRule="exact"/>
        <w:rPr>
          <w:rFonts w:asciiTheme="minorHAnsi" w:hAnsiTheme="minorHAnsi"/>
          <w:sz w:val="32"/>
        </w:rPr>
      </w:pPr>
    </w:p>
    <w:p w14:paraId="341C2DEF">
      <w:pPr>
        <w:spacing w:before="0" w:after="160" w:line="240" w:lineRule="auto"/>
        <w:rPr>
          <w:rFonts w:asciiTheme="minorHAnsi" w:hAnsiTheme="minorHAnsi"/>
          <w:sz w:val="32"/>
        </w:rPr>
      </w:pPr>
      <w:r>
        <w:rPr>
          <w:rFonts w:asciiTheme="minorHAnsi" w:hAnsiTheme="minorHAnsi"/>
          <w:sz w:val="32"/>
        </w:rPr>
        <w:t>Module Name: Project and Professionalism</w:t>
      </w:r>
    </w:p>
    <w:p w14:paraId="381AE7A5">
      <w:pPr>
        <w:spacing w:before="0" w:after="0" w:line="20" w:lineRule="exact"/>
        <w:rPr>
          <w:rFonts w:asciiTheme="minorHAnsi" w:hAnsiTheme="minorHAnsi"/>
          <w:sz w:val="32"/>
        </w:rPr>
      </w:pPr>
    </w:p>
    <w:p w14:paraId="7B3569CC">
      <w:pPr>
        <w:spacing w:before="0" w:after="160" w:line="240" w:lineRule="auto"/>
        <w:rPr>
          <w:rFonts w:asciiTheme="minorHAnsi" w:hAnsiTheme="minorHAnsi"/>
          <w:sz w:val="32"/>
        </w:rPr>
      </w:pPr>
      <w:r>
        <w:rPr>
          <w:rFonts w:asciiTheme="minorHAnsi" w:hAnsiTheme="minorHAnsi"/>
          <w:sz w:val="30"/>
        </w:rPr>
        <w:t>Project Title: An AI-Assisted Chest X-ray Training Companion for Student Radiologists Using MedGemma and Retrieval-Augmented Generation</w:t>
      </w:r>
    </w:p>
    <w:p w14:paraId="4B28B48A">
      <w:pPr>
        <w:spacing w:before="0" w:after="0" w:line="20" w:lineRule="exact"/>
        <w:rPr>
          <w:rFonts w:asciiTheme="minorHAnsi" w:hAnsiTheme="minorHAnsi"/>
          <w:sz w:val="32"/>
        </w:rPr>
      </w:pPr>
    </w:p>
    <w:p w14:paraId="73A2EEAB">
      <w:pPr>
        <w:spacing w:before="0" w:after="160" w:line="240" w:lineRule="auto"/>
        <w:rPr>
          <w:rFonts w:asciiTheme="minorHAnsi" w:hAnsiTheme="minorHAnsi"/>
          <w:sz w:val="32"/>
        </w:rPr>
      </w:pPr>
      <w:r>
        <w:rPr>
          <w:rFonts w:asciiTheme="minorHAnsi" w:hAnsiTheme="minorHAnsi"/>
          <w:sz w:val="32"/>
        </w:rPr>
        <w:t>Module Leader Name: Mr. Dhishan Dhammearatchi</w:t>
      </w:r>
    </w:p>
    <w:p w14:paraId="4CAAFC79">
      <w:pPr>
        <w:spacing w:before="0" w:after="0" w:line="20" w:lineRule="exact"/>
        <w:rPr>
          <w:rFonts w:asciiTheme="minorHAnsi" w:hAnsiTheme="minorHAnsi"/>
          <w:sz w:val="32"/>
        </w:rPr>
      </w:pPr>
    </w:p>
    <w:p w14:paraId="56A48C97">
      <w:pPr>
        <w:spacing w:before="0" w:after="160" w:line="240" w:lineRule="auto"/>
        <w:rPr>
          <w:rFonts w:asciiTheme="minorHAnsi" w:hAnsiTheme="minorHAnsi"/>
          <w:sz w:val="32"/>
        </w:rPr>
      </w:pPr>
      <w:r>
        <w:rPr>
          <w:rFonts w:asciiTheme="minorHAnsi" w:hAnsiTheme="minorHAnsi"/>
          <w:sz w:val="32"/>
        </w:rPr>
        <w:t>Supervisor Name: Mr. Harindu Mansaka</w:t>
      </w:r>
    </w:p>
    <w:p w14:paraId="01B26682">
      <w:pPr>
        <w:spacing w:before="0" w:after="0" w:line="20" w:lineRule="exact"/>
        <w:rPr>
          <w:rFonts w:asciiTheme="minorHAnsi" w:hAnsiTheme="minorHAnsi"/>
          <w:sz w:val="32"/>
        </w:rPr>
      </w:pPr>
    </w:p>
    <w:p w14:paraId="3413410D">
      <w:pPr>
        <w:spacing w:before="0" w:after="160" w:line="240" w:lineRule="auto"/>
        <w:rPr>
          <w:rFonts w:hint="default" w:asciiTheme="minorHAnsi" w:hAnsiTheme="minorHAnsi"/>
          <w:sz w:val="32"/>
          <w:lang w:val="en-US"/>
        </w:rPr>
      </w:pPr>
      <w:r>
        <w:rPr>
          <w:rFonts w:asciiTheme="minorHAnsi" w:hAnsiTheme="minorHAnsi"/>
          <w:sz w:val="32"/>
        </w:rPr>
        <w:t>Reader Name:</w:t>
      </w:r>
      <w:r>
        <w:rPr>
          <w:rFonts w:hint="default" w:asciiTheme="minorHAnsi" w:hAnsiTheme="minorHAnsi"/>
          <w:sz w:val="32"/>
          <w:lang w:val="en-US"/>
        </w:rPr>
        <w:t xml:space="preserve"> Ms. Shanika Ekanayake</w:t>
      </w:r>
    </w:p>
    <w:p w14:paraId="61B34F90">
      <w:pPr>
        <w:spacing w:before="0" w:after="0" w:line="20" w:lineRule="exact"/>
        <w:rPr>
          <w:rFonts w:asciiTheme="minorHAnsi" w:hAnsiTheme="minorHAnsi"/>
          <w:sz w:val="32"/>
        </w:rPr>
      </w:pPr>
    </w:p>
    <w:p w14:paraId="37002EDD">
      <w:pPr>
        <w:spacing w:before="0" w:after="160" w:line="240" w:lineRule="auto"/>
        <w:rPr>
          <w:rFonts w:hint="default" w:asciiTheme="minorHAnsi" w:hAnsiTheme="minorHAnsi"/>
          <w:sz w:val="32"/>
          <w:lang w:val="en-US"/>
        </w:rPr>
      </w:pPr>
      <w:r>
        <w:rPr>
          <w:rFonts w:asciiTheme="minorHAnsi" w:hAnsiTheme="minorHAnsi"/>
          <w:sz w:val="32"/>
        </w:rPr>
        <w:t>Submission Date:</w:t>
      </w:r>
      <w:r>
        <w:rPr>
          <w:rFonts w:hint="default" w:asciiTheme="minorHAnsi" w:hAnsiTheme="minorHAnsi"/>
          <w:sz w:val="32"/>
          <w:lang w:val="en-US"/>
        </w:rPr>
        <w:t xml:space="preserve"> </w:t>
      </w:r>
      <w:r>
        <w:rPr>
          <w:rFonts w:asciiTheme="minorHAnsi" w:hAnsiTheme="minorHAnsi"/>
          <w:sz w:val="32"/>
        </w:rPr>
        <w:t>2026/07/1</w:t>
      </w:r>
      <w:r>
        <w:rPr>
          <w:rFonts w:hint="default" w:asciiTheme="minorHAnsi" w:hAnsiTheme="minorHAnsi"/>
          <w:sz w:val="32"/>
          <w:lang w:val="en-US"/>
        </w:rPr>
        <w:t>9</w:t>
      </w:r>
    </w:p>
    <w:p w14:paraId="70D7117C">
      <w:pPr>
        <w:spacing w:before="0" w:after="0" w:line="20" w:lineRule="exact"/>
        <w:rPr>
          <w:rFonts w:asciiTheme="minorHAnsi" w:hAnsiTheme="minorHAnsi"/>
          <w:sz w:val="32"/>
        </w:rPr>
      </w:pPr>
    </w:p>
    <w:p w14:paraId="05C6AE79">
      <w:pPr>
        <w:tabs>
          <w:tab w:val="left" w:pos="2160"/>
        </w:tabs>
        <w:spacing w:before="0" w:after="160" w:line="240" w:lineRule="auto"/>
        <w:ind w:left="2160" w:hanging="2160"/>
        <w:rPr>
          <w:rFonts w:asciiTheme="minorHAnsi" w:hAnsiTheme="minorHAnsi"/>
          <w:i/>
          <w:sz w:val="32"/>
        </w:rPr>
      </w:pPr>
      <w:r>
        <w:rPr>
          <w:rFonts w:asciiTheme="minorHAnsi" w:hAnsiTheme="minorHAnsi"/>
          <w:sz w:val="32"/>
        </w:rPr>
        <w:t>Award Title : BSc (Hons) Computer Science in Software Engineering (TopUp)</w:t>
      </w:r>
    </w:p>
    <w:p w14:paraId="4ECEBB19">
      <w:pPr>
        <w:spacing w:before="0" w:after="0" w:line="20" w:lineRule="exact"/>
      </w:pPr>
      <w:r>
        <w:rPr>
          <w:sz w:val="2"/>
        </w:rPr>
        <w:br w:type="page"/>
      </w:r>
    </w:p>
    <w:p w14:paraId="47C7BC61">
      <w:pPr>
        <w:pStyle w:val="2"/>
      </w:pPr>
      <w:r>
        <w:rPr>
          <w:rFonts w:ascii="Times New Roman" w:hAnsi="Times New Roman"/>
        </w:rPr>
        <w:t>Table of Contents</w:t>
      </w:r>
    </w:p>
    <w:p w14:paraId="4E8337A3">
      <w:pPr>
        <w:tabs>
          <w:tab w:val="left" w:pos="792"/>
          <w:tab w:val="right" w:pos="9144"/>
        </w:tabs>
        <w:spacing w:after="20"/>
        <w:ind w:left="0"/>
      </w:pPr>
      <w:r>
        <w:rPr>
          <w:rFonts w:ascii="Times New Roman" w:hAnsi="Times New Roman"/>
        </w:rPr>
        <w:t>1</w:t>
      </w:r>
      <w:r>
        <w:rPr>
          <w:rFonts w:ascii="Times New Roman" w:hAnsi="Times New Roman"/>
        </w:rPr>
        <w:tab/>
      </w:r>
      <w:r>
        <w:rPr>
          <w:rFonts w:ascii="Times New Roman" w:hAnsi="Times New Roman"/>
        </w:rPr>
        <w:t>Abstract</w:t>
      </w:r>
      <w:r>
        <w:rPr>
          <w:rFonts w:ascii="Times New Roman" w:hAnsi="Times New Roman"/>
        </w:rPr>
        <w:tab/>
      </w:r>
      <w:r>
        <w:rPr>
          <w:rFonts w:ascii="Times New Roman" w:hAnsi="Times New Roman"/>
        </w:rPr>
        <w:t>3</w:t>
      </w:r>
    </w:p>
    <w:p w14:paraId="190EE75D">
      <w:pPr>
        <w:tabs>
          <w:tab w:val="left" w:pos="792"/>
          <w:tab w:val="right" w:pos="9144"/>
        </w:tabs>
        <w:spacing w:after="20"/>
        <w:ind w:left="0"/>
      </w:pPr>
      <w:r>
        <w:rPr>
          <w:rFonts w:ascii="Times New Roman" w:hAnsi="Times New Roman"/>
        </w:rPr>
        <w:t>2</w:t>
      </w:r>
      <w:r>
        <w:rPr>
          <w:rFonts w:ascii="Times New Roman" w:hAnsi="Times New Roman"/>
        </w:rPr>
        <w:tab/>
      </w:r>
      <w:r>
        <w:rPr>
          <w:rFonts w:ascii="Times New Roman" w:hAnsi="Times New Roman"/>
        </w:rPr>
        <w:t>Literature Review</w:t>
      </w:r>
      <w:r>
        <w:rPr>
          <w:rFonts w:ascii="Times New Roman" w:hAnsi="Times New Roman"/>
        </w:rPr>
        <w:tab/>
      </w:r>
      <w:r>
        <w:rPr>
          <w:rFonts w:ascii="Times New Roman" w:hAnsi="Times New Roman"/>
        </w:rPr>
        <w:t>3</w:t>
      </w:r>
    </w:p>
    <w:p w14:paraId="00441F9F">
      <w:pPr>
        <w:tabs>
          <w:tab w:val="left" w:pos="792"/>
          <w:tab w:val="right" w:pos="9144"/>
        </w:tabs>
        <w:spacing w:after="20"/>
        <w:ind w:left="317"/>
      </w:pPr>
      <w:r>
        <w:rPr>
          <w:rFonts w:ascii="Times New Roman" w:hAnsi="Times New Roman"/>
        </w:rPr>
        <w:t>2.1</w:t>
      </w:r>
      <w:r>
        <w:rPr>
          <w:rFonts w:ascii="Times New Roman" w:hAnsi="Times New Roman"/>
        </w:rPr>
        <w:tab/>
      </w:r>
      <w:r>
        <w:rPr>
          <w:rFonts w:ascii="Times New Roman" w:hAnsi="Times New Roman"/>
        </w:rPr>
        <w:t>Introduction</w:t>
      </w:r>
      <w:r>
        <w:rPr>
          <w:rFonts w:ascii="Times New Roman" w:hAnsi="Times New Roman"/>
        </w:rPr>
        <w:tab/>
      </w:r>
      <w:r>
        <w:rPr>
          <w:rFonts w:ascii="Times New Roman" w:hAnsi="Times New Roman"/>
        </w:rPr>
        <w:t>3</w:t>
      </w:r>
    </w:p>
    <w:p w14:paraId="27CB2C75">
      <w:pPr>
        <w:tabs>
          <w:tab w:val="left" w:pos="792"/>
          <w:tab w:val="right" w:pos="9144"/>
        </w:tabs>
        <w:spacing w:after="20"/>
        <w:ind w:left="317"/>
      </w:pPr>
      <w:r>
        <w:rPr>
          <w:rFonts w:ascii="Times New Roman" w:hAnsi="Times New Roman"/>
        </w:rPr>
        <w:t>2.2</w:t>
      </w:r>
      <w:r>
        <w:rPr>
          <w:rFonts w:ascii="Times New Roman" w:hAnsi="Times New Roman"/>
        </w:rPr>
        <w:tab/>
      </w:r>
      <w:r>
        <w:rPr>
          <w:rFonts w:ascii="Times New Roman" w:hAnsi="Times New Roman"/>
        </w:rPr>
        <w:t>Review of Existing Systems / Similar Work</w:t>
      </w:r>
      <w:r>
        <w:rPr>
          <w:rFonts w:ascii="Times New Roman" w:hAnsi="Times New Roman"/>
        </w:rPr>
        <w:tab/>
      </w:r>
      <w:r>
        <w:rPr>
          <w:rFonts w:ascii="Times New Roman" w:hAnsi="Times New Roman"/>
        </w:rPr>
        <w:t>3</w:t>
      </w:r>
    </w:p>
    <w:p w14:paraId="0ED3F7E2">
      <w:pPr>
        <w:tabs>
          <w:tab w:val="left" w:pos="792"/>
          <w:tab w:val="right" w:pos="9144"/>
        </w:tabs>
        <w:spacing w:after="20"/>
        <w:ind w:left="317"/>
      </w:pPr>
      <w:r>
        <w:rPr>
          <w:rFonts w:ascii="Times New Roman" w:hAnsi="Times New Roman"/>
        </w:rPr>
        <w:t>2.3</w:t>
      </w:r>
      <w:r>
        <w:rPr>
          <w:rFonts w:ascii="Times New Roman" w:hAnsi="Times New Roman"/>
        </w:rPr>
        <w:tab/>
      </w:r>
      <w:r>
        <w:rPr>
          <w:rFonts w:ascii="Times New Roman" w:hAnsi="Times New Roman"/>
        </w:rPr>
        <w:t>Review of Related Concepts and Theories</w:t>
      </w:r>
      <w:r>
        <w:rPr>
          <w:rFonts w:ascii="Times New Roman" w:hAnsi="Times New Roman"/>
        </w:rPr>
        <w:tab/>
      </w:r>
      <w:r>
        <w:rPr>
          <w:rFonts w:ascii="Times New Roman" w:hAnsi="Times New Roman"/>
        </w:rPr>
        <w:t>4</w:t>
      </w:r>
    </w:p>
    <w:p w14:paraId="137A09EE">
      <w:pPr>
        <w:tabs>
          <w:tab w:val="left" w:pos="792"/>
          <w:tab w:val="right" w:pos="9144"/>
        </w:tabs>
        <w:spacing w:after="20"/>
        <w:ind w:left="317"/>
        <w:rPr>
          <w:rFonts w:hint="default"/>
          <w:lang w:val="en-US"/>
        </w:rPr>
      </w:pPr>
      <w:r>
        <w:rPr>
          <w:rFonts w:ascii="Times New Roman" w:hAnsi="Times New Roman"/>
        </w:rPr>
        <w:t>2.4</w:t>
      </w:r>
      <w:r>
        <w:rPr>
          <w:rFonts w:ascii="Times New Roman" w:hAnsi="Times New Roman"/>
        </w:rPr>
        <w:tab/>
      </w:r>
      <w:r>
        <w:rPr>
          <w:rFonts w:ascii="Times New Roman" w:hAnsi="Times New Roman"/>
        </w:rPr>
        <w:t>Research Gap</w:t>
      </w:r>
      <w:r>
        <w:rPr>
          <w:rFonts w:ascii="Times New Roman" w:hAnsi="Times New Roman"/>
        </w:rPr>
        <w:tab/>
      </w:r>
      <w:r>
        <w:rPr>
          <w:rFonts w:hint="default"/>
          <w:lang w:val="en-US"/>
        </w:rPr>
        <w:t>5</w:t>
      </w:r>
    </w:p>
    <w:p w14:paraId="6797D559">
      <w:pPr>
        <w:tabs>
          <w:tab w:val="left" w:pos="792"/>
          <w:tab w:val="right" w:pos="9144"/>
        </w:tabs>
        <w:spacing w:after="20"/>
        <w:ind w:left="317"/>
      </w:pPr>
      <w:r>
        <w:rPr>
          <w:rFonts w:ascii="Times New Roman" w:hAnsi="Times New Roman"/>
        </w:rPr>
        <w:t>2.5</w:t>
      </w:r>
      <w:r>
        <w:rPr>
          <w:rFonts w:ascii="Times New Roman" w:hAnsi="Times New Roman"/>
        </w:rPr>
        <w:tab/>
      </w:r>
      <w:r>
        <w:rPr>
          <w:rFonts w:ascii="Times New Roman" w:hAnsi="Times New Roman"/>
        </w:rPr>
        <w:t>Justification / Significance of the Study</w:t>
      </w:r>
      <w:r>
        <w:rPr>
          <w:rFonts w:ascii="Times New Roman" w:hAnsi="Times New Roman"/>
        </w:rPr>
        <w:tab/>
      </w:r>
      <w:r>
        <w:rPr>
          <w:rFonts w:ascii="Times New Roman" w:hAnsi="Times New Roman"/>
        </w:rPr>
        <w:t>5</w:t>
      </w:r>
    </w:p>
    <w:p w14:paraId="5DE164F2">
      <w:pPr>
        <w:tabs>
          <w:tab w:val="left" w:pos="792"/>
          <w:tab w:val="right" w:pos="9144"/>
        </w:tabs>
        <w:spacing w:after="20"/>
        <w:ind w:left="317"/>
      </w:pPr>
      <w:r>
        <w:rPr>
          <w:rFonts w:ascii="Times New Roman" w:hAnsi="Times New Roman"/>
        </w:rPr>
        <w:t>2.6</w:t>
      </w:r>
      <w:r>
        <w:rPr>
          <w:rFonts w:ascii="Times New Roman" w:hAnsi="Times New Roman"/>
        </w:rPr>
        <w:tab/>
      </w:r>
      <w:r>
        <w:rPr>
          <w:rFonts w:ascii="Times New Roman" w:hAnsi="Times New Roman"/>
        </w:rPr>
        <w:t>Summary</w:t>
      </w:r>
      <w:r>
        <w:rPr>
          <w:rFonts w:ascii="Times New Roman" w:hAnsi="Times New Roman"/>
        </w:rPr>
        <w:tab/>
      </w:r>
      <w:r>
        <w:rPr>
          <w:rFonts w:ascii="Times New Roman" w:hAnsi="Times New Roman"/>
        </w:rPr>
        <w:t>5</w:t>
      </w:r>
    </w:p>
    <w:p w14:paraId="2A60BE2F">
      <w:pPr>
        <w:tabs>
          <w:tab w:val="left" w:pos="792"/>
          <w:tab w:val="right" w:pos="9144"/>
        </w:tabs>
        <w:spacing w:after="20"/>
        <w:ind w:left="0"/>
        <w:rPr>
          <w:rFonts w:hint="default"/>
          <w:lang w:val="en-US"/>
        </w:rPr>
      </w:pPr>
      <w:r>
        <w:rPr>
          <w:rFonts w:ascii="Times New Roman" w:hAnsi="Times New Roman"/>
        </w:rPr>
        <w:t>3</w:t>
      </w:r>
      <w:r>
        <w:rPr>
          <w:rFonts w:ascii="Times New Roman" w:hAnsi="Times New Roman"/>
        </w:rPr>
        <w:tab/>
      </w:r>
      <w:r>
        <w:rPr>
          <w:rFonts w:ascii="Times New Roman" w:hAnsi="Times New Roman"/>
        </w:rPr>
        <w:t>Findings</w:t>
      </w:r>
      <w:r>
        <w:rPr>
          <w:rFonts w:ascii="Times New Roman" w:hAnsi="Times New Roman"/>
        </w:rPr>
        <w:tab/>
      </w:r>
      <w:r>
        <w:rPr>
          <w:rFonts w:hint="default"/>
          <w:lang w:val="en-US"/>
        </w:rPr>
        <w:t>6</w:t>
      </w:r>
    </w:p>
    <w:p w14:paraId="04192201">
      <w:pPr>
        <w:tabs>
          <w:tab w:val="left" w:pos="792"/>
          <w:tab w:val="right" w:pos="9144"/>
        </w:tabs>
        <w:spacing w:after="20"/>
        <w:ind w:left="0"/>
      </w:pPr>
      <w:r>
        <w:rPr>
          <w:rFonts w:ascii="Times New Roman" w:hAnsi="Times New Roman"/>
        </w:rPr>
        <w:t>4</w:t>
      </w:r>
      <w:r>
        <w:rPr>
          <w:rFonts w:ascii="Times New Roman" w:hAnsi="Times New Roman"/>
        </w:rPr>
        <w:tab/>
      </w:r>
      <w:r>
        <w:rPr>
          <w:rFonts w:ascii="Times New Roman" w:hAnsi="Times New Roman"/>
        </w:rPr>
        <w:t>References</w:t>
      </w:r>
      <w:r>
        <w:rPr>
          <w:rFonts w:ascii="Times New Roman" w:hAnsi="Times New Roman"/>
        </w:rPr>
        <w:tab/>
      </w:r>
      <w:r>
        <w:rPr>
          <w:rFonts w:hint="default"/>
          <w:lang w:val="en-US"/>
        </w:rPr>
        <w:t>7</w:t>
      </w:r>
      <w:r>
        <w:br w:type="page"/>
      </w:r>
    </w:p>
    <w:p w14:paraId="29CF56AB">
      <w:pPr>
        <w:pStyle w:val="2"/>
      </w:pPr>
      <w:r>
        <w:rPr>
          <w:rFonts w:ascii="Times New Roman" w:hAnsi="Times New Roman"/>
        </w:rPr>
        <w:t>1. Abstract</w:t>
      </w:r>
    </w:p>
    <w:p w14:paraId="14AFA193">
      <w:pPr>
        <w:jc w:val="both"/>
      </w:pPr>
      <w:r>
        <w:rPr>
          <w:rFonts w:ascii="Times New Roman" w:hAnsi="Times New Roman"/>
        </w:rPr>
        <w:t xml:space="preserve">This literature review examines research supporting a student-in-the-loop chest X-ray (CXR) training companion using MedGemma and Retrieval-Augmented Generation (RAG). It reviews CXR vision-language models, public datasets, biomedical RAG studies, agentic imaging systems and evaluation approaches. Current systems can interpret images, answer CXR questions and ground text generation in external sources, but they mainly focus on clinical reporting, decision support or </w:t>
      </w:r>
      <w:r>
        <w:rPr>
          <w:lang w:val="en-US"/>
        </w:rPr>
        <w:t>bench-marking</w:t>
      </w:r>
      <w:r>
        <w:rPr>
          <w:rFonts w:ascii="Times New Roman" w:hAnsi="Times New Roman"/>
        </w:rPr>
        <w:t>. The project gap is educational: giving structured feedback after a student attempts a case.</w:t>
      </w:r>
    </w:p>
    <w:p w14:paraId="69F78C04">
      <w:pPr>
        <w:pStyle w:val="2"/>
      </w:pPr>
      <w:r>
        <w:rPr>
          <w:rFonts w:ascii="Times New Roman" w:hAnsi="Times New Roman"/>
        </w:rPr>
        <w:t>2. Literature Review</w:t>
      </w:r>
    </w:p>
    <w:p w14:paraId="1A791970">
      <w:pPr>
        <w:pStyle w:val="3"/>
      </w:pPr>
      <w:r>
        <w:rPr>
          <w:rFonts w:ascii="Times New Roman" w:hAnsi="Times New Roman"/>
        </w:rPr>
        <w:t>2.1 Introduction</w:t>
      </w:r>
    </w:p>
    <w:p w14:paraId="4BBDBCF5">
      <w:pPr>
        <w:jc w:val="both"/>
      </w:pPr>
      <w:r>
        <w:rPr>
          <w:rFonts w:ascii="Times New Roman" w:hAnsi="Times New Roman"/>
        </w:rPr>
        <w:t xml:space="preserve">Chest X-ray interpretation is useful for AI-assisted learning because it combines visual inspection with written clinical reasoning. Students need to name findings, identify the signs behind them, consider alternatives and </w:t>
      </w:r>
      <w:r>
        <w:rPr>
          <w:lang w:val="en-US"/>
        </w:rPr>
        <w:t>recognize</w:t>
      </w:r>
      <w:r>
        <w:rPr>
          <w:rFonts w:ascii="Times New Roman" w:hAnsi="Times New Roman"/>
        </w:rPr>
        <w:t xml:space="preserve"> missed clues. This review expands the proposal by comparing CXR datasets, CXR-specific vision-language systems, biomedical VLMs, healthcare RAG reviews and agentic medical imaging systems, with attention to evaluation metrics, </w:t>
      </w:r>
      <w:r>
        <w:rPr>
          <w:lang w:val="en-US"/>
        </w:rPr>
        <w:t>dataset's</w:t>
      </w:r>
      <w:r>
        <w:rPr>
          <w:rFonts w:ascii="Times New Roman" w:hAnsi="Times New Roman"/>
        </w:rPr>
        <w:t xml:space="preserve"> weaknesses, feedback quality and suitability for teaching. It considers whether their methods and evaluation styles are suitable for a student-facing training companion.</w:t>
      </w:r>
    </w:p>
    <w:p w14:paraId="447BBFEE">
      <w:pPr>
        <w:pStyle w:val="3"/>
      </w:pPr>
      <w:r>
        <w:rPr>
          <w:rFonts w:ascii="Times New Roman" w:hAnsi="Times New Roman"/>
        </w:rPr>
        <w:t>2.2 Review of Existing Systems / Similar Work</w:t>
      </w:r>
    </w:p>
    <w:p w14:paraId="520DB9A7">
      <w:pPr>
        <w:jc w:val="both"/>
      </w:pPr>
      <w:r>
        <w:rPr>
          <w:rFonts w:ascii="Times New Roman" w:hAnsi="Times New Roman"/>
        </w:rPr>
        <w:t xml:space="preserve">CXR-LLaVA and CheXagent are central examples of CXR-focused </w:t>
      </w:r>
      <w:r>
        <w:rPr>
          <w:lang w:val="en-US"/>
        </w:rPr>
        <w:t>multi-modal</w:t>
      </w:r>
      <w:r>
        <w:rPr>
          <w:rFonts w:ascii="Times New Roman" w:hAnsi="Times New Roman"/>
        </w:rPr>
        <w:t xml:space="preserve"> models. CXR-LLaVA adapts a vision-language assistant to radiology images and links CXR images with explanatory text (Lee et al., 2025). CheXagent aims for foundation-model behaviour in chest X-ray interpretation (Chen et al., 2024). These papers support using a model such as MedGemma for image-to-text reasoning. Their limitation is that output is mainly judged as interpretation or report-style performance, rather than as feedback after a student submits an answer.</w:t>
      </w:r>
    </w:p>
    <w:p w14:paraId="087E78DA">
      <w:pPr>
        <w:jc w:val="both"/>
      </w:pPr>
      <w:r>
        <w:rPr>
          <w:rFonts w:ascii="Times New Roman" w:hAnsi="Times New Roman"/>
        </w:rPr>
        <w:t xml:space="preserve">Benchmark and </w:t>
      </w:r>
      <w:r>
        <w:rPr>
          <w:lang w:val="en-US"/>
        </w:rPr>
        <w:t>localization</w:t>
      </w:r>
      <w:r>
        <w:rPr>
          <w:rFonts w:ascii="Times New Roman" w:hAnsi="Times New Roman"/>
        </w:rPr>
        <w:t xml:space="preserve"> studies add another perspective. ReXVQA focuses on visual question answering, which may support targeted CXR questions (Pal et al., 2025). Gosai et al. (2025) examine pathology </w:t>
      </w:r>
      <w:r>
        <w:rPr>
          <w:lang w:val="en-US"/>
        </w:rPr>
        <w:t>localization</w:t>
      </w:r>
      <w:r>
        <w:rPr>
          <w:rFonts w:ascii="Times New Roman" w:hAnsi="Times New Roman"/>
        </w:rPr>
        <w:t xml:space="preserve">, moving beyond naming a disease toward identifying the abnormal region. This matters for education because students often struggle with visual evidence as well as labels. A weakness is that VQA accuracy or </w:t>
      </w:r>
      <w:r>
        <w:rPr>
          <w:lang w:val="en-US"/>
        </w:rPr>
        <w:t>localization</w:t>
      </w:r>
      <w:r>
        <w:rPr>
          <w:rFonts w:ascii="Times New Roman" w:hAnsi="Times New Roman"/>
        </w:rPr>
        <w:t xml:space="preserve"> performance does not prove that feedback is pedagogically useful. A model may answer correctly while giving an explanation that is vague or poorly matched to the learner's mistake.</w:t>
      </w:r>
    </w:p>
    <w:p w14:paraId="278BB399">
      <w:pPr>
        <w:jc w:val="both"/>
      </w:pPr>
      <w:r>
        <w:rPr>
          <w:rFonts w:ascii="Times New Roman" w:hAnsi="Times New Roman"/>
        </w:rPr>
        <w:t>Agentic systems such as CXRAgent and multi-agent RAG frameworks show how workflows can coordinate several reasoning stages (Lou et al., 2025; Pambudi and Menolascina, 2025; Mugambiwa and Ndlovu, 2026). They help explain possible architectures where retrieval, model reasoning and final response generation are separated. For an undergraduate prototype, their weakness is complexity. A simpler MedGemma + RAG design keeps the main comparison clear: model-only feedback against retrieval-grounded feedback.</w:t>
      </w:r>
    </w:p>
    <w:p w14:paraId="3CB731A2">
      <w:pPr>
        <w:pStyle w:val="3"/>
      </w:pPr>
      <w:r>
        <w:rPr>
          <w:rFonts w:ascii="Times New Roman" w:hAnsi="Times New Roman"/>
        </w:rPr>
        <w:t>2.3 Review of Related Concepts and Theories</w:t>
      </w:r>
    </w:p>
    <w:p w14:paraId="5AC94244">
      <w:pPr>
        <w:jc w:val="both"/>
      </w:pPr>
      <w:r>
        <w:rPr>
          <w:rFonts w:ascii="Times New Roman" w:hAnsi="Times New Roman"/>
        </w:rPr>
        <w:t xml:space="preserve">Medical VLMs provide the image reasoning basis for the proposed artefact. MedGemma is relevant because it is designed for medical image and text tasks, while LLaVA-Med shows how biomedical instruction tuning can adapt a general </w:t>
      </w:r>
      <w:r>
        <w:rPr>
          <w:lang w:val="en-US"/>
        </w:rPr>
        <w:t>multi-modal</w:t>
      </w:r>
      <w:r>
        <w:rPr>
          <w:rFonts w:ascii="Times New Roman" w:hAnsi="Times New Roman"/>
        </w:rPr>
        <w:t xml:space="preserve"> assistant to medical content (Sellergren et al., 2025; Li et al., 2023). These models are promising, but common metrics such as benchmark accuracy, report similarity, VQA scores and expert preference do not fully measure educational feedback quality. A student-facing tool needs clear, cautious explanations connected to visible signs.</w:t>
      </w:r>
    </w:p>
    <w:p w14:paraId="31731251">
      <w:pPr>
        <w:jc w:val="both"/>
      </w:pPr>
      <w:r>
        <w:rPr>
          <w:rFonts w:ascii="Times New Roman" w:hAnsi="Times New Roman"/>
        </w:rPr>
        <w:t>RAG addresses unsupported generation. Healthcare RAG reviews report that retrieval can improve factual grounding by conditioning answers on selected external passages (Abo El-Enen, Saad and Nazmy, 2025; Amugongo et al., 2025; Liu, McCoy and Wright, 2025). For this project, retrieval is useful because feedback should show why an answer is suggested. The main limitation is retrieval quality: a narrow, badly chunked or poorly indexed corpus may still produce confident but weakly supported feedback. Evaluation should include retrieval relevance and evidence use.</w:t>
      </w:r>
    </w:p>
    <w:p w14:paraId="6412399F">
      <w:pPr>
        <w:jc w:val="both"/>
      </w:pPr>
      <w:r>
        <w:rPr>
          <w:lang w:val="en-US"/>
        </w:rPr>
        <w:t>Datasets</w:t>
      </w:r>
      <w:r>
        <w:rPr>
          <w:rFonts w:ascii="Times New Roman" w:hAnsi="Times New Roman"/>
        </w:rPr>
        <w:t xml:space="preserve"> choice also shapes the project. ChestX-ray8 and MIMIC-CXR provide public, de-identified CXR data and have supported much of the field's progress (Wang et al., 2017; Johnson et al., 2019). They also carry limitations: ChestX-ray8 labels may be noisy, while MIMIC-CXR includes richer reports but requires careful access and interpretation. </w:t>
      </w:r>
      <w:r>
        <w:rPr>
          <w:lang w:val="en-US"/>
        </w:rPr>
        <w:t>Datasets</w:t>
      </w:r>
      <w:r>
        <w:rPr>
          <w:rFonts w:ascii="Times New Roman" w:hAnsi="Times New Roman"/>
        </w:rPr>
        <w:t xml:space="preserve"> labels may not match the explanation expected in teaching, so they should be treated as practice and evaluation references rather than perfect ground truth.</w:t>
      </w:r>
    </w:p>
    <w:p w14:paraId="701F98D0">
      <w:pPr>
        <w:pStyle w:val="3"/>
      </w:pPr>
      <w:r>
        <w:rPr>
          <w:rFonts w:ascii="Times New Roman" w:hAnsi="Times New Roman"/>
        </w:rPr>
        <w:t>2.4 Research Gap</w:t>
      </w:r>
    </w:p>
    <w:p w14:paraId="7784F95D">
      <w:pPr>
        <w:jc w:val="both"/>
      </w:pPr>
      <w:r>
        <w:rPr>
          <w:rFonts w:ascii="Times New Roman" w:hAnsi="Times New Roman"/>
        </w:rPr>
        <w:t xml:space="preserve">The main research gap is the limited connection between CXR interpretation models and formative learning design. Existing systems usually measure whether a model identifies a finding, answers a question or produces a plausible report. Fewer studies ask whether the response helps a learner understand their reasoning error. This creates a methodological gap for comparing MedGemma-only feedback with MedGemma + RAG feedback using criteria such as finding recognition, evidence grounding, retrieval relevance, clarity and learning usefulness. </w:t>
      </w:r>
      <w:r>
        <w:rPr>
          <w:lang w:val="en-US"/>
        </w:rPr>
        <w:t>Datasets</w:t>
      </w:r>
      <w:r>
        <w:rPr>
          <w:rFonts w:ascii="Times New Roman" w:hAnsi="Times New Roman"/>
        </w:rPr>
        <w:t xml:space="preserve"> uncertainty should also be acknowledged rather than presented as absolute clinical truth.</w:t>
      </w:r>
    </w:p>
    <w:p w14:paraId="0A2CE78A">
      <w:pPr>
        <w:pStyle w:val="3"/>
      </w:pPr>
      <w:r>
        <w:rPr>
          <w:rFonts w:ascii="Times New Roman" w:hAnsi="Times New Roman"/>
        </w:rPr>
        <w:t>2.5 Justification / Significance of the Study</w:t>
      </w:r>
    </w:p>
    <w:p w14:paraId="0ADF1789">
      <w:pPr>
        <w:jc w:val="both"/>
      </w:pPr>
      <w:r>
        <w:rPr>
          <w:rFonts w:ascii="Times New Roman" w:hAnsi="Times New Roman"/>
        </w:rPr>
        <w:t>This study is significant because it tests a lower-risk educational use of medical AI. Many reviewed sources move toward clinical support, but a final-year project should not claim diagnostic deployment. A student-in-the-loop companion is more appropriate because the learner first commits to an interpretation, then receives model-assisted feedback, retrieved evidence and a learning point. This responds to key weaknesses in the literature: benchmark scores do not show learning value, report generation does not guarantee good feedback, and retrieval is useful only when evidence is visible and relevant.</w:t>
      </w:r>
    </w:p>
    <w:p w14:paraId="1783AA6D">
      <w:pPr>
        <w:pStyle w:val="3"/>
      </w:pPr>
      <w:r>
        <w:rPr>
          <w:rFonts w:ascii="Times New Roman" w:hAnsi="Times New Roman"/>
        </w:rPr>
        <w:t>2.6 Summary</w:t>
      </w:r>
    </w:p>
    <w:p w14:paraId="6D93602C">
      <w:pPr>
        <w:jc w:val="both"/>
      </w:pPr>
      <w:r>
        <w:t>Overall, the literature supports the feasibility of a MedGemma + RAG prototype but also narrows how it should be built. CXR VLMs show that automated image-to-text reasoning is possible. RAG studies show that retrieval can improve grounding. Public datasets make controlled experimentation possible, while also introducing label and reporting limitations. The strongest direction for this project is a focused educational prototype with a small finding set, transparent retrieved evidence and an evaluation rubric that includes both technical and learning-centred criteria.</w:t>
      </w:r>
    </w:p>
    <w:p w14:paraId="0461AA25">
      <w:pPr>
        <w:pStyle w:val="2"/>
      </w:pPr>
      <w:r>
        <w:rPr>
          <w:rFonts w:ascii="Times New Roman" w:hAnsi="Times New Roman"/>
        </w:rPr>
        <w:t>3. Findings</w:t>
      </w:r>
    </w:p>
    <w:p w14:paraId="7F35C4A3">
      <w:pPr>
        <w:jc w:val="both"/>
      </w:pPr>
      <w:r>
        <w:t xml:space="preserve">The first finding is that the proposed system should be evaluated as an educational feedback tool, not as a diagnostic model. The reviewed papers often use technical metrics such as VQA accuracy, </w:t>
      </w:r>
      <w:r>
        <w:rPr>
          <w:lang w:val="en-US"/>
        </w:rPr>
        <w:t>localization</w:t>
      </w:r>
      <w:r>
        <w:t xml:space="preserve"> performance, report quality or benchmark scores. These are useful, but they do not show whether a student understands why their interpretation was incomplete. The evaluation should include feedback clarity, evidence grounding, retrieval relevance and usefulness for learning alongside finding recognition.</w:t>
      </w:r>
    </w:p>
    <w:p w14:paraId="7BB3B70E">
      <w:pPr>
        <w:jc w:val="both"/>
      </w:pPr>
      <w:r>
        <w:t xml:space="preserve">The second finding is that </w:t>
      </w:r>
      <w:r>
        <w:rPr>
          <w:lang w:val="en-US"/>
        </w:rPr>
        <w:t>datasets</w:t>
      </w:r>
      <w:r>
        <w:t xml:space="preserve"> limitations must be made explicit. ChestX-ray8 and MIMIC-CXR are valuable because they are public and widely used, but their labels and reports were not created specifically for this project's teaching workflow. A narrow set of findings is safer than trying to cover many abnormalities. The system should avoid claiming that </w:t>
      </w:r>
      <w:r>
        <w:rPr>
          <w:lang w:val="en-US"/>
        </w:rPr>
        <w:t>datasets</w:t>
      </w:r>
      <w:r>
        <w:t xml:space="preserve"> labels are perfect, and the discussion should explain how label quality may affect evaluation results.</w:t>
      </w:r>
    </w:p>
    <w:p w14:paraId="6426301C">
      <w:pPr>
        <w:jc w:val="both"/>
      </w:pPr>
      <w:r>
        <w:t xml:space="preserve">The third finding is that RAG is promising but not automatically reliable. Retrieval can improve grounding only when the corpus is relevant, well structured and traceable. The project should log retrieved passages, show sources to the student and assess whether the retrieved content actually supports the generated feedback. This makes the RAG component </w:t>
      </w:r>
      <w:r>
        <w:rPr>
          <w:lang w:val="en-US"/>
        </w:rPr>
        <w:t>assess-able</w:t>
      </w:r>
      <w:r>
        <w:t xml:space="preserve"> rather than decorative.</w:t>
      </w:r>
    </w:p>
    <w:p w14:paraId="55548568">
      <w:pPr>
        <w:jc w:val="both"/>
      </w:pPr>
      <w:r>
        <w:t>The final finding is that a simpler architecture is preferable. Agentic systems show interesting multi-stage reasoning, but they introduce extra complexity for a student-facing undergraduate prototype. A clear comparison between MedGemma-only and MedGemma + RAG feedback is easier to implement, easier to evaluate and better aligned with the research question. This gives the literature review a stronger role: it does not only describe previous work, but also justifies the project's scope and methodology.</w:t>
      </w:r>
    </w:p>
    <w:p w14:paraId="10E94EDD">
      <w:pPr>
        <w:pStyle w:val="2"/>
      </w:pPr>
      <w:r>
        <w:rPr>
          <w:rFonts w:ascii="Times New Roman" w:hAnsi="Times New Roman"/>
        </w:rPr>
        <w:t>4. References</w:t>
      </w:r>
    </w:p>
    <w:p w14:paraId="09D3B4AC">
      <w:pPr>
        <w:spacing w:after="80"/>
        <w:ind w:left="360" w:hanging="360"/>
      </w:pPr>
      <w:r>
        <w:rPr>
          <w:rFonts w:ascii="Times New Roman" w:hAnsi="Times New Roman"/>
        </w:rPr>
        <w:t xml:space="preserve">Abo El-Enen, M., Saad, S. and Nazmy, T. (2025) 'A survey on retrieval-augmentation generation (RAG) models for healthcare applications', Neural Computing and Applications. Available at: </w:t>
      </w:r>
      <w:r>
        <w:rPr>
          <w:rFonts w:ascii="Times New Roman" w:hAnsi="Times New Roman"/>
        </w:rPr>
        <w:fldChar w:fldCharType="begin"/>
      </w:r>
      <w:r>
        <w:rPr>
          <w:rFonts w:ascii="Times New Roman" w:hAnsi="Times New Roman"/>
        </w:rPr>
        <w:instrText xml:space="preserve"> HYPERLINK "https://doi.org/10.1007/s00521-025-11666-9" </w:instrText>
      </w:r>
      <w:r>
        <w:rPr>
          <w:rFonts w:ascii="Times New Roman" w:hAnsi="Times New Roman"/>
        </w:rPr>
        <w:fldChar w:fldCharType="separate"/>
      </w:r>
      <w:r>
        <w:rPr>
          <w:rStyle w:val="18"/>
          <w:rFonts w:ascii="Times New Roman" w:hAnsi="Times New Roman"/>
        </w:rPr>
        <w:t>https://doi.org/10.1007/s00521-025-11666-9</w:t>
      </w:r>
      <w:r>
        <w:rPr>
          <w:rFonts w:ascii="Times New Roman" w:hAnsi="Times New Roman"/>
        </w:rPr>
        <w:fldChar w:fldCharType="end"/>
      </w:r>
      <w:r>
        <w:rPr>
          <w:rFonts w:ascii="Times New Roman" w:hAnsi="Times New Roman"/>
        </w:rPr>
        <w:t xml:space="preserve"> (Accessed: 9 June 2026).</w:t>
      </w:r>
    </w:p>
    <w:p w14:paraId="019DEF2F">
      <w:pPr>
        <w:spacing w:after="80"/>
        <w:ind w:left="360" w:hanging="360"/>
      </w:pPr>
      <w:r>
        <w:rPr>
          <w:rFonts w:ascii="Times New Roman" w:hAnsi="Times New Roman"/>
        </w:rPr>
        <w:t xml:space="preserve">Amugongo, L.M., Mascheroni, P., Brooks, S., Doering, S. and Seidel, J. (2025) 'Retrieval augmented generation for large language models in healthcare: A systematic review', PLOS Digital Health, 4(6), e0000877. Available at: </w:t>
      </w:r>
      <w:r>
        <w:rPr>
          <w:rFonts w:ascii="Times New Roman" w:hAnsi="Times New Roman"/>
        </w:rPr>
        <w:fldChar w:fldCharType="begin"/>
      </w:r>
      <w:r>
        <w:rPr>
          <w:rFonts w:ascii="Times New Roman" w:hAnsi="Times New Roman"/>
        </w:rPr>
        <w:instrText xml:space="preserve"> HYPERLINK "https://doi.org/10.1371/journal.pdig.0000877" </w:instrText>
      </w:r>
      <w:r>
        <w:rPr>
          <w:rFonts w:ascii="Times New Roman" w:hAnsi="Times New Roman"/>
        </w:rPr>
        <w:fldChar w:fldCharType="separate"/>
      </w:r>
      <w:r>
        <w:rPr>
          <w:rStyle w:val="18"/>
          <w:rFonts w:ascii="Times New Roman" w:hAnsi="Times New Roman"/>
        </w:rPr>
        <w:t>https://doi.org/10.1371/journal.pdig.0000877</w:t>
      </w:r>
      <w:r>
        <w:rPr>
          <w:rFonts w:ascii="Times New Roman" w:hAnsi="Times New Roman"/>
        </w:rPr>
        <w:fldChar w:fldCharType="end"/>
      </w:r>
      <w:r>
        <w:rPr>
          <w:rFonts w:ascii="Times New Roman" w:hAnsi="Times New Roman"/>
        </w:rPr>
        <w:t xml:space="preserve"> (Accessed: 27 May 2026).</w:t>
      </w:r>
    </w:p>
    <w:p w14:paraId="11A14418">
      <w:pPr>
        <w:spacing w:after="80"/>
        <w:ind w:left="360" w:hanging="360"/>
      </w:pPr>
      <w:r>
        <w:rPr>
          <w:rFonts w:ascii="Times New Roman" w:hAnsi="Times New Roman"/>
        </w:rPr>
        <w:t xml:space="preserve">Chen, Z. et al. (2024) 'A vision-language foundation model to enhance efficiency of chest X-ray interpretation', arXiv:2401.12208. Available at: </w:t>
      </w:r>
      <w:r>
        <w:rPr>
          <w:rFonts w:ascii="Times New Roman" w:hAnsi="Times New Roman"/>
        </w:rPr>
        <w:fldChar w:fldCharType="begin"/>
      </w:r>
      <w:r>
        <w:rPr>
          <w:rFonts w:ascii="Times New Roman" w:hAnsi="Times New Roman"/>
        </w:rPr>
        <w:instrText xml:space="preserve"> HYPERLINK "https://doi.org/10.48550/arXiv.2401.12208" </w:instrText>
      </w:r>
      <w:r>
        <w:rPr>
          <w:rFonts w:ascii="Times New Roman" w:hAnsi="Times New Roman"/>
        </w:rPr>
        <w:fldChar w:fldCharType="separate"/>
      </w:r>
      <w:r>
        <w:rPr>
          <w:rStyle w:val="18"/>
          <w:rFonts w:ascii="Times New Roman" w:hAnsi="Times New Roman"/>
        </w:rPr>
        <w:t>https://doi.org/10.48550/arXiv.2401.12208</w:t>
      </w:r>
      <w:r>
        <w:rPr>
          <w:rFonts w:ascii="Times New Roman" w:hAnsi="Times New Roman"/>
        </w:rPr>
        <w:fldChar w:fldCharType="end"/>
      </w:r>
      <w:r>
        <w:rPr>
          <w:rFonts w:ascii="Times New Roman" w:hAnsi="Times New Roman"/>
        </w:rPr>
        <w:t xml:space="preserve"> (Accessed: 18 June 2026).</w:t>
      </w:r>
    </w:p>
    <w:p w14:paraId="7D11BD46">
      <w:pPr>
        <w:spacing w:after="80"/>
        <w:ind w:left="360" w:hanging="360"/>
      </w:pPr>
      <w:r>
        <w:rPr>
          <w:rFonts w:ascii="Times New Roman" w:hAnsi="Times New Roman"/>
        </w:rPr>
        <w:t xml:space="preserve">Collaco, B.G. et al. (2026) 'Integrating fine-tuning and retrieval-augmented generation for healthcare AI systems: A scoping review', Bioengineering, 13(2), 225. Available at: </w:t>
      </w:r>
      <w:r>
        <w:rPr>
          <w:rFonts w:ascii="Times New Roman" w:hAnsi="Times New Roman"/>
        </w:rPr>
        <w:fldChar w:fldCharType="begin"/>
      </w:r>
      <w:r>
        <w:rPr>
          <w:rFonts w:ascii="Times New Roman" w:hAnsi="Times New Roman"/>
        </w:rPr>
        <w:instrText xml:space="preserve"> HYPERLINK "https://doi.org/10.3390/bioengineering13020225" </w:instrText>
      </w:r>
      <w:r>
        <w:rPr>
          <w:rFonts w:ascii="Times New Roman" w:hAnsi="Times New Roman"/>
        </w:rPr>
        <w:fldChar w:fldCharType="separate"/>
      </w:r>
      <w:r>
        <w:rPr>
          <w:rStyle w:val="18"/>
          <w:rFonts w:ascii="Times New Roman" w:hAnsi="Times New Roman"/>
        </w:rPr>
        <w:t>https://doi.org/10.3390/bioengineering13020225</w:t>
      </w:r>
      <w:r>
        <w:rPr>
          <w:rFonts w:ascii="Times New Roman" w:hAnsi="Times New Roman"/>
        </w:rPr>
        <w:fldChar w:fldCharType="end"/>
      </w:r>
      <w:r>
        <w:rPr>
          <w:rFonts w:ascii="Times New Roman" w:hAnsi="Times New Roman"/>
        </w:rPr>
        <w:t xml:space="preserve"> (Accessed: 2 June 2026).</w:t>
      </w:r>
    </w:p>
    <w:p w14:paraId="38B0F0CF">
      <w:pPr>
        <w:spacing w:after="80"/>
        <w:ind w:left="360" w:hanging="360"/>
      </w:pPr>
      <w:r>
        <w:rPr>
          <w:rFonts w:ascii="Times New Roman" w:hAnsi="Times New Roman"/>
        </w:rPr>
        <w:t xml:space="preserve">Gosai, A. et al. (2025) 'Beyond diagnosis: Evaluating multimodal LLMs for pathology localization in chest radiographs', arXiv:2509.18015. Available at: </w:t>
      </w:r>
      <w:r>
        <w:rPr>
          <w:rFonts w:ascii="Times New Roman" w:hAnsi="Times New Roman"/>
        </w:rPr>
        <w:fldChar w:fldCharType="begin"/>
      </w:r>
      <w:r>
        <w:rPr>
          <w:rFonts w:ascii="Times New Roman" w:hAnsi="Times New Roman"/>
        </w:rPr>
        <w:instrText xml:space="preserve"> HYPERLINK "https://arxiv.org/abs/2509.18015" </w:instrText>
      </w:r>
      <w:r>
        <w:rPr>
          <w:rFonts w:ascii="Times New Roman" w:hAnsi="Times New Roman"/>
        </w:rPr>
        <w:fldChar w:fldCharType="separate"/>
      </w:r>
      <w:r>
        <w:rPr>
          <w:rStyle w:val="18"/>
          <w:rFonts w:ascii="Times New Roman" w:hAnsi="Times New Roman"/>
        </w:rPr>
        <w:t>https://arxiv.org/abs/2509.18015</w:t>
      </w:r>
      <w:r>
        <w:rPr>
          <w:rFonts w:ascii="Times New Roman" w:hAnsi="Times New Roman"/>
        </w:rPr>
        <w:fldChar w:fldCharType="end"/>
      </w:r>
      <w:r>
        <w:rPr>
          <w:rFonts w:ascii="Times New Roman" w:hAnsi="Times New Roman"/>
        </w:rPr>
        <w:t xml:space="preserve"> (Accessed: 13 June 2026).</w:t>
      </w:r>
    </w:p>
    <w:p w14:paraId="18548E9F">
      <w:pPr>
        <w:spacing w:after="80"/>
        <w:ind w:left="360" w:hanging="360"/>
      </w:pPr>
      <w:r>
        <w:rPr>
          <w:rFonts w:ascii="Times New Roman" w:hAnsi="Times New Roman"/>
        </w:rPr>
        <w:t xml:space="preserve">Johnson, A.E.W. et al. (2019) 'MIMIC-CXR, a de-identified publicly available database of chest radiographs with free-text reports', Scientific Data, 6, 317. Available at: </w:t>
      </w:r>
      <w:r>
        <w:rPr>
          <w:rFonts w:ascii="Times New Roman" w:hAnsi="Times New Roman"/>
        </w:rPr>
        <w:fldChar w:fldCharType="begin"/>
      </w:r>
      <w:r>
        <w:rPr>
          <w:rFonts w:ascii="Times New Roman" w:hAnsi="Times New Roman"/>
        </w:rPr>
        <w:instrText xml:space="preserve"> HYPERLINK "https://doi.org/10.1038/s41597-019-0322-0" </w:instrText>
      </w:r>
      <w:r>
        <w:rPr>
          <w:rFonts w:ascii="Times New Roman" w:hAnsi="Times New Roman"/>
        </w:rPr>
        <w:fldChar w:fldCharType="separate"/>
      </w:r>
      <w:r>
        <w:rPr>
          <w:rStyle w:val="18"/>
          <w:rFonts w:ascii="Times New Roman" w:hAnsi="Times New Roman"/>
        </w:rPr>
        <w:t>https://doi.org/10.1038/s41597-019-0322-0</w:t>
      </w:r>
      <w:r>
        <w:rPr>
          <w:rFonts w:ascii="Times New Roman" w:hAnsi="Times New Roman"/>
        </w:rPr>
        <w:fldChar w:fldCharType="end"/>
      </w:r>
      <w:r>
        <w:rPr>
          <w:rFonts w:ascii="Times New Roman" w:hAnsi="Times New Roman"/>
        </w:rPr>
        <w:t xml:space="preserve"> (Accessed: 5 June 2026).</w:t>
      </w:r>
    </w:p>
    <w:p w14:paraId="08815906">
      <w:pPr>
        <w:spacing w:after="80"/>
        <w:ind w:left="360" w:hanging="360"/>
      </w:pPr>
      <w:r>
        <w:rPr>
          <w:rFonts w:ascii="Times New Roman" w:hAnsi="Times New Roman"/>
        </w:rPr>
        <w:t xml:space="preserve">Lee, S., Youn, J., Kim, H., Kim, M. and Yoon, S.H. (2025) 'CXR-LLaVA: a multimodal large language model for interpreting chest X-ray images', European Radiology, 35(7), pp. 4374-4386. Available at: </w:t>
      </w:r>
      <w:r>
        <w:rPr>
          <w:rFonts w:ascii="Times New Roman" w:hAnsi="Times New Roman"/>
        </w:rPr>
        <w:fldChar w:fldCharType="begin"/>
      </w:r>
      <w:r>
        <w:rPr>
          <w:rFonts w:ascii="Times New Roman" w:hAnsi="Times New Roman"/>
        </w:rPr>
        <w:instrText xml:space="preserve"> HYPERLINK "https://doi.org/10.1007/s00330-024-11339-6" </w:instrText>
      </w:r>
      <w:r>
        <w:rPr>
          <w:rFonts w:ascii="Times New Roman" w:hAnsi="Times New Roman"/>
        </w:rPr>
        <w:fldChar w:fldCharType="separate"/>
      </w:r>
      <w:r>
        <w:rPr>
          <w:rStyle w:val="18"/>
          <w:rFonts w:ascii="Times New Roman" w:hAnsi="Times New Roman"/>
        </w:rPr>
        <w:t>https://doi.org/10.1007/s00330-024-11339-6</w:t>
      </w:r>
      <w:r>
        <w:rPr>
          <w:rFonts w:ascii="Times New Roman" w:hAnsi="Times New Roman"/>
        </w:rPr>
        <w:fldChar w:fldCharType="end"/>
      </w:r>
      <w:r>
        <w:rPr>
          <w:rFonts w:ascii="Times New Roman" w:hAnsi="Times New Roman"/>
        </w:rPr>
        <w:t xml:space="preserve"> (Accessed: 20 June 2026).</w:t>
      </w:r>
    </w:p>
    <w:p w14:paraId="7554AFBC">
      <w:pPr>
        <w:spacing w:after="80"/>
        <w:ind w:left="360" w:hanging="360"/>
      </w:pPr>
      <w:r>
        <w:rPr>
          <w:rFonts w:ascii="Times New Roman" w:hAnsi="Times New Roman"/>
        </w:rPr>
        <w:t xml:space="preserve">Li, C. et al. (2023) 'LLaVA-Med: Training a large language-and-vision assistant for biomedicine in one day', Advances in Neural Information Processing Systems 36. Available at: </w:t>
      </w:r>
      <w:r>
        <w:rPr>
          <w:rFonts w:ascii="Times New Roman" w:hAnsi="Times New Roman"/>
        </w:rPr>
        <w:fldChar w:fldCharType="begin"/>
      </w:r>
      <w:r>
        <w:rPr>
          <w:rFonts w:ascii="Times New Roman" w:hAnsi="Times New Roman"/>
        </w:rPr>
        <w:instrText xml:space="preserve"> HYPERLINK "https://proceedings.neurips.cc/paper_files/paper/2023/hash/5abcdf8ecdcacba028c6662789194572-Abstract-Datasets_and_Benchmarks.html" </w:instrText>
      </w:r>
      <w:r>
        <w:rPr>
          <w:rFonts w:ascii="Times New Roman" w:hAnsi="Times New Roman"/>
        </w:rPr>
        <w:fldChar w:fldCharType="separate"/>
      </w:r>
      <w:r>
        <w:rPr>
          <w:rStyle w:val="18"/>
          <w:rFonts w:ascii="Times New Roman" w:hAnsi="Times New Roman"/>
        </w:rPr>
        <w:t>https://proceedings.neurips.cc/paper_files/paper/2023/hash/5abcdf8ecdcacba028c6662789194572-Abstract-Datasets_and_Benchmarks.html</w:t>
      </w:r>
      <w:r>
        <w:rPr>
          <w:rFonts w:ascii="Times New Roman" w:hAnsi="Times New Roman"/>
        </w:rPr>
        <w:fldChar w:fldCharType="end"/>
      </w:r>
      <w:r>
        <w:rPr>
          <w:rFonts w:ascii="Times New Roman" w:hAnsi="Times New Roman"/>
        </w:rPr>
        <w:t xml:space="preserve"> (Accessed: 31 May 2026).</w:t>
      </w:r>
    </w:p>
    <w:p w14:paraId="2C673A98">
      <w:pPr>
        <w:spacing w:after="80"/>
        <w:ind w:left="360" w:hanging="360"/>
      </w:pPr>
      <w:r>
        <w:rPr>
          <w:rFonts w:ascii="Times New Roman" w:hAnsi="Times New Roman"/>
        </w:rPr>
        <w:t xml:space="preserve">Lin, Q. et al. (2025) 'Toward clinically explainable AI for medical diagnosis: A foundation model with human-compatible reasoning via reinforcement learning', arXiv:2509.03906. Available at: </w:t>
      </w:r>
      <w:r>
        <w:rPr>
          <w:rFonts w:ascii="Times New Roman" w:hAnsi="Times New Roman"/>
        </w:rPr>
        <w:fldChar w:fldCharType="begin"/>
      </w:r>
      <w:r>
        <w:rPr>
          <w:rFonts w:ascii="Times New Roman" w:hAnsi="Times New Roman"/>
        </w:rPr>
        <w:instrText xml:space="preserve"> HYPERLINK "https://arxiv.org/abs/2509.03906" </w:instrText>
      </w:r>
      <w:r>
        <w:rPr>
          <w:rFonts w:ascii="Times New Roman" w:hAnsi="Times New Roman"/>
        </w:rPr>
        <w:fldChar w:fldCharType="separate"/>
      </w:r>
      <w:r>
        <w:rPr>
          <w:rStyle w:val="18"/>
          <w:rFonts w:ascii="Times New Roman" w:hAnsi="Times New Roman"/>
        </w:rPr>
        <w:t>https://arxiv.org/abs/2509.03906</w:t>
      </w:r>
      <w:r>
        <w:rPr>
          <w:rFonts w:ascii="Times New Roman" w:hAnsi="Times New Roman"/>
        </w:rPr>
        <w:fldChar w:fldCharType="end"/>
      </w:r>
      <w:r>
        <w:rPr>
          <w:rFonts w:ascii="Times New Roman" w:hAnsi="Times New Roman"/>
        </w:rPr>
        <w:t xml:space="preserve"> (Accessed: 16 June 2026).</w:t>
      </w:r>
    </w:p>
    <w:p w14:paraId="41F7E583">
      <w:pPr>
        <w:spacing w:after="80"/>
        <w:ind w:left="360" w:hanging="360"/>
      </w:pPr>
      <w:r>
        <w:rPr>
          <w:rFonts w:ascii="Times New Roman" w:hAnsi="Times New Roman"/>
        </w:rPr>
        <w:t xml:space="preserve">Liu, S., McCoy, A.B. and Wright, A. (2025) 'Improving large language model applications in biomedicine with retrieval-augmented generation: A systematic review, meta-analysis, and clinical development guidelines', Journal of the American Medical Informatics Association, 32(4), pp. 605-615. Available at: </w:t>
      </w:r>
      <w:r>
        <w:rPr>
          <w:rFonts w:ascii="Times New Roman" w:hAnsi="Times New Roman"/>
        </w:rPr>
        <w:fldChar w:fldCharType="begin"/>
      </w:r>
      <w:r>
        <w:rPr>
          <w:rFonts w:ascii="Times New Roman" w:hAnsi="Times New Roman"/>
        </w:rPr>
        <w:instrText xml:space="preserve"> HYPERLINK "https://doi.org/10.1093/jamia/ocaf008" </w:instrText>
      </w:r>
      <w:r>
        <w:rPr>
          <w:rFonts w:ascii="Times New Roman" w:hAnsi="Times New Roman"/>
        </w:rPr>
        <w:fldChar w:fldCharType="separate"/>
      </w:r>
      <w:r>
        <w:rPr>
          <w:rStyle w:val="18"/>
          <w:rFonts w:ascii="Times New Roman" w:hAnsi="Times New Roman"/>
        </w:rPr>
        <w:t>https://doi.org/10.1093/jamia/ocaf008</w:t>
      </w:r>
      <w:r>
        <w:rPr>
          <w:rFonts w:ascii="Times New Roman" w:hAnsi="Times New Roman"/>
        </w:rPr>
        <w:fldChar w:fldCharType="end"/>
      </w:r>
      <w:r>
        <w:rPr>
          <w:rFonts w:ascii="Times New Roman" w:hAnsi="Times New Roman"/>
        </w:rPr>
        <w:t xml:space="preserve"> (Accessed: 7 June 2026).</w:t>
      </w:r>
    </w:p>
    <w:p w14:paraId="480790BC">
      <w:pPr>
        <w:spacing w:after="80"/>
        <w:ind w:left="360" w:hanging="360"/>
      </w:pPr>
      <w:r>
        <w:rPr>
          <w:rFonts w:ascii="Times New Roman" w:hAnsi="Times New Roman"/>
        </w:rPr>
        <w:t xml:space="preserve">Lou, J., Yang, Y., Yu, Z., Fu, Z., Han, W., Huang, Q. and Yu, J. (2025) 'CXRAgent: Director-orchestrated multi-stage reasoning for chest X-ray interpretation', arXiv:2510.21324. Available at: </w:t>
      </w:r>
      <w:r>
        <w:rPr>
          <w:rFonts w:ascii="Times New Roman" w:hAnsi="Times New Roman"/>
        </w:rPr>
        <w:fldChar w:fldCharType="begin"/>
      </w:r>
      <w:r>
        <w:rPr>
          <w:rFonts w:ascii="Times New Roman" w:hAnsi="Times New Roman"/>
        </w:rPr>
        <w:instrText xml:space="preserve"> HYPERLINK "https://arxiv.org/abs/2510.21324" </w:instrText>
      </w:r>
      <w:r>
        <w:rPr>
          <w:rFonts w:ascii="Times New Roman" w:hAnsi="Times New Roman"/>
        </w:rPr>
        <w:fldChar w:fldCharType="separate"/>
      </w:r>
      <w:r>
        <w:rPr>
          <w:rStyle w:val="18"/>
          <w:rFonts w:ascii="Times New Roman" w:hAnsi="Times New Roman"/>
        </w:rPr>
        <w:t>https://arxiv.org/abs/2510.21324</w:t>
      </w:r>
      <w:r>
        <w:rPr>
          <w:rFonts w:ascii="Times New Roman" w:hAnsi="Times New Roman"/>
        </w:rPr>
        <w:fldChar w:fldCharType="end"/>
      </w:r>
      <w:r>
        <w:rPr>
          <w:rFonts w:ascii="Times New Roman" w:hAnsi="Times New Roman"/>
        </w:rPr>
        <w:t xml:space="preserve"> (Accessed: 26 May 2026).</w:t>
      </w:r>
    </w:p>
    <w:p w14:paraId="7B611A45">
      <w:pPr>
        <w:spacing w:after="80"/>
        <w:ind w:left="360" w:hanging="360"/>
      </w:pPr>
      <w:r>
        <w:rPr>
          <w:rFonts w:ascii="Times New Roman" w:hAnsi="Times New Roman"/>
        </w:rPr>
        <w:t xml:space="preserve">Mugambiwa, T. and Ndlovu, B. (2026) 'Multi-agent retrieval augmented generation for clinical decision support: A systematic review and integrative conceptual framework', Journal of Applied Informatics and Computing, 10(1), pp. 171-183. Available at: </w:t>
      </w:r>
      <w:r>
        <w:rPr>
          <w:rFonts w:hint="default" w:ascii="Times New Roman" w:hAnsi="Times New Roman"/>
        </w:rPr>
        <w:fldChar w:fldCharType="begin"/>
      </w:r>
      <w:r>
        <w:rPr>
          <w:rFonts w:hint="default" w:ascii="Times New Roman" w:hAnsi="Times New Roman"/>
        </w:rPr>
        <w:instrText xml:space="preserve"> HYPERLINK "https://www.semanticscholar.org/paper/Multi-Agent-Retrieval-Augmented-Generation-for-A-Mugambiwa-Ndlovu/eeab620e9d8c8d0c4215b2d39bcced9fc4d9440c" </w:instrText>
      </w:r>
      <w:r>
        <w:rPr>
          <w:rFonts w:hint="default" w:ascii="Times New Roman" w:hAnsi="Times New Roman"/>
        </w:rPr>
        <w:fldChar w:fldCharType="separate"/>
      </w:r>
      <w:r>
        <w:rPr>
          <w:rStyle w:val="18"/>
          <w:rFonts w:hint="default" w:ascii="Times New Roman" w:hAnsi="Times New Roman"/>
        </w:rPr>
        <w:t>https://www.semanticscholar.org/paper/Multi-Agent-Retrieval-Augmented-Generation-for-A-Mugambiwa-Ndlovu/eeab620e9d8c8d0c4215b2d39bcced9fc4d9440c</w:t>
      </w:r>
      <w:r>
        <w:rPr>
          <w:rFonts w:hint="default" w:ascii="Times New Roman" w:hAnsi="Times New Roman"/>
        </w:rPr>
        <w:fldChar w:fldCharType="end"/>
      </w:r>
      <w:r>
        <w:rPr>
          <w:rFonts w:ascii="Times New Roman" w:hAnsi="Times New Roman"/>
        </w:rPr>
        <w:t xml:space="preserve"> (Accessed: 11 June 2026).</w:t>
      </w:r>
    </w:p>
    <w:p w14:paraId="2AFBF663">
      <w:pPr>
        <w:spacing w:after="80"/>
        <w:ind w:left="360" w:hanging="360"/>
      </w:pPr>
      <w:r>
        <w:rPr>
          <w:rFonts w:ascii="Times New Roman" w:hAnsi="Times New Roman"/>
        </w:rPr>
        <w:t xml:space="preserve">Pal, A. et al. (2025) 'ReXVQA: A large-scale visual question answering benchmark for generalist chest X-ray understanding', arXiv:2506.04353. Available at: </w:t>
      </w:r>
      <w:r>
        <w:rPr>
          <w:rFonts w:ascii="Times New Roman" w:hAnsi="Times New Roman"/>
        </w:rPr>
        <w:fldChar w:fldCharType="begin"/>
      </w:r>
      <w:r>
        <w:rPr>
          <w:rFonts w:ascii="Times New Roman" w:hAnsi="Times New Roman"/>
        </w:rPr>
        <w:instrText xml:space="preserve"> HYPERLINK "https://arxiv.org/abs/2506.04353" </w:instrText>
      </w:r>
      <w:r>
        <w:rPr>
          <w:rFonts w:ascii="Times New Roman" w:hAnsi="Times New Roman"/>
        </w:rPr>
        <w:fldChar w:fldCharType="separate"/>
      </w:r>
      <w:r>
        <w:rPr>
          <w:rStyle w:val="18"/>
          <w:rFonts w:ascii="Times New Roman" w:hAnsi="Times New Roman"/>
        </w:rPr>
        <w:t>https://arxiv.org/abs/2506.04353</w:t>
      </w:r>
      <w:r>
        <w:rPr>
          <w:rFonts w:ascii="Times New Roman" w:hAnsi="Times New Roman"/>
        </w:rPr>
        <w:fldChar w:fldCharType="end"/>
      </w:r>
      <w:r>
        <w:rPr>
          <w:rFonts w:ascii="Times New Roman" w:hAnsi="Times New Roman"/>
        </w:rPr>
        <w:t xml:space="preserve"> (Accessed: 14 June 2026).</w:t>
      </w:r>
    </w:p>
    <w:p w14:paraId="5A5DA9A1">
      <w:pPr>
        <w:spacing w:after="80"/>
        <w:ind w:left="360" w:hanging="360"/>
      </w:pPr>
      <w:r>
        <w:rPr>
          <w:rFonts w:ascii="Times New Roman" w:hAnsi="Times New Roman"/>
        </w:rPr>
        <w:t xml:space="preserve">Pambudi, S. and Menolascina, F. (2025) 'Bridging clinical narratives and ACR Appropriateness Guidelines: A multi-agent RAG system for medical imaging decisions', arXiv:2510.04969. Available at: </w:t>
      </w:r>
      <w:r>
        <w:rPr>
          <w:rFonts w:ascii="Times New Roman" w:hAnsi="Times New Roman"/>
        </w:rPr>
        <w:fldChar w:fldCharType="begin"/>
      </w:r>
      <w:r>
        <w:rPr>
          <w:rFonts w:ascii="Times New Roman" w:hAnsi="Times New Roman"/>
        </w:rPr>
        <w:instrText xml:space="preserve"> HYPERLINK "https://arxiv.org/abs/2510.04969" </w:instrText>
      </w:r>
      <w:r>
        <w:rPr>
          <w:rFonts w:ascii="Times New Roman" w:hAnsi="Times New Roman"/>
        </w:rPr>
        <w:fldChar w:fldCharType="separate"/>
      </w:r>
      <w:r>
        <w:rPr>
          <w:rStyle w:val="18"/>
          <w:rFonts w:ascii="Times New Roman" w:hAnsi="Times New Roman"/>
        </w:rPr>
        <w:t>https://arxiv.org/abs/2510.04969</w:t>
      </w:r>
      <w:r>
        <w:rPr>
          <w:rFonts w:ascii="Times New Roman" w:hAnsi="Times New Roman"/>
        </w:rPr>
        <w:fldChar w:fldCharType="end"/>
      </w:r>
      <w:r>
        <w:rPr>
          <w:rFonts w:ascii="Times New Roman" w:hAnsi="Times New Roman"/>
        </w:rPr>
        <w:t xml:space="preserve"> (Accessed: 1 June 2026).</w:t>
      </w:r>
    </w:p>
    <w:p w14:paraId="66A65518">
      <w:pPr>
        <w:spacing w:after="80"/>
        <w:ind w:left="360" w:hanging="360"/>
      </w:pPr>
      <w:r>
        <w:rPr>
          <w:rFonts w:ascii="Times New Roman" w:hAnsi="Times New Roman"/>
        </w:rPr>
        <w:t xml:space="preserve">Papageorgiou, P.S. et al. (2025) 'The role of large language models in improving diagnostic-related groups assignment and clinical decision support in healthcare systems: An example from radiology and nuclear medicine', Applied Sciences, 15(16), 9005. Available at: </w:t>
      </w:r>
      <w:r>
        <w:rPr>
          <w:rFonts w:ascii="Times New Roman" w:hAnsi="Times New Roman"/>
        </w:rPr>
        <w:fldChar w:fldCharType="begin"/>
      </w:r>
      <w:r>
        <w:rPr>
          <w:rFonts w:ascii="Times New Roman" w:hAnsi="Times New Roman"/>
        </w:rPr>
        <w:instrText xml:space="preserve"> HYPERLINK "https://doi.org/10.3390/app15169005" </w:instrText>
      </w:r>
      <w:r>
        <w:rPr>
          <w:rFonts w:ascii="Times New Roman" w:hAnsi="Times New Roman"/>
        </w:rPr>
        <w:fldChar w:fldCharType="separate"/>
      </w:r>
      <w:r>
        <w:rPr>
          <w:rStyle w:val="18"/>
          <w:rFonts w:ascii="Times New Roman" w:hAnsi="Times New Roman"/>
        </w:rPr>
        <w:t>https://doi.org/10.3390/app15169005</w:t>
      </w:r>
      <w:r>
        <w:rPr>
          <w:rFonts w:ascii="Times New Roman" w:hAnsi="Times New Roman"/>
        </w:rPr>
        <w:fldChar w:fldCharType="end"/>
      </w:r>
      <w:r>
        <w:rPr>
          <w:rFonts w:ascii="Times New Roman" w:hAnsi="Times New Roman"/>
        </w:rPr>
        <w:t xml:space="preserve"> (Accessed: 10 June 2026).</w:t>
      </w:r>
    </w:p>
    <w:p w14:paraId="47A22BFC">
      <w:pPr>
        <w:spacing w:after="80"/>
        <w:ind w:left="360" w:hanging="360"/>
      </w:pPr>
      <w:r>
        <w:rPr>
          <w:rFonts w:ascii="Times New Roman" w:hAnsi="Times New Roman"/>
        </w:rPr>
        <w:t xml:space="preserve">Sellergren, A. et al. (2025) 'MedGemma Technical Report', arXiv:2507.05201. Available at: </w:t>
      </w:r>
      <w:r>
        <w:rPr>
          <w:rFonts w:ascii="Times New Roman" w:hAnsi="Times New Roman"/>
        </w:rPr>
        <w:fldChar w:fldCharType="begin"/>
      </w:r>
      <w:r>
        <w:rPr>
          <w:rFonts w:ascii="Times New Roman" w:hAnsi="Times New Roman"/>
        </w:rPr>
        <w:instrText xml:space="preserve"> HYPERLINK "https://arxiv.org/abs/2507.05201" </w:instrText>
      </w:r>
      <w:r>
        <w:rPr>
          <w:rFonts w:ascii="Times New Roman" w:hAnsi="Times New Roman"/>
        </w:rPr>
        <w:fldChar w:fldCharType="separate"/>
      </w:r>
      <w:r>
        <w:rPr>
          <w:rStyle w:val="18"/>
          <w:rFonts w:ascii="Times New Roman" w:hAnsi="Times New Roman"/>
        </w:rPr>
        <w:t>https://arxiv.org/abs/2507.05201</w:t>
      </w:r>
      <w:r>
        <w:rPr>
          <w:rFonts w:ascii="Times New Roman" w:hAnsi="Times New Roman"/>
        </w:rPr>
        <w:fldChar w:fldCharType="end"/>
      </w:r>
      <w:r>
        <w:rPr>
          <w:rFonts w:ascii="Times New Roman" w:hAnsi="Times New Roman"/>
        </w:rPr>
        <w:t xml:space="preserve"> (Accessed: 17 June 2026).</w:t>
      </w:r>
    </w:p>
    <w:p w14:paraId="20F1611D">
      <w:pPr>
        <w:spacing w:after="80"/>
        <w:ind w:left="360" w:hanging="360"/>
      </w:pPr>
      <w:r>
        <w:rPr>
          <w:rFonts w:ascii="Times New Roman" w:hAnsi="Times New Roman"/>
        </w:rPr>
        <w:t xml:space="preserve">Wang, X. et al. (2017) 'ChestX-ray8: Hospital-scale chest X-ray database and benchmarks on weakly-supervised classification and localization of common thorax diseases', Proceedings of the IEEE Conference on Computer Vision and Pattern Recognition (CVPR), pp. 2097-2106. Available at: </w:t>
      </w:r>
      <w:r>
        <w:rPr>
          <w:rFonts w:ascii="Times New Roman" w:hAnsi="Times New Roman"/>
        </w:rPr>
        <w:fldChar w:fldCharType="begin"/>
      </w:r>
      <w:r>
        <w:rPr>
          <w:rFonts w:ascii="Times New Roman" w:hAnsi="Times New Roman"/>
        </w:rPr>
        <w:instrText xml:space="preserve"> HYPERLINK "https://doi.org/10.1109/CVPR.2017.369" </w:instrText>
      </w:r>
      <w:r>
        <w:rPr>
          <w:rFonts w:ascii="Times New Roman" w:hAnsi="Times New Roman"/>
        </w:rPr>
        <w:fldChar w:fldCharType="separate"/>
      </w:r>
      <w:r>
        <w:rPr>
          <w:rStyle w:val="18"/>
          <w:rFonts w:ascii="Times New Roman" w:hAnsi="Times New Roman"/>
        </w:rPr>
        <w:t>https://doi.org/10.1109/CVPR.2017.369</w:t>
      </w:r>
      <w:r>
        <w:rPr>
          <w:rFonts w:ascii="Times New Roman" w:hAnsi="Times New Roman"/>
        </w:rPr>
        <w:fldChar w:fldCharType="end"/>
      </w:r>
      <w:r>
        <w:rPr>
          <w:rFonts w:ascii="Times New Roman" w:hAnsi="Times New Roman"/>
        </w:rPr>
        <w:t xml:space="preserve"> (Accessed: 30 May 2026).</w:t>
      </w:r>
      <w:bookmarkStart w:id="0" w:name="_GoBack"/>
      <w:bookmarkEnd w:id="0"/>
    </w:p>
    <w:p w14:paraId="16567112">
      <w:pPr>
        <w:spacing w:after="80"/>
        <w:ind w:left="360" w:hanging="360"/>
      </w:pPr>
      <w:r>
        <w:rPr>
          <w:rFonts w:ascii="Times New Roman" w:hAnsi="Times New Roman"/>
        </w:rPr>
        <w:t xml:space="preserve">Zambrano Chaves, J.M. et al. (2025) 'A clinically accessible small multimodal radiology model and evaluation metric for chest X-ray findings', Nature Communications, 16, 3108. Available at: </w:t>
      </w:r>
      <w:r>
        <w:rPr>
          <w:rFonts w:ascii="Times New Roman" w:hAnsi="Times New Roman"/>
        </w:rPr>
        <w:fldChar w:fldCharType="begin"/>
      </w:r>
      <w:r>
        <w:rPr>
          <w:rFonts w:ascii="Times New Roman" w:hAnsi="Times New Roman"/>
        </w:rPr>
        <w:instrText xml:space="preserve"> HYPERLINK "https://doi.org/10.1038/s41467-025-58344-x" </w:instrText>
      </w:r>
      <w:r>
        <w:rPr>
          <w:rFonts w:ascii="Times New Roman" w:hAnsi="Times New Roman"/>
        </w:rPr>
        <w:fldChar w:fldCharType="separate"/>
      </w:r>
      <w:r>
        <w:rPr>
          <w:rStyle w:val="18"/>
          <w:rFonts w:ascii="Times New Roman" w:hAnsi="Times New Roman"/>
        </w:rPr>
        <w:t>https://doi.org/10.1038/s41467-025-58344-x</w:t>
      </w:r>
      <w:r>
        <w:rPr>
          <w:rFonts w:ascii="Times New Roman" w:hAnsi="Times New Roman"/>
        </w:rPr>
        <w:fldChar w:fldCharType="end"/>
      </w:r>
      <w:r>
        <w:rPr>
          <w:rFonts w:ascii="Times New Roman" w:hAnsi="Times New Roman"/>
        </w:rPr>
        <w:t xml:space="preserve"> (Accessed: 4 June 2026).</w:t>
      </w: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335DA9"/>
    <w:rsid w:val="0AB771B3"/>
    <w:rsid w:val="0CC14878"/>
    <w:rsid w:val="0F01062B"/>
    <w:rsid w:val="0FE20F9D"/>
    <w:rsid w:val="10B33874"/>
    <w:rsid w:val="10F13359"/>
    <w:rsid w:val="14170683"/>
    <w:rsid w:val="14DD044C"/>
    <w:rsid w:val="170C3E24"/>
    <w:rsid w:val="17AB72E5"/>
    <w:rsid w:val="1D1C50CD"/>
    <w:rsid w:val="201D0F3D"/>
    <w:rsid w:val="215E734B"/>
    <w:rsid w:val="22DF6543"/>
    <w:rsid w:val="2ACF254B"/>
    <w:rsid w:val="303C51B0"/>
    <w:rsid w:val="34EB1FE1"/>
    <w:rsid w:val="35FA219E"/>
    <w:rsid w:val="362317B0"/>
    <w:rsid w:val="36C066E4"/>
    <w:rsid w:val="36D76309"/>
    <w:rsid w:val="38292433"/>
    <w:rsid w:val="3EDD53AF"/>
    <w:rsid w:val="43236033"/>
    <w:rsid w:val="4B29095D"/>
    <w:rsid w:val="4E925476"/>
    <w:rsid w:val="502A6491"/>
    <w:rsid w:val="50F81BD3"/>
    <w:rsid w:val="52AE1A33"/>
    <w:rsid w:val="58C33BAC"/>
    <w:rsid w:val="5B1E180D"/>
    <w:rsid w:val="5CC3793F"/>
    <w:rsid w:val="5EA65556"/>
    <w:rsid w:val="65095250"/>
    <w:rsid w:val="6A270136"/>
    <w:rsid w:val="6AA0237F"/>
    <w:rsid w:val="6B3602F4"/>
    <w:rsid w:val="6DA1296C"/>
    <w:rsid w:val="707E401E"/>
    <w:rsid w:val="72270B56"/>
    <w:rsid w:val="73D31E97"/>
    <w:rsid w:val="74E267D1"/>
    <w:rsid w:val="7507318D"/>
    <w:rsid w:val="75B77AAE"/>
    <w:rsid w:val="760133A5"/>
    <w:rsid w:val="773B1E28"/>
    <w:rsid w:val="7C8810E0"/>
    <w:rsid w:val="7D807C14"/>
    <w:rsid w:val="7E1717EC"/>
    <w:rsid w:val="7E5725D5"/>
    <w:rsid w:val="7FD604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40"/>
    <w:qFormat/>
    <w:uiPriority w:val="9"/>
    <w:pPr>
      <w:keepNext/>
      <w:keepLines/>
      <w:spacing w:before="240" w:after="120" w:line="360" w:lineRule="auto"/>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1"/>
    <w:unhideWhenUsed/>
    <w:qFormat/>
    <w:uiPriority w:val="9"/>
    <w:pPr>
      <w:keepNext/>
      <w:keepLines/>
      <w:spacing w:before="240" w:after="120" w:line="360" w:lineRule="auto"/>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2"/>
    <w:unhideWhenUsed/>
    <w:qFormat/>
    <w:uiPriority w:val="9"/>
    <w:pPr>
      <w:keepNext/>
      <w:keepLines/>
      <w:spacing w:before="240" w:after="120" w:line="360" w:lineRule="auto"/>
      <w:outlineLvl w:val="2"/>
    </w:pPr>
    <w:rPr>
      <w:rFonts w:asciiTheme="majorHAnsi" w:hAnsiTheme="majorHAnsi" w:eastAsiaTheme="majorEastAsia"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u w:val="single"/>
    </w:rPr>
  </w:style>
  <w:style w:type="paragraph" w:styleId="19">
    <w:name w:val="footer"/>
    <w:basedOn w:val="1"/>
    <w:link w:val="138"/>
    <w:unhideWhenUsed/>
    <w:qFormat/>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character" w:styleId="21">
    <w:name w:val="Hyperlink"/>
    <w:basedOn w:val="11"/>
    <w:semiHidden/>
    <w:unhideWhenUsed/>
    <w:uiPriority w:val="99"/>
    <w:rPr>
      <w:color w:val="0000FF"/>
      <w:u w:val="single"/>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qFormat/>
    <w:uiPriority w:val="99"/>
  </w:style>
  <w:style w:type="character" w:customStyle="1" w:styleId="138">
    <w:name w:val="Footer Char"/>
    <w:basedOn w:val="11"/>
    <w:link w:val="19"/>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4"/>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1889</Words>
  <Characters>12225</Characters>
  <Lines>0</Lines>
  <Paragraphs>0</Paragraphs>
  <TotalTime>15</TotalTime>
  <ScaleCrop>false</ScaleCrop>
  <LinksUpToDate>false</LinksUpToDate>
  <CharactersWithSpaces>14048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minura wije</cp:lastModifiedBy>
  <dcterms:modified xsi:type="dcterms:W3CDTF">2026-07-19T16:44:29Z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eyJoZGlkIjoiN2RkYjYyMzYzODc1ODQ2MDk5OGNlNzVlOWJjODM4ZjMiLCJ1c2VySWQiOiI1MjQwNDk5NTc3Njc2In0=</vt:lpwstr>
  </property>
  <property fmtid="{D5CDD505-2E9C-101B-9397-08002B2CF9AE}" pid="3" name="KSOProductBuildVer">
    <vt:lpwstr>1033-12.1.0.27458</vt:lpwstr>
  </property>
  <property fmtid="{D5CDD505-2E9C-101B-9397-08002B2CF9AE}" pid="4" name="ICV">
    <vt:lpwstr>97FBE5304905440595318AF25C18174D_12</vt:lpwstr>
  </property>
</Properties>
</file>