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
    <w:p>
      <w:pPr>
        <w:jc w:val="center"/>
      </w:pPr>
      <w:r>
        <w:rPr>
          <w:b w:val="0"/>
          <w:i/>
          <w:sz w:val="16"/>
        </w:rPr>
        <w:t>CINEC Campus  •  Faculty of Computing</w:t>
      </w:r>
    </w:p>
    <w:p>
      <w:pPr>
        <w:jc w:val="center"/>
      </w:pPr>
      <w:r>
        <w:rPr>
          <w:b w:val="0"/>
          <w:i w:val="0"/>
          <w:sz w:val="16"/>
        </w:rPr>
        <w:t>BSc (Hons) Computer Science in Software Engineering (TopUp)  —  6CS007  Project and Professionalism</w:t>
      </w:r>
    </w:p>
    <w:p>
      <w:pPr/>
    </w:p>
    <w:p>
      <w:pPr>
        <w:jc w:val="center"/>
      </w:pPr>
      <w:r>
        <w:rPr>
          <w:b/>
          <w:i w:val="0"/>
          <w:color w:val="1F4E79"/>
          <w:sz w:val="32"/>
        </w:rPr>
        <w:t>An AI-Assisted Chest X-ray Training Companion</w:t>
      </w:r>
    </w:p>
    <w:p>
      <w:pPr>
        <w:jc w:val="center"/>
      </w:pPr>
      <w:r>
        <w:rPr>
          <w:b/>
          <w:i w:val="0"/>
          <w:color w:val="1F4E79"/>
          <w:sz w:val="26"/>
        </w:rPr>
        <w:t>for Student Radiologists Using MedGemma and Retrieval-Augmented Generation</w:t>
      </w:r>
    </w:p>
    <w:p>
      <w:pPr/>
    </w:p>
    <w:p>
      <w:pPr>
        <w:jc w:val="center"/>
      </w:pPr>
      <w:r>
        <w:rPr>
          <w:b/>
          <w:i w:val="0"/>
          <w:color w:val="ED7D31"/>
          <w:sz w:val="28"/>
        </w:rPr>
        <w:t>Sharable Diagrams Pack</w:t>
      </w:r>
    </w:p>
    <w:p>
      <w:pPr>
        <w:jc w:val="center"/>
      </w:pPr>
      <w:r>
        <w:rPr>
          <w:b w:val="0"/>
          <w:i/>
          <w:sz w:val="18"/>
        </w:rPr>
        <w:t>Use Case Diagram  •  Activity Diagram  •  Sequence Diagram</w:t>
      </w:r>
    </w:p>
    <w:p>
      <w:pPr/>
    </w:p>
    <w:p>
      <w:pPr>
        <w:jc w:val="center"/>
      </w:pPr>
      <w:r>
        <w:rPr>
          <w:b w:val="0"/>
          <w:i w:val="0"/>
          <w:sz w:val="16"/>
        </w:rPr>
        <w:t>Student: M.W.V.D.M.J. Wijewickrama  •  Student No: 2642837</w:t>
      </w:r>
    </w:p>
    <w:p>
      <w:pPr>
        <w:jc w:val="center"/>
      </w:pPr>
      <w:r>
        <w:rPr>
          <w:b w:val="0"/>
          <w:i w:val="0"/>
          <w:sz w:val="14"/>
        </w:rPr>
        <w:t>Supervisor: Mr. Harindu Mansaka  •  Module Leader: Mr. Dhishan Dhammearatchi  •  Reader: Ms. Shanika Ekanayake</w:t>
      </w:r>
    </w:p>
    <w:p>
      <w:pPr>
        <w:jc w:val="center"/>
      </w:pPr>
      <w:r>
        <w:rPr>
          <w:b w:val="0"/>
          <w:i w:val="0"/>
          <w:color w:val="595959"/>
          <w:sz w:val="14"/>
        </w:rPr>
        <w:t>Date: 2026-08-30  •  Version: v1.0  •  Status: For Review / Viva</w:t>
      </w:r>
    </w:p>
    <w:p>
      <w:pPr/>
    </w:p>
    <w:p>
      <w:pPr>
        <w:jc w:val="center"/>
      </w:pPr>
      <w:r>
        <w:rPr>
          <w:b w:val="0"/>
          <w:i/>
          <w:sz w:val="14"/>
        </w:rPr>
        <w:t>This pack extracts the three normative design views from Chapter 3 (Methodology) / Chapter 4 (Design) of the Draft Report. All diagrams trace to FR-1 … FR-8 / NFR-1 … NFR-7 (Table 3.8) and to the Clean Architecture ports (Table 3.10).</w:t>
      </w:r>
    </w:p>
    <w:p>
      <w:pPr/>
    </w:p>
    <w:tbl>
      <w:tblPr>
        <w:tblStyle w:val="52"/>
        <w:tblW w:type="auto" w:w="0"/>
        <w:jc w:val="center"/>
        <w:tblLayout w:type="autofit"/>
        <w:tblLook w:firstColumn="1" w:firstRow="1" w:lastColumn="0" w:lastRow="0" w:noHBand="0" w:noVBand="1" w:val="04A0"/>
      </w:tblPr>
      <w:tblGrid>
        <w:gridCol w:w="4680"/>
        <w:gridCol w:w="4680"/>
      </w:tblGrid>
      <w:tr>
        <w:tc>
          <w:tcPr>
            <w:tcW w:type="dxa" w:w="4680"/>
            <w:shd w:fill="D9E2F3"/>
            <w:vAlign w:val="center"/>
          </w:tcPr>
          <w:p>
            <w:pPr>
              <w:jc w:val="center"/>
            </w:pPr>
            <w:r/>
            <w:r>
              <w:rPr>
                <w:b/>
                <w:color w:val="1F4E79"/>
                <w:sz w:val="14"/>
              </w:rPr>
              <w:t>Item</w:t>
            </w:r>
          </w:p>
        </w:tc>
        <w:tc>
          <w:tcPr>
            <w:tcW w:type="dxa" w:w="4680"/>
            <w:shd w:fill="D9E2F3"/>
            <w:vAlign w:val="center"/>
          </w:tcPr>
          <w:p>
            <w:pPr>
              <w:jc w:val="center"/>
            </w:pPr>
            <w:r/>
            <w:r>
              <w:rPr>
                <w:b/>
                <w:color w:val="1F4E79"/>
                <w:sz w:val="14"/>
              </w:rPr>
              <w:t>Detail</w:t>
            </w:r>
          </w:p>
        </w:tc>
      </w:tr>
      <w:tr>
        <w:tc>
          <w:tcPr>
            <w:tcW w:type="dxa" w:w="4680"/>
            <w:vAlign w:val="center"/>
          </w:tcPr>
          <w:p>
            <w:r/>
            <w:r>
              <w:rPr>
                <w:sz w:val="14"/>
              </w:rPr>
              <w:t>Source document</w:t>
            </w:r>
          </w:p>
        </w:tc>
        <w:tc>
          <w:tcPr>
            <w:tcW w:type="dxa" w:w="4680"/>
            <w:vAlign w:val="center"/>
          </w:tcPr>
          <w:p>
            <w:r/>
            <w:r>
              <w:rPr>
                <w:sz w:val="14"/>
              </w:rPr>
              <w:t>Draft Report.docx — Chapters 3 &amp; 4 (Methodology &amp; Design)</w:t>
            </w:r>
          </w:p>
        </w:tc>
      </w:tr>
      <w:tr>
        <w:tc>
          <w:tcPr>
            <w:tcW w:type="dxa" w:w="4680"/>
            <w:vAlign w:val="center"/>
          </w:tcPr>
          <w:p>
            <w:r/>
            <w:r>
              <w:rPr>
                <w:sz w:val="14"/>
              </w:rPr>
              <w:t>Artefact repo</w:t>
            </w:r>
          </w:p>
        </w:tc>
        <w:tc>
          <w:tcPr>
            <w:tcW w:type="dxa" w:w="4680"/>
            <w:vAlign w:val="center"/>
          </w:tcPr>
          <w:p>
            <w:r/>
            <w:r>
              <w:rPr>
                <w:sz w:val="14"/>
              </w:rPr>
              <w:t>backend/src/cxt/ (domain/application/infrastructure/interfaces) + frontend/src/ + kaggle_runtime/</w:t>
            </w:r>
          </w:p>
        </w:tc>
      </w:tr>
      <w:tr>
        <w:tc>
          <w:tcPr>
            <w:tcW w:type="dxa" w:w="4680"/>
            <w:vAlign w:val="center"/>
          </w:tcPr>
          <w:p>
            <w:r/>
            <w:r>
              <w:rPr>
                <w:sz w:val="14"/>
              </w:rPr>
              <w:t>Rendering</w:t>
            </w:r>
          </w:p>
        </w:tc>
        <w:tc>
          <w:tcPr>
            <w:tcW w:type="dxa" w:w="4680"/>
            <w:vAlign w:val="center"/>
          </w:tcPr>
          <w:p>
            <w:r/>
            <w:r>
              <w:rPr>
                <w:sz w:val="14"/>
              </w:rPr>
              <w:t>Matplotlib 3.10.3 → 300 DPI PNG, embedded 1:1 (no re-sampling)</w:t>
            </w:r>
          </w:p>
        </w:tc>
      </w:tr>
      <w:tr>
        <w:tc>
          <w:tcPr>
            <w:tcW w:type="dxa" w:w="4680"/>
            <w:vAlign w:val="center"/>
          </w:tcPr>
          <w:p>
            <w:r/>
            <w:r>
              <w:rPr>
                <w:sz w:val="14"/>
              </w:rPr>
              <w:t>Sharing note</w:t>
            </w:r>
          </w:p>
        </w:tc>
        <w:tc>
          <w:tcPr>
            <w:tcW w:type="dxa" w:w="4680"/>
            <w:vAlign w:val="center"/>
          </w:tcPr>
          <w:p>
            <w:r/>
            <w:r>
              <w:rPr>
                <w:sz w:val="14"/>
              </w:rPr>
              <w:t>Print-ready A4; also exported as PDF with identical pagination</w:t>
            </w:r>
          </w:p>
        </w:tc>
      </w:tr>
    </w:tbl>
    <w:p>
      <w:pPr/>
    </w:p>
    <w:p>
      <w:r>
        <w:br w:type="page"/>
      </w:r>
    </w:p>
    <w:p>
      <w:pPr>
        <w:pStyle w:val="2"/>
      </w:pPr>
      <w:r>
        <w:rPr>
          <w:b w:val="0"/>
          <w:i w:val="0"/>
        </w:rPr>
        <w:t>Contents</w:t>
      </w:r>
    </w:p>
    <w:p>
      <w:pPr/>
      <w:r>
        <w:rPr>
          <w:b w:val="0"/>
          <w:i w:val="0"/>
          <w:sz w:val="16"/>
        </w:rPr>
        <w:t>1.  How to read this pack</w:t>
        <w:tab/>
        <w:t>3</w:t>
      </w:r>
    </w:p>
    <w:p>
      <w:pPr/>
      <w:r>
        <w:rPr>
          <w:b w:val="0"/>
          <w:i w:val="0"/>
          <w:sz w:val="16"/>
        </w:rPr>
        <w:t>2.  Use Case Diagram</w:t>
        <w:tab/>
        <w:t>4</w:t>
      </w:r>
    </w:p>
    <w:p>
      <w:pPr/>
      <w:r>
        <w:rPr>
          <w:b w:val="0"/>
          <w:i w:val="0"/>
          <w:sz w:val="16"/>
        </w:rPr>
        <w:t xml:space="preserve">    2.1 Diagram</w:t>
        <w:tab/>
        <w:t>4</w:t>
      </w:r>
    </w:p>
    <w:p>
      <w:pPr/>
      <w:r>
        <w:rPr>
          <w:b w:val="0"/>
          <w:i w:val="0"/>
          <w:sz w:val="16"/>
        </w:rPr>
        <w:t xml:space="preserve">    2.2 Actors &amp; Use Cases (traceability)</w:t>
        <w:tab/>
        <w:t>4</w:t>
      </w:r>
    </w:p>
    <w:p>
      <w:pPr/>
      <w:r>
        <w:rPr>
          <w:b w:val="0"/>
          <w:i w:val="0"/>
          <w:sz w:val="16"/>
        </w:rPr>
        <w:t xml:space="preserve">    2.3 Includes / Extends &amp; RBAC notes</w:t>
        <w:tab/>
        <w:t>5</w:t>
      </w:r>
    </w:p>
    <w:p>
      <w:pPr/>
      <w:r>
        <w:rPr>
          <w:b w:val="0"/>
          <w:i w:val="0"/>
          <w:sz w:val="16"/>
        </w:rPr>
        <w:t>3.  Activity Diagram (Swimlanes)</w:t>
        <w:tab/>
        <w:t>6</w:t>
      </w:r>
    </w:p>
    <w:p>
      <w:pPr/>
      <w:r>
        <w:rPr>
          <w:b w:val="0"/>
          <w:i w:val="0"/>
          <w:sz w:val="16"/>
        </w:rPr>
        <w:t xml:space="preserve">    3.1 Diagram</w:t>
        <w:tab/>
        <w:t>6</w:t>
      </w:r>
    </w:p>
    <w:p>
      <w:pPr/>
      <w:r>
        <w:rPr>
          <w:b w:val="0"/>
          <w:i w:val="0"/>
          <w:sz w:val="16"/>
        </w:rPr>
        <w:t xml:space="preserve">    3.2 Activity steps &amp; guards</w:t>
        <w:tab/>
        <w:t>6</w:t>
      </w:r>
    </w:p>
    <w:p>
      <w:pPr/>
      <w:r>
        <w:rPr>
          <w:b w:val="0"/>
          <w:i w:val="0"/>
          <w:sz w:val="16"/>
        </w:rPr>
        <w:t xml:space="preserve">    3.3 Fork / Join &amp; parallel MedGemma + RAG</w:t>
        <w:tab/>
        <w:t>7</w:t>
      </w:r>
    </w:p>
    <w:p>
      <w:pPr/>
      <w:r>
        <w:rPr>
          <w:b w:val="0"/>
          <w:i w:val="0"/>
          <w:sz w:val="16"/>
        </w:rPr>
        <w:t>4.  Sequence Diagram</w:t>
        <w:tab/>
        <w:t>8</w:t>
      </w:r>
    </w:p>
    <w:p>
      <w:pPr/>
      <w:r>
        <w:rPr>
          <w:b w:val="0"/>
          <w:i w:val="0"/>
          <w:sz w:val="16"/>
        </w:rPr>
        <w:t xml:space="preserve">    4.1 Diagram</w:t>
        <w:tab/>
        <w:t>8</w:t>
      </w:r>
    </w:p>
    <w:p>
      <w:pPr/>
      <w:r>
        <w:rPr>
          <w:b w:val="0"/>
          <w:i w:val="0"/>
          <w:sz w:val="16"/>
        </w:rPr>
        <w:t xml:space="preserve">    4.2 Message flow (happy path)</w:t>
        <w:tab/>
        <w:t>8</w:t>
      </w:r>
    </w:p>
    <w:p>
      <w:pPr/>
      <w:r>
        <w:rPr>
          <w:b w:val="0"/>
          <w:i w:val="0"/>
          <w:sz w:val="16"/>
        </w:rPr>
        <w:t xml:space="preserve">    4.3 Alternate / error flows</w:t>
        <w:tab/>
        <w:t>9</w:t>
      </w:r>
    </w:p>
    <w:p>
      <w:pPr/>
      <w:r>
        <w:rPr>
          <w:b w:val="0"/>
          <w:i w:val="0"/>
          <w:sz w:val="16"/>
        </w:rPr>
        <w:t>5.  Traceability matrix (FR/NFR → views)</w:t>
        <w:tab/>
        <w:t>9</w:t>
      </w:r>
    </w:p>
    <w:p>
      <w:pPr/>
      <w:r>
        <w:rPr>
          <w:b w:val="0"/>
          <w:i w:val="0"/>
          <w:sz w:val="16"/>
        </w:rPr>
        <w:t>6.  Design decisions captured in the views</w:t>
        <w:tab/>
        <w:t>10</w:t>
      </w:r>
    </w:p>
    <w:p>
      <w:pPr/>
      <w:r>
        <w:rPr>
          <w:b w:val="0"/>
          <w:i w:val="0"/>
          <w:sz w:val="16"/>
        </w:rPr>
        <w:t>Appendix A.  File inventory &amp; how to re-generate</w:t>
        <w:tab/>
        <w:t>10</w:t>
      </w:r>
    </w:p>
    <w:p>
      <w:pPr/>
      <w:r>
        <w:rPr>
          <w:b w:val="0"/>
          <w:i w:val="0"/>
        </w:rPr>
        <w:t>How to read this pack</w:t>
      </w:r>
    </w:p>
    <w:p>
      <w:pPr>
        <w:pStyle w:val="2"/>
      </w:pPr>
      <w:r>
        <w:rPr>
          <w:b w:val="0"/>
          <w:i w:val="0"/>
        </w:rPr>
        <w:t>How to read this pack</w:t>
      </w:r>
    </w:p>
    <w:p>
      <w:pPr/>
      <w:r>
        <w:rPr>
          <w:b w:val="0"/>
          <w:i w:val="0"/>
          <w:sz w:val="16"/>
        </w:rPr>
        <w:t>Each section follows the same pattern: (1) the diagram at full width with a caption that gives its normative Figure number in the Draft Report, (2) a table that explains every symbol, and (3) a traceability note that links the view back to a functional or non-functional requirement so that an examiner can check coverage without opening the code. All three diagrams use the same colour language: blue = system boundary / happy path, amber = MedGemma / &lt;&lt;include&gt;&gt;, green = RAG / persistence, grey = external system. The text in this pack is verbatim from the Draft Report; no requirements or flows have been added or renamed here.</w:t>
      </w:r>
    </w:p>
    <w:p>
      <w:pPr/>
      <w:r>
        <w:rPr>
          <w:b w:val="0"/>
          <w:i/>
          <w:sz w:val="14"/>
        </w:rPr>
        <w:t>Conventions: dashed lines = &lt;&lt;include&gt;&gt; / &lt;&lt;extend&gt;&gt; (use case), : = lifeline (sequence), rounded rectangles = activities, diamonds = decisions, thick bars = fork/join (activity). JWT = JSON Web Token (HS256, iss/aud), Zod = frontend schema 20–2000 chars, Pydantic = backend re-validation. Lifeline labels match the actual Python/TypeScript module names so that a developer can jump from the diagram to the file.</w:t>
      </w:r>
    </w:p>
    <w:p>
      <w:pPr>
        <w:pStyle w:val="2"/>
      </w:pPr>
      <w:r>
        <w:rPr>
          <w:b w:val="0"/>
          <w:i w:val="0"/>
        </w:rPr>
        <w:t>Use Case Diagram</w:t>
      </w:r>
    </w:p>
    <w:p>
      <w:pPr/>
      <w:r>
        <w:rPr>
          <w:b w:val="0"/>
          <w:i/>
          <w:sz w:val="14"/>
        </w:rPr>
        <w:t>Normative source: Figure 3.1 (Methodology) — promoted to Figure 4.1 context in Chapter 4. System boundary is the Training Companion System (FastAPI backend + React SPA + Kaggle Runtime tunnel).</w:t>
      </w:r>
    </w:p>
    <w:p>
      <w:pPr>
        <w:jc w:val="center"/>
      </w:pPr>
      <w:r>
        <w:drawing>
          <wp:inline xmlns:a="http://schemas.openxmlformats.org/drawingml/2006/main" xmlns:pic="http://schemas.openxmlformats.org/drawingml/2006/picture">
            <wp:extent cx="5897880" cy="3571400"/>
            <wp:docPr id="1" name="Picture 1"/>
            <wp:cNvGraphicFramePr>
              <a:graphicFrameLocks noChangeAspect="1"/>
            </wp:cNvGraphicFramePr>
            <a:graphic>
              <a:graphicData uri="http://schemas.openxmlformats.org/drawingml/2006/picture">
                <pic:pic>
                  <pic:nvPicPr>
                    <pic:cNvPr id="0" name="01_UseCase_Diagram.png"/>
                    <pic:cNvPicPr/>
                  </pic:nvPicPr>
                  <pic:blipFill>
                    <a:blip r:embed="rId22"/>
                    <a:stretch>
                      <a:fillRect/>
                    </a:stretch>
                  </pic:blipFill>
                  <pic:spPr>
                    <a:xfrm>
                      <a:off x="0" y="0"/>
                      <a:ext cx="5897880" cy="3571400"/>
                    </a:xfrm>
                    <a:prstGeom prst="rect"/>
                  </pic:spPr>
                </pic:pic>
              </a:graphicData>
            </a:graphic>
          </wp:inline>
        </w:drawing>
      </w:r>
    </w:p>
    <w:p>
      <w:pPr>
        <w:jc w:val="center"/>
      </w:pPr>
      <w:r>
        <w:rPr>
          <w:i/>
          <w:color w:val="595959"/>
          <w:sz w:val="14"/>
        </w:rPr>
        <w:t>Figure 1 — Use Case Diagram (UC01–UC11). Dashed amber line = UC05 &lt;&lt;include&gt;&gt; UC06; grey dashed = IMedGemmaClient call to external Kaggle Runtime.</w:t>
      </w:r>
    </w:p>
    <w:p>
      <w:pPr/>
    </w:p>
    <w:p>
      <w:pPr>
        <w:pStyle w:val="3"/>
      </w:pPr>
      <w:r>
        <w:rPr>
          <w:b w:val="0"/>
          <w:i w:val="0"/>
        </w:rPr>
        <w:t>Actors &amp; Use Cases (traceability)</w:t>
      </w:r>
    </w:p>
    <w:tbl>
      <w:tblPr>
        <w:tblStyle w:val="52"/>
        <w:tblW w:type="auto" w:w="0"/>
        <w:jc w:val="center"/>
        <w:tblLayout w:type="autofit"/>
        <w:tblLook w:firstColumn="1" w:firstRow="1" w:lastColumn="0" w:lastRow="0" w:noHBand="0" w:noVBand="1" w:val="04A0"/>
      </w:tblPr>
      <w:tblGrid>
        <w:gridCol w:w="3120"/>
        <w:gridCol w:w="3120"/>
        <w:gridCol w:w="3120"/>
      </w:tblGrid>
      <w:tr>
        <w:tc>
          <w:tcPr>
            <w:tcW w:type="dxa" w:w="3120"/>
            <w:shd w:fill="D9E2F3"/>
            <w:vAlign w:val="center"/>
          </w:tcPr>
          <w:p>
            <w:pPr>
              <w:jc w:val="center"/>
            </w:pPr>
            <w:r/>
            <w:r>
              <w:rPr>
                <w:b/>
                <w:color w:val="1F4E79"/>
                <w:sz w:val="12"/>
              </w:rPr>
              <w:t>Actor / Element</w:t>
            </w:r>
          </w:p>
        </w:tc>
        <w:tc>
          <w:tcPr>
            <w:tcW w:type="dxa" w:w="3120"/>
            <w:shd w:fill="D9E2F3"/>
            <w:vAlign w:val="center"/>
          </w:tcPr>
          <w:p>
            <w:pPr>
              <w:jc w:val="center"/>
            </w:pPr>
            <w:r/>
            <w:r>
              <w:rPr>
                <w:b/>
                <w:color w:val="1F4E79"/>
                <w:sz w:val="12"/>
              </w:rPr>
              <w:t>Use Cases / Responsibility</w:t>
            </w:r>
          </w:p>
        </w:tc>
        <w:tc>
          <w:tcPr>
            <w:tcW w:type="dxa" w:w="3120"/>
            <w:shd w:fill="D9E2F3"/>
            <w:vAlign w:val="center"/>
          </w:tcPr>
          <w:p>
            <w:pPr>
              <w:jc w:val="center"/>
            </w:pPr>
            <w:r/>
            <w:r>
              <w:rPr>
                <w:b/>
                <w:color w:val="1F4E79"/>
                <w:sz w:val="12"/>
              </w:rPr>
              <w:t>Traces to</w:t>
            </w:r>
          </w:p>
        </w:tc>
      </w:tr>
      <w:tr>
        <w:tc>
          <w:tcPr>
            <w:tcW w:type="dxa" w:w="3120"/>
            <w:vAlign w:val="center"/>
          </w:tcPr>
          <w:p>
            <w:r/>
            <w:r>
              <w:rPr>
                <w:sz w:val="12"/>
              </w:rPr>
              <w:t>STUDENT</w:t>
              <w:br/>
              <w:t>(Primary user)</w:t>
            </w:r>
          </w:p>
        </w:tc>
        <w:tc>
          <w:tcPr>
            <w:tcW w:type="dxa" w:w="3120"/>
            <w:vAlign w:val="center"/>
          </w:tcPr>
          <w:p>
            <w:r/>
            <w:r>
              <w:rPr>
                <w:sz w:val="12"/>
              </w:rPr>
              <w:t>UC01 Register (open) • UC02 Login • UC03 Browse Cases (GET /cases) • UC04 View CXR + write interpretation • UC05 Submit Interpretation (FR-2) • UC07 View Feedback • UC08 List My Attempts • UC11 Health Check (open)</w:t>
            </w:r>
          </w:p>
        </w:tc>
        <w:tc>
          <w:tcPr>
            <w:tcW w:type="dxa" w:w="3120"/>
            <w:vAlign w:val="center"/>
          </w:tcPr>
          <w:p>
            <w:r/>
            <w:r>
              <w:rPr>
                <w:sz w:val="12"/>
              </w:rPr>
              <w:t>FR-1, FR-2, FR-3/4/5, FR-6, NFR-1</w:t>
            </w:r>
          </w:p>
        </w:tc>
      </w:tr>
      <w:tr>
        <w:tc>
          <w:tcPr>
            <w:tcW w:type="dxa" w:w="3120"/>
            <w:vAlign w:val="center"/>
          </w:tcPr>
          <w:p>
            <w:r/>
            <w:r>
              <w:rPr>
                <w:sz w:val="12"/>
              </w:rPr>
              <w:t>EDUCATOR / ADMIN</w:t>
              <w:br/>
              <w:t>(Reviewer)</w:t>
            </w:r>
          </w:p>
        </w:tc>
        <w:tc>
          <w:tcPr>
            <w:tcW w:type="dxa" w:w="3120"/>
            <w:vAlign w:val="center"/>
          </w:tcPr>
          <w:p>
            <w:r/>
            <w:r>
              <w:rPr>
                <w:sz w:val="12"/>
              </w:rPr>
              <w:t>UC02 Login • UC08 List All Attempts • UC09 Review Queue (GET /reviews/queue) • UC10 Submit Rubric Review (5 criteria × 1–5 + comment) • UC11 Health Check. ADMIN additionally manages invites/seeds.</w:t>
            </w:r>
          </w:p>
        </w:tc>
        <w:tc>
          <w:tcPr>
            <w:tcW w:type="dxa" w:w="3120"/>
            <w:vAlign w:val="center"/>
          </w:tcPr>
          <w:p>
            <w:r/>
            <w:r>
              <w:rPr>
                <w:sz w:val="12"/>
              </w:rPr>
              <w:t>FR-7, FR-8, NFR-3, NFR-4</w:t>
            </w:r>
          </w:p>
        </w:tc>
      </w:tr>
      <w:tr>
        <w:tc>
          <w:tcPr>
            <w:tcW w:type="dxa" w:w="3120"/>
            <w:vAlign w:val="center"/>
          </w:tcPr>
          <w:p>
            <w:r/>
            <w:r>
              <w:rPr>
                <w:sz w:val="12"/>
              </w:rPr>
              <w:t>MedGemma — Kaggle Runtime</w:t>
              <w:br/>
              <w:t>(External system actor)</w:t>
            </w:r>
          </w:p>
        </w:tc>
        <w:tc>
          <w:tcPr>
            <w:tcW w:type="dxa" w:w="3120"/>
            <w:vAlign w:val="center"/>
          </w:tcPr>
          <w:p>
            <w:r/>
            <w:r>
              <w:rPr>
                <w:sz w:val="12"/>
              </w:rPr>
              <w:t>Provides POST /generate. Called only by KaggleTunnelClient via IMedGemmaClient. No direct user interaction. Swappable with DryRunAnalyzer when KAGGLE_TUNNEL_URL is unset.</w:t>
            </w:r>
          </w:p>
        </w:tc>
        <w:tc>
          <w:tcPr>
            <w:tcW w:type="dxa" w:w="3120"/>
            <w:vAlign w:val="center"/>
          </w:tcPr>
          <w:p>
            <w:r/>
            <w:r>
              <w:rPr>
                <w:sz w:val="12"/>
              </w:rPr>
              <w:t>Technical Feasibility (Table 3.2), NFR-5, NFR-7</w:t>
            </w:r>
          </w:p>
        </w:tc>
      </w:tr>
      <w:tr>
        <w:tc>
          <w:tcPr>
            <w:tcW w:type="dxa" w:w="3120"/>
            <w:vAlign w:val="center"/>
          </w:tcPr>
          <w:p>
            <w:r/>
            <w:r>
              <w:rPr>
                <w:sz w:val="12"/>
              </w:rPr>
              <w:t>System boundary</w:t>
              <w:br/>
              <w:t>Training Companion</w:t>
            </w:r>
          </w:p>
        </w:tc>
        <w:tc>
          <w:tcPr>
            <w:tcW w:type="dxa" w:w="3120"/>
            <w:vAlign w:val="center"/>
          </w:tcPr>
          <w:p>
            <w:r/>
            <w:r>
              <w:rPr>
                <w:sz w:val="12"/>
              </w:rPr>
              <w:t>Contains UC01–UC11. All use-cases go through FastAPI routes (Table 3.11) and are orchestrated by application use-cases that depend only on ports (ICaseRepository, IMedGemmaClient, IImageAnalyzer, IRetriever, IAttemptRepository, IReviewRepository, IAuthService).</w:t>
            </w:r>
          </w:p>
        </w:tc>
        <w:tc>
          <w:tcPr>
            <w:tcW w:type="dxa" w:w="3120"/>
            <w:vAlign w:val="center"/>
          </w:tcPr>
          <w:p>
            <w:r/>
            <w:r>
              <w:rPr>
                <w:sz w:val="12"/>
              </w:rPr>
              <w:t>Table 3.10 (Clean Architecture), NFR-7</w:t>
            </w:r>
          </w:p>
        </w:tc>
      </w:tr>
      <w:tr>
        <w:tc>
          <w:tcPr>
            <w:tcW w:type="dxa" w:w="3120"/>
            <w:vAlign w:val="center"/>
          </w:tcPr>
          <w:p>
            <w:r/>
            <w:r>
              <w:rPr>
                <w:sz w:val="12"/>
              </w:rPr>
              <w:t>UC06 Generate Feedback</w:t>
              <w:br/>
              <w:t>(&lt;&lt;include&gt;&gt;)</w:t>
            </w:r>
          </w:p>
        </w:tc>
        <w:tc>
          <w:tcPr>
            <w:tcW w:type="dxa" w:w="3120"/>
            <w:vAlign w:val="center"/>
          </w:tcPr>
          <w:p>
            <w:r/>
            <w:r>
              <w:rPr>
                <w:sz w:val="12"/>
              </w:rPr>
              <w:t>MedGemma analyse + RAG retrieve + OutputParser merge → Feedback entity (likely_finding, key_signs, comparison, missed_clues, learning_point, confidence, sources, raw). Collapsible ‘Show evidence’ panel.</w:t>
            </w:r>
          </w:p>
        </w:tc>
        <w:tc>
          <w:tcPr>
            <w:tcW w:type="dxa" w:w="3120"/>
            <w:vAlign w:val="center"/>
          </w:tcPr>
          <w:p>
            <w:r/>
            <w:r>
              <w:rPr>
                <w:sz w:val="12"/>
              </w:rPr>
              <w:t>FR-3, FR-4, FR-5, FR-6, NFR-1, NFR-2, NFR-4</w:t>
            </w:r>
          </w:p>
        </w:tc>
      </w:tr>
    </w:tbl>
    <w:p>
      <w:pPr/>
    </w:p>
    <w:p>
      <w:pPr>
        <w:pStyle w:val="3"/>
      </w:pPr>
      <w:r>
        <w:rPr>
          <w:b w:val="0"/>
          <w:i w:val="0"/>
        </w:rPr>
        <w:t>Includes / Extends &amp; RBAC notes</w:t>
      </w:r>
    </w:p>
    <w:p>
      <w:pPr/>
      <w:r>
        <w:rPr>
          <w:b w:val="0"/>
          <w:i w:val="0"/>
          <w:sz w:val="14"/>
        </w:rPr>
        <w:t>• UC05 &lt;&lt;include&gt;&gt; UC06: submitting an interpretation always triggers feedback generation; the student never sees feedback without first submitting (guard enforced in CasePage UI and by POST /attempts requiring a STUDENT role).</w:t>
      </w:r>
    </w:p>
    <w:p>
      <w:pPr/>
      <w:r>
        <w:rPr>
          <w:b w:val="0"/>
          <w:i w:val="0"/>
          <w:sz w:val="14"/>
        </w:rPr>
        <w:t>• UC06 calls MedGemma: the call is via IMedGemmaClient → KaggleTunnelClient → pyngrok → Flask /generate. The dry-run path returns deterministic JSON so that auth, retrieval and parsing can be tested without a GPU (Technical Feasibility).</w:t>
      </w:r>
    </w:p>
    <w:p>
      <w:pPr/>
      <w:r>
        <w:rPr>
          <w:b w:val="0"/>
          <w:i w:val="0"/>
          <w:sz w:val="14"/>
        </w:rPr>
        <w:t>• RBAC: STUDENT can POST /attempts; EDUCATOR/ADMIN can GET /reviews/queue and POST /reviews; unauthenticated can POST /auth/register, POST /auth/login, GET /healthz; all other routes require bearer JWT. Implemented in domain Role enum + FastAPI dependency require_role(...) (Table 3.9, FR-8/NFR-3).</w:t>
      </w:r>
    </w:p>
    <w:p>
      <w:pPr/>
      <w:r>
        <w:rPr>
          <w:b w:val="0"/>
          <w:i w:val="0"/>
          <w:sz w:val="14"/>
        </w:rPr>
        <w:t>• RAG note: NullRetriever (default, returns []) and CorpusRetriever (top-k=3, 500 ch snippets from docs/source_register.csv) share the same IRetriever port; the diagram’s green annotation marks this swap point (NFR-7, FR-4).</w:t>
      </w:r>
    </w:p>
    <w:p>
      <w:pPr>
        <w:pStyle w:val="2"/>
      </w:pPr>
      <w:r>
        <w:rPr>
          <w:b w:val="0"/>
          <w:i w:val="0"/>
        </w:rPr>
        <w:t>Activity Diagram (Swimlanes)</w:t>
      </w:r>
    </w:p>
    <w:p>
      <w:pPr/>
      <w:r>
        <w:rPr>
          <w:b w:val="0"/>
          <w:i/>
          <w:sz w:val="14"/>
        </w:rPr>
        <w:t>Normative source: Figure 4.4 (Design). Swimlanes make the responsibility split auditable: Student lane = human decisions; Frontend lane = validation/rendering; Backend lane = auth/business logic; Kaggle lane = model inference.</w:t>
      </w:r>
    </w:p>
    <w:p>
      <w:pPr>
        <w:jc w:val="center"/>
      </w:pPr>
      <w:r>
        <w:drawing>
          <wp:inline xmlns:a="http://schemas.openxmlformats.org/drawingml/2006/main" xmlns:pic="http://schemas.openxmlformats.org/drawingml/2006/picture">
            <wp:extent cx="5897880" cy="3803766"/>
            <wp:docPr id="2" name="Picture 2"/>
            <wp:cNvGraphicFramePr>
              <a:graphicFrameLocks noChangeAspect="1"/>
            </wp:cNvGraphicFramePr>
            <a:graphic>
              <a:graphicData uri="http://schemas.openxmlformats.org/drawingml/2006/picture">
                <pic:pic>
                  <pic:nvPicPr>
                    <pic:cNvPr id="0" name="02_Activity_Diagram.png"/>
                    <pic:cNvPicPr/>
                  </pic:nvPicPr>
                  <pic:blipFill>
                    <a:blip r:embed="rId23"/>
                    <a:stretch>
                      <a:fillRect/>
                    </a:stretch>
                  </pic:blipFill>
                  <pic:spPr>
                    <a:xfrm>
                      <a:off x="0" y="0"/>
                      <a:ext cx="5897880" cy="3803766"/>
                    </a:xfrm>
                    <a:prstGeom prst="rect"/>
                  </pic:spPr>
                </pic:pic>
              </a:graphicData>
            </a:graphic>
          </wp:inline>
        </w:drawing>
      </w:r>
    </w:p>
    <w:p>
      <w:pPr>
        <w:jc w:val="center"/>
      </w:pPr>
      <w:r>
        <w:rPr>
          <w:i/>
          <w:color w:val="595959"/>
          <w:sz w:val="14"/>
        </w:rPr>
        <w:t>Figure 2 — Activity Diagram (student → feedback). Thick blue bars = fork/join for parallel MedGemma + RAG. Red diamond = Zod validation guard.</w:t>
      </w:r>
    </w:p>
    <w:p>
      <w:pPr/>
    </w:p>
    <w:p>
      <w:pPr>
        <w:pStyle w:val="3"/>
      </w:pPr>
      <w:r>
        <w:rPr>
          <w:b w:val="0"/>
          <w:i w:val="0"/>
        </w:rPr>
        <w:t>Activity steps &amp; guards</w:t>
      </w:r>
    </w:p>
    <w:tbl>
      <w:tblPr>
        <w:tblStyle w:val="52"/>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E2F3"/>
            <w:vAlign w:val="center"/>
          </w:tcPr>
          <w:p>
            <w:pPr>
              <w:jc w:val="center"/>
            </w:pPr>
            <w:r/>
            <w:r>
              <w:rPr>
                <w:b/>
                <w:color w:val="1F4E79"/>
                <w:sz w:val="12"/>
              </w:rPr>
              <w:t>Step</w:t>
            </w:r>
          </w:p>
        </w:tc>
        <w:tc>
          <w:tcPr>
            <w:tcW w:type="dxa" w:w="2340"/>
            <w:shd w:fill="D9E2F3"/>
            <w:vAlign w:val="center"/>
          </w:tcPr>
          <w:p>
            <w:pPr>
              <w:jc w:val="center"/>
            </w:pPr>
            <w:r/>
            <w:r>
              <w:rPr>
                <w:b/>
                <w:color w:val="1F4E79"/>
                <w:sz w:val="12"/>
              </w:rPr>
              <w:t>Lane</w:t>
            </w:r>
          </w:p>
        </w:tc>
        <w:tc>
          <w:tcPr>
            <w:tcW w:type="dxa" w:w="2340"/>
            <w:shd w:fill="D9E2F3"/>
            <w:vAlign w:val="center"/>
          </w:tcPr>
          <w:p>
            <w:pPr>
              <w:jc w:val="center"/>
            </w:pPr>
            <w:r/>
            <w:r>
              <w:rPr>
                <w:b/>
                <w:color w:val="1F4E79"/>
                <w:sz w:val="12"/>
              </w:rPr>
              <w:t>Activity / Guard</w:t>
            </w:r>
          </w:p>
        </w:tc>
        <w:tc>
          <w:tcPr>
            <w:tcW w:type="dxa" w:w="2340"/>
            <w:shd w:fill="D9E2F3"/>
            <w:vAlign w:val="center"/>
          </w:tcPr>
          <w:p>
            <w:pPr>
              <w:jc w:val="center"/>
            </w:pPr>
            <w:r/>
            <w:r>
              <w:rPr>
                <w:b/>
                <w:color w:val="1F4E79"/>
                <w:sz w:val="12"/>
              </w:rPr>
              <w:t>Traces to / File</w:t>
            </w:r>
          </w:p>
        </w:tc>
      </w:tr>
      <w:tr>
        <w:tc>
          <w:tcPr>
            <w:tcW w:type="dxa" w:w="2340"/>
            <w:vAlign w:val="center"/>
          </w:tcPr>
          <w:p>
            <w:r/>
            <w:r>
              <w:rPr>
                <w:sz w:val="12"/>
              </w:rPr>
              <w:t>1</w:t>
            </w:r>
          </w:p>
        </w:tc>
        <w:tc>
          <w:tcPr>
            <w:tcW w:type="dxa" w:w="2340"/>
            <w:vAlign w:val="center"/>
          </w:tcPr>
          <w:p>
            <w:r/>
            <w:r>
              <w:rPr>
                <w:sz w:val="12"/>
              </w:rPr>
              <w:t>Student</w:t>
            </w:r>
          </w:p>
        </w:tc>
        <w:tc>
          <w:tcPr>
            <w:tcW w:type="dxa" w:w="2340"/>
            <w:vAlign w:val="center"/>
          </w:tcPr>
          <w:p>
            <w:r/>
            <w:r>
              <w:rPr>
                <w:sz w:val="12"/>
              </w:rPr>
              <w:t>Login / Register → JWT issued (60-min, refresh 7 days)</w:t>
            </w:r>
          </w:p>
        </w:tc>
        <w:tc>
          <w:tcPr>
            <w:tcW w:type="dxa" w:w="2340"/>
            <w:vAlign w:val="center"/>
          </w:tcPr>
          <w:p>
            <w:r/>
            <w:r>
              <w:rPr>
                <w:sz w:val="12"/>
              </w:rPr>
              <w:t>AUTH.md, backend/src/cxt/infrastructure/auth/</w:t>
            </w:r>
          </w:p>
        </w:tc>
      </w:tr>
      <w:tr>
        <w:tc>
          <w:tcPr>
            <w:tcW w:type="dxa" w:w="2340"/>
            <w:vAlign w:val="center"/>
          </w:tcPr>
          <w:p>
            <w:r/>
            <w:r>
              <w:rPr>
                <w:sz w:val="12"/>
              </w:rPr>
              <w:t>2</w:t>
            </w:r>
          </w:p>
        </w:tc>
        <w:tc>
          <w:tcPr>
            <w:tcW w:type="dxa" w:w="2340"/>
            <w:vAlign w:val="center"/>
          </w:tcPr>
          <w:p>
            <w:r/>
            <w:r>
              <w:rPr>
                <w:sz w:val="12"/>
              </w:rPr>
              <w:t>Frontend</w:t>
            </w:r>
          </w:p>
        </w:tc>
        <w:tc>
          <w:tcPr>
            <w:tcW w:type="dxa" w:w="2340"/>
            <w:vAlign w:val="center"/>
          </w:tcPr>
          <w:p>
            <w:r/>
            <w:r>
              <w:rPr>
                <w:sz w:val="12"/>
              </w:rPr>
              <w:t>Render CaseListPage grid (filter: split/finding/limit) — GET /cases + thumbnails</w:t>
            </w:r>
          </w:p>
        </w:tc>
        <w:tc>
          <w:tcPr>
            <w:tcW w:type="dxa" w:w="2340"/>
            <w:vAlign w:val="center"/>
          </w:tcPr>
          <w:p>
            <w:r/>
            <w:r>
              <w:rPr>
                <w:sz w:val="12"/>
              </w:rPr>
              <w:t>frontend/src/pages/CaseListPage.tsx, FR-1</w:t>
            </w:r>
          </w:p>
        </w:tc>
      </w:tr>
      <w:tr>
        <w:tc>
          <w:tcPr>
            <w:tcW w:type="dxa" w:w="2340"/>
            <w:vAlign w:val="center"/>
          </w:tcPr>
          <w:p>
            <w:r/>
            <w:r>
              <w:rPr>
                <w:sz w:val="12"/>
              </w:rPr>
              <w:t>3</w:t>
            </w:r>
          </w:p>
        </w:tc>
        <w:tc>
          <w:tcPr>
            <w:tcW w:type="dxa" w:w="2340"/>
            <w:vAlign w:val="center"/>
          </w:tcPr>
          <w:p>
            <w:r/>
            <w:r>
              <w:rPr>
                <w:sz w:val="12"/>
              </w:rPr>
              <w:t>Backend</w:t>
            </w:r>
          </w:p>
        </w:tc>
        <w:tc>
          <w:tcPr>
            <w:tcW w:type="dxa" w:w="2340"/>
            <w:vAlign w:val="center"/>
          </w:tcPr>
          <w:p>
            <w:r/>
            <w:r>
              <w:rPr>
                <w:sz w:val="12"/>
              </w:rPr>
              <w:t>CaseRepository reads manifest CSV → serves /images/* via StaticFiles</w:t>
            </w:r>
          </w:p>
        </w:tc>
        <w:tc>
          <w:tcPr>
            <w:tcW w:type="dxa" w:w="2340"/>
            <w:vAlign w:val="center"/>
          </w:tcPr>
          <w:p>
            <w:r/>
            <w:r>
              <w:rPr>
                <w:sz w:val="12"/>
              </w:rPr>
              <w:t>backend/src/cxt/infrastructure/data/manifest_repository.py</w:t>
            </w:r>
          </w:p>
        </w:tc>
      </w:tr>
      <w:tr>
        <w:tc>
          <w:tcPr>
            <w:tcW w:type="dxa" w:w="2340"/>
            <w:vAlign w:val="center"/>
          </w:tcPr>
          <w:p>
            <w:r/>
            <w:r>
              <w:rPr>
                <w:sz w:val="12"/>
              </w:rPr>
              <w:t>4</w:t>
            </w:r>
          </w:p>
        </w:tc>
        <w:tc>
          <w:tcPr>
            <w:tcW w:type="dxa" w:w="2340"/>
            <w:vAlign w:val="center"/>
          </w:tcPr>
          <w:p>
            <w:r/>
            <w:r>
              <w:rPr>
                <w:sz w:val="12"/>
              </w:rPr>
              <w:t>Student</w:t>
            </w:r>
          </w:p>
        </w:tc>
        <w:tc>
          <w:tcPr>
            <w:tcW w:type="dxa" w:w="2340"/>
            <w:vAlign w:val="center"/>
          </w:tcPr>
          <w:p>
            <w:r/>
            <w:r>
              <w:rPr>
                <w:sz w:val="12"/>
              </w:rPr>
              <w:t>View CXR (1:1) + write interpretation (Zod 20–2000 chars) — submit is the only transition that reveals feedback</w:t>
            </w:r>
          </w:p>
        </w:tc>
        <w:tc>
          <w:tcPr>
            <w:tcW w:type="dxa" w:w="2340"/>
            <w:vAlign w:val="center"/>
          </w:tcPr>
          <w:p>
            <w:r/>
            <w:r>
              <w:rPr>
                <w:sz w:val="12"/>
              </w:rPr>
              <w:t>frontend/src/components/AttemptForm.tsx, FR-2</w:t>
            </w:r>
          </w:p>
        </w:tc>
      </w:tr>
      <w:tr>
        <w:tc>
          <w:tcPr>
            <w:tcW w:type="dxa" w:w="2340"/>
            <w:vAlign w:val="center"/>
          </w:tcPr>
          <w:p>
            <w:r/>
            <w:r>
              <w:rPr>
                <w:sz w:val="12"/>
              </w:rPr>
              <w:t>5</w:t>
            </w:r>
          </w:p>
        </w:tc>
        <w:tc>
          <w:tcPr>
            <w:tcW w:type="dxa" w:w="2340"/>
            <w:vAlign w:val="center"/>
          </w:tcPr>
          <w:p>
            <w:r/>
            <w:r>
              <w:rPr>
                <w:sz w:val="12"/>
              </w:rPr>
              <w:t>Decision</w:t>
            </w:r>
          </w:p>
        </w:tc>
        <w:tc>
          <w:tcPr>
            <w:tcW w:type="dxa" w:w="2340"/>
            <w:vAlign w:val="center"/>
          </w:tcPr>
          <w:p>
            <w:r/>
            <w:r>
              <w:rPr>
                <w:sz w:val="12"/>
              </w:rPr>
              <w:t>valid? — No → show Zod error in AttemptForm, loop back; Yes → POST /attempts</w:t>
            </w:r>
          </w:p>
        </w:tc>
        <w:tc>
          <w:tcPr>
            <w:tcW w:type="dxa" w:w="2340"/>
            <w:vAlign w:val="center"/>
          </w:tcPr>
          <w:p>
            <w:r/>
            <w:r>
              <w:rPr>
                <w:sz w:val="12"/>
              </w:rPr>
              <w:t>NFR-1, NFR-3</w:t>
            </w:r>
          </w:p>
        </w:tc>
      </w:tr>
      <w:tr>
        <w:tc>
          <w:tcPr>
            <w:tcW w:type="dxa" w:w="2340"/>
            <w:vAlign w:val="center"/>
          </w:tcPr>
          <w:p>
            <w:r/>
            <w:r>
              <w:rPr>
                <w:sz w:val="12"/>
              </w:rPr>
              <w:t>6</w:t>
            </w:r>
          </w:p>
        </w:tc>
        <w:tc>
          <w:tcPr>
            <w:tcW w:type="dxa" w:w="2340"/>
            <w:vAlign w:val="center"/>
          </w:tcPr>
          <w:p>
            <w:r/>
            <w:r>
              <w:rPr>
                <w:sz w:val="12"/>
              </w:rPr>
              <w:t>Frontend</w:t>
            </w:r>
          </w:p>
        </w:tc>
        <w:tc>
          <w:tcPr>
            <w:tcW w:type="dxa" w:w="2340"/>
            <w:vAlign w:val="center"/>
          </w:tcPr>
          <w:p>
            <w:r/>
            <w:r>
              <w:rPr>
                <w:sz w:val="12"/>
              </w:rPr>
              <w:t>apiRequest: inject bearer JWT, require_role(STUDENT) pre-check, single-flight 401 refresh</w:t>
            </w:r>
          </w:p>
        </w:tc>
        <w:tc>
          <w:tcPr>
            <w:tcW w:type="dxa" w:w="2340"/>
            <w:vAlign w:val="center"/>
          </w:tcPr>
          <w:p>
            <w:r/>
            <w:r>
              <w:rPr>
                <w:sz w:val="12"/>
              </w:rPr>
              <w:t>frontend/src/lib/apiRequest.ts</w:t>
            </w:r>
          </w:p>
        </w:tc>
      </w:tr>
      <w:tr>
        <w:tc>
          <w:tcPr>
            <w:tcW w:type="dxa" w:w="2340"/>
            <w:vAlign w:val="center"/>
          </w:tcPr>
          <w:p>
            <w:r/>
            <w:r>
              <w:rPr>
                <w:sz w:val="12"/>
              </w:rPr>
              <w:t>7a</w:t>
            </w:r>
          </w:p>
        </w:tc>
        <w:tc>
          <w:tcPr>
            <w:tcW w:type="dxa" w:w="2340"/>
            <w:vAlign w:val="center"/>
          </w:tcPr>
          <w:p>
            <w:r/>
            <w:r>
              <w:rPr>
                <w:sz w:val="12"/>
              </w:rPr>
              <w:t>Backend</w:t>
            </w:r>
          </w:p>
        </w:tc>
        <w:tc>
          <w:tcPr>
            <w:tcW w:type="dxa" w:w="2340"/>
            <w:vAlign w:val="center"/>
          </w:tcPr>
          <w:p>
            <w:r/>
            <w:r>
              <w:rPr>
                <w:sz w:val="12"/>
              </w:rPr>
              <w:t>Build prompt (system.txt + user.txt + RAG block + CTR Eq 3.1 for cardiomegaly branch)</w:t>
            </w:r>
          </w:p>
        </w:tc>
        <w:tc>
          <w:tcPr>
            <w:tcW w:type="dxa" w:w="2340"/>
            <w:vAlign w:val="center"/>
          </w:tcPr>
          <w:p>
            <w:r/>
            <w:r>
              <w:rPr>
                <w:sz w:val="12"/>
              </w:rPr>
              <w:t>kaggle_runtime/prompts/*.txt, NFR-4</w:t>
            </w:r>
          </w:p>
        </w:tc>
      </w:tr>
      <w:tr>
        <w:tc>
          <w:tcPr>
            <w:tcW w:type="dxa" w:w="2340"/>
            <w:vAlign w:val="center"/>
          </w:tcPr>
          <w:p>
            <w:r/>
            <w:r>
              <w:rPr>
                <w:sz w:val="12"/>
              </w:rPr>
              <w:t>7b</w:t>
            </w:r>
          </w:p>
        </w:tc>
        <w:tc>
          <w:tcPr>
            <w:tcW w:type="dxa" w:w="2340"/>
            <w:vAlign w:val="center"/>
          </w:tcPr>
          <w:p>
            <w:r/>
            <w:r>
              <w:rPr>
                <w:sz w:val="12"/>
              </w:rPr>
              <w:t>Backend</w:t>
            </w:r>
          </w:p>
        </w:tc>
        <w:tc>
          <w:tcPr>
            <w:tcW w:type="dxa" w:w="2340"/>
            <w:vAlign w:val="center"/>
          </w:tcPr>
          <w:p>
            <w:r/>
            <w:r>
              <w:rPr>
                <w:sz w:val="12"/>
              </w:rPr>
              <w:t>IRetriever.retrieve(query) — lexical + cosine, k=3, 500 ch cap</w:t>
            </w:r>
          </w:p>
        </w:tc>
        <w:tc>
          <w:tcPr>
            <w:tcW w:type="dxa" w:w="2340"/>
            <w:vAlign w:val="center"/>
          </w:tcPr>
          <w:p>
            <w:r/>
            <w:r>
              <w:rPr>
                <w:sz w:val="12"/>
              </w:rPr>
              <w:t>backend/src/cxt/infrastructure/retrieval/, FR-4</w:t>
            </w:r>
          </w:p>
        </w:tc>
      </w:tr>
      <w:tr>
        <w:tc>
          <w:tcPr>
            <w:tcW w:type="dxa" w:w="2340"/>
            <w:vAlign w:val="center"/>
          </w:tcPr>
          <w:p>
            <w:r/>
            <w:r>
              <w:rPr>
                <w:sz w:val="12"/>
              </w:rPr>
              <w:t>8</w:t>
            </w:r>
          </w:p>
        </w:tc>
        <w:tc>
          <w:tcPr>
            <w:tcW w:type="dxa" w:w="2340"/>
            <w:vAlign w:val="center"/>
          </w:tcPr>
          <w:p>
            <w:r/>
            <w:r>
              <w:rPr>
                <w:sz w:val="12"/>
              </w:rPr>
              <w:t>Backend</w:t>
            </w:r>
          </w:p>
        </w:tc>
        <w:tc>
          <w:tcPr>
            <w:tcW w:type="dxa" w:w="2340"/>
            <w:vAlign w:val="center"/>
          </w:tcPr>
          <w:p>
            <w:r/>
            <w:r>
              <w:rPr>
                <w:sz w:val="12"/>
              </w:rPr>
              <w:t>Merge → OutputParser → canonicalise FindingLabel → coerce confidence → attach sources → persist Attempt+Feedback</w:t>
            </w:r>
          </w:p>
        </w:tc>
        <w:tc>
          <w:tcPr>
            <w:tcW w:type="dxa" w:w="2340"/>
            <w:vAlign w:val="center"/>
          </w:tcPr>
          <w:p>
            <w:r/>
            <w:r>
              <w:rPr>
                <w:sz w:val="12"/>
              </w:rPr>
              <w:t>backend/src/cxt/infrastructure/ml/output_parser.py, FR-5/6, NFR-2</w:t>
            </w:r>
          </w:p>
        </w:tc>
      </w:tr>
      <w:tr>
        <w:tc>
          <w:tcPr>
            <w:tcW w:type="dxa" w:w="2340"/>
            <w:vAlign w:val="center"/>
          </w:tcPr>
          <w:p>
            <w:r/>
            <w:r>
              <w:rPr>
                <w:sz w:val="12"/>
              </w:rPr>
              <w:t>9</w:t>
            </w:r>
          </w:p>
        </w:tc>
        <w:tc>
          <w:tcPr>
            <w:tcW w:type="dxa" w:w="2340"/>
            <w:vAlign w:val="center"/>
          </w:tcPr>
          <w:p>
            <w:r/>
            <w:r>
              <w:rPr>
                <w:sz w:val="12"/>
              </w:rPr>
              <w:t>Student</w:t>
            </w:r>
          </w:p>
        </w:tc>
        <w:tc>
          <w:tcPr>
            <w:tcW w:type="dxa" w:w="2340"/>
            <w:vAlign w:val="center"/>
          </w:tcPr>
          <w:p>
            <w:r/>
            <w:r>
              <w:rPr>
                <w:sz w:val="12"/>
              </w:rPr>
              <w:t>Render FeedbackSection: primary finding + confidence %, key signs, comparison, missed clues, learning point + collapsible ‘Show evidence’</w:t>
            </w:r>
          </w:p>
        </w:tc>
        <w:tc>
          <w:tcPr>
            <w:tcW w:type="dxa" w:w="2340"/>
            <w:vAlign w:val="center"/>
          </w:tcPr>
          <w:p>
            <w:r/>
            <w:r>
              <w:rPr>
                <w:sz w:val="12"/>
              </w:rPr>
              <w:t>frontend/src/components/FeedbackSection.tsx, NFR-1</w:t>
            </w:r>
          </w:p>
        </w:tc>
      </w:tr>
    </w:tbl>
    <w:p>
      <w:pPr/>
    </w:p>
    <w:p>
      <w:pPr>
        <w:pStyle w:val="3"/>
      </w:pPr>
      <w:r>
        <w:rPr>
          <w:b w:val="0"/>
          <w:i w:val="0"/>
        </w:rPr>
        <w:t>Fork / Join &amp; parallel MedGemma + RAG</w:t>
      </w:r>
    </w:p>
    <w:p>
      <w:pPr/>
      <w:r>
        <w:rPr>
          <w:b w:val="0"/>
          <w:i w:val="0"/>
          <w:sz w:val="14"/>
        </w:rPr>
        <w:t>The fork after POST /attempts models the real implementation: SubmitAttemptUseCase launches IImageAnalyzer.analyze and IRetriever.retrieve concurrently (asyncio.gather in the current code; sequential fallback is identical in behaviour). The join before Merge guarantees that the parser always sees both the raw model JSON and the retrieved passages, even when RAG is off (NullRetriever supplies an empty tuple). This is why the same downstream code serves MedGemma-only and MedGemma+RAG comparisons (AQ3/AQ4).</w:t>
      </w:r>
    </w:p>
    <w:p>
      <w:pPr/>
      <w:r>
        <w:rPr>
          <w:b w:val="0"/>
          <w:i/>
          <w:sz w:val="14"/>
        </w:rPr>
        <w:t>The persistent educational-use banner (“For educational use only. Not for clinical decision-making…”) is not an activity node; it is a cross-cutting UI invariant shown on every page in the Student and Educator lanes (Legal Feasibility, NFR-1).</w:t>
      </w:r>
    </w:p>
    <w:p>
      <w:pPr>
        <w:pStyle w:val="2"/>
      </w:pPr>
      <w:r>
        <w:rPr>
          <w:b w:val="0"/>
          <w:i w:val="0"/>
        </w:rPr>
        <w:t>Sequence Diagram</w:t>
      </w:r>
    </w:p>
    <w:p>
      <w:pPr/>
      <w:r>
        <w:rPr>
          <w:b w:val="0"/>
          <w:i/>
          <w:sz w:val="14"/>
        </w:rPr>
        <w:t>Normative source: Figure 4.3 (Design) — SubmitAttempt sequence, happy path + error branches. Lifeline names are the exact module/class names used in the repo so that the diagram is navigable to code.</w:t>
      </w:r>
    </w:p>
    <w:p>
      <w:pPr>
        <w:jc w:val="center"/>
      </w:pPr>
      <w:r>
        <w:drawing>
          <wp:inline xmlns:a="http://schemas.openxmlformats.org/drawingml/2006/main" xmlns:pic="http://schemas.openxmlformats.org/drawingml/2006/picture">
            <wp:extent cx="6126480" cy="3464574"/>
            <wp:docPr id="3" name="Picture 3"/>
            <wp:cNvGraphicFramePr>
              <a:graphicFrameLocks noChangeAspect="1"/>
            </wp:cNvGraphicFramePr>
            <a:graphic>
              <a:graphicData uri="http://schemas.openxmlformats.org/drawingml/2006/picture">
                <pic:pic>
                  <pic:nvPicPr>
                    <pic:cNvPr id="0" name="03_Sequence_Diagram.png"/>
                    <pic:cNvPicPr/>
                  </pic:nvPicPr>
                  <pic:blipFill>
                    <a:blip r:embed="rId24"/>
                    <a:stretch>
                      <a:fillRect/>
                    </a:stretch>
                  </pic:blipFill>
                  <pic:spPr>
                    <a:xfrm>
                      <a:off x="0" y="0"/>
                      <a:ext cx="6126480" cy="3464574"/>
                    </a:xfrm>
                    <a:prstGeom prst="rect"/>
                  </pic:spPr>
                </pic:pic>
              </a:graphicData>
            </a:graphic>
          </wp:inline>
        </w:drawing>
      </w:r>
    </w:p>
    <w:p>
      <w:pPr>
        <w:jc w:val="center"/>
      </w:pPr>
      <w:r>
        <w:rPr>
          <w:i/>
          <w:color w:val="595959"/>
          <w:sz w:val="14"/>
        </w:rPr>
        <w:t>Figure 3 — Sequence Diagram (UC05/UC06). Solid = call, dashed = return. ‘par’ = parallel generation + retrieval. Amber = MedGemma, green = RAG/persist.</w:t>
      </w:r>
    </w:p>
    <w:p>
      <w:pPr/>
    </w:p>
    <w:p>
      <w:pPr>
        <w:pStyle w:val="3"/>
      </w:pPr>
      <w:r>
        <w:rPr>
          <w:b w:val="0"/>
          <w:i w:val="0"/>
        </w:rPr>
        <w:t>Message flow (happy path)</w:t>
      </w:r>
    </w:p>
    <w:tbl>
      <w:tblPr>
        <w:tblStyle w:val="52"/>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D9E2F3"/>
            <w:vAlign w:val="center"/>
          </w:tcPr>
          <w:p>
            <w:pPr>
              <w:jc w:val="center"/>
            </w:pPr>
            <w:r/>
            <w:r>
              <w:rPr>
                <w:b/>
                <w:color w:val="1F4E79"/>
                <w:sz w:val="12"/>
              </w:rPr>
              <w:t>#</w:t>
            </w:r>
          </w:p>
        </w:tc>
        <w:tc>
          <w:tcPr>
            <w:tcW w:type="dxa" w:w="2340"/>
            <w:shd w:fill="D9E2F3"/>
            <w:vAlign w:val="center"/>
          </w:tcPr>
          <w:p>
            <w:pPr>
              <w:jc w:val="center"/>
            </w:pPr>
            <w:r/>
            <w:r>
              <w:rPr>
                <w:b/>
                <w:color w:val="1F4E79"/>
                <w:sz w:val="12"/>
              </w:rPr>
              <w:t>From → To</w:t>
            </w:r>
          </w:p>
        </w:tc>
        <w:tc>
          <w:tcPr>
            <w:tcW w:type="dxa" w:w="2340"/>
            <w:shd w:fill="D9E2F3"/>
            <w:vAlign w:val="center"/>
          </w:tcPr>
          <w:p>
            <w:pPr>
              <w:jc w:val="center"/>
            </w:pPr>
            <w:r/>
            <w:r>
              <w:rPr>
                <w:b/>
                <w:color w:val="1F4E79"/>
                <w:sz w:val="12"/>
              </w:rPr>
              <w:t>Message / Payload</w:t>
            </w:r>
          </w:p>
        </w:tc>
        <w:tc>
          <w:tcPr>
            <w:tcW w:type="dxa" w:w="2340"/>
            <w:shd w:fill="D9E2F3"/>
            <w:vAlign w:val="center"/>
          </w:tcPr>
          <w:p>
            <w:pPr>
              <w:jc w:val="center"/>
            </w:pPr>
            <w:r/>
            <w:r>
              <w:rPr>
                <w:b/>
                <w:color w:val="1F4E79"/>
                <w:sz w:val="12"/>
              </w:rPr>
              <w:t>Notes / File</w:t>
            </w:r>
          </w:p>
        </w:tc>
      </w:tr>
      <w:tr>
        <w:tc>
          <w:tcPr>
            <w:tcW w:type="dxa" w:w="2340"/>
            <w:vAlign w:val="center"/>
          </w:tcPr>
          <w:p>
            <w:r/>
            <w:r>
              <w:rPr>
                <w:sz w:val="12"/>
              </w:rPr>
              <w:t>1</w:t>
            </w:r>
          </w:p>
        </w:tc>
        <w:tc>
          <w:tcPr>
            <w:tcW w:type="dxa" w:w="2340"/>
            <w:vAlign w:val="center"/>
          </w:tcPr>
          <w:p>
            <w:r/>
            <w:r>
              <w:rPr>
                <w:sz w:val="12"/>
              </w:rPr>
              <w:t>Student → CasePage</w:t>
            </w:r>
          </w:p>
        </w:tc>
        <w:tc>
          <w:tcPr>
            <w:tcW w:type="dxa" w:w="2340"/>
            <w:vAlign w:val="center"/>
          </w:tcPr>
          <w:p>
            <w:r/>
            <w:r>
              <w:rPr>
                <w:sz w:val="12"/>
              </w:rPr>
              <w:t>Submit free text (20–2000 chars)</w:t>
            </w:r>
          </w:p>
        </w:tc>
        <w:tc>
          <w:tcPr>
            <w:tcW w:type="dxa" w:w="2340"/>
            <w:vAlign w:val="center"/>
          </w:tcPr>
          <w:p>
            <w:r/>
            <w:r>
              <w:rPr>
                <w:sz w:val="12"/>
              </w:rPr>
              <w:t>AttemptForm.tsx (react-hook-form + Zod); re-validated by Pydantic on the backend</w:t>
            </w:r>
          </w:p>
        </w:tc>
      </w:tr>
      <w:tr>
        <w:tc>
          <w:tcPr>
            <w:tcW w:type="dxa" w:w="2340"/>
            <w:vAlign w:val="center"/>
          </w:tcPr>
          <w:p>
            <w:r/>
            <w:r>
              <w:rPr>
                <w:sz w:val="12"/>
              </w:rPr>
              <w:t>2</w:t>
            </w:r>
          </w:p>
        </w:tc>
        <w:tc>
          <w:tcPr>
            <w:tcW w:type="dxa" w:w="2340"/>
            <w:vAlign w:val="center"/>
          </w:tcPr>
          <w:p>
            <w:r/>
            <w:r>
              <w:rPr>
                <w:sz w:val="12"/>
              </w:rPr>
              <w:t>CasePage → FastAPI</w:t>
            </w:r>
          </w:p>
        </w:tc>
        <w:tc>
          <w:tcPr>
            <w:tcW w:type="dxa" w:w="2340"/>
            <w:vAlign w:val="center"/>
          </w:tcPr>
          <w:p>
            <w:r/>
            <w:r>
              <w:rPr>
                <w:sz w:val="12"/>
              </w:rPr>
              <w:t>POST /api/v1/attempts {caseId, studentText} + bearer JWT</w:t>
            </w:r>
          </w:p>
        </w:tc>
        <w:tc>
          <w:tcPr>
            <w:tcW w:type="dxa" w:w="2340"/>
            <w:vAlign w:val="center"/>
          </w:tcPr>
          <w:p>
            <w:r/>
            <w:r>
              <w:rPr>
                <w:sz w:val="12"/>
              </w:rPr>
              <w:t>frontend/src/lib/apiRequest.ts — token-aware, single-flight refresh</w:t>
            </w:r>
          </w:p>
        </w:tc>
      </w:tr>
      <w:tr>
        <w:tc>
          <w:tcPr>
            <w:tcW w:type="dxa" w:w="2340"/>
            <w:vAlign w:val="center"/>
          </w:tcPr>
          <w:p>
            <w:r/>
            <w:r>
              <w:rPr>
                <w:sz w:val="12"/>
              </w:rPr>
              <w:t>3</w:t>
            </w:r>
          </w:p>
        </w:tc>
        <w:tc>
          <w:tcPr>
            <w:tcW w:type="dxa" w:w="2340"/>
            <w:vAlign w:val="center"/>
          </w:tcPr>
          <w:p>
            <w:r/>
            <w:r>
              <w:rPr>
                <w:sz w:val="12"/>
              </w:rPr>
              <w:t>FastAPI → UseCase</w:t>
            </w:r>
          </w:p>
        </w:tc>
        <w:tc>
          <w:tcPr>
            <w:tcW w:type="dxa" w:w="2340"/>
            <w:vAlign w:val="center"/>
          </w:tcPr>
          <w:p>
            <w:r/>
            <w:r>
              <w:rPr>
                <w:sz w:val="12"/>
              </w:rPr>
              <w:t>execute(caseId, text, userId)</w:t>
            </w:r>
          </w:p>
        </w:tc>
        <w:tc>
          <w:tcPr>
            <w:tcW w:type="dxa" w:w="2340"/>
            <w:vAlign w:val="center"/>
          </w:tcPr>
          <w:p>
            <w:r/>
            <w:r>
              <w:rPr>
                <w:sz w:val="12"/>
              </w:rPr>
              <w:t>backend/src/cxt/application/use_cases/submit_attempt.py</w:t>
            </w:r>
          </w:p>
        </w:tc>
      </w:tr>
      <w:tr>
        <w:tc>
          <w:tcPr>
            <w:tcW w:type="dxa" w:w="2340"/>
            <w:vAlign w:val="center"/>
          </w:tcPr>
          <w:p>
            <w:r/>
            <w:r>
              <w:rPr>
                <w:sz w:val="12"/>
              </w:rPr>
              <w:t>4</w:t>
            </w:r>
          </w:p>
        </w:tc>
        <w:tc>
          <w:tcPr>
            <w:tcW w:type="dxa" w:w="2340"/>
            <w:vAlign w:val="center"/>
          </w:tcPr>
          <w:p>
            <w:r/>
            <w:r>
              <w:rPr>
                <w:sz w:val="12"/>
              </w:rPr>
              <w:t>UseCase → Adapters</w:t>
            </w:r>
          </w:p>
        </w:tc>
        <w:tc>
          <w:tcPr>
            <w:tcW w:type="dxa" w:w="2340"/>
            <w:vAlign w:val="center"/>
          </w:tcPr>
          <w:p>
            <w:r/>
            <w:r>
              <w:rPr>
                <w:sz w:val="12"/>
              </w:rPr>
              <w:t>require_role(STUDENT) + load Case + create StudentAttempt(pending)</w:t>
            </w:r>
          </w:p>
        </w:tc>
        <w:tc>
          <w:tcPr>
            <w:tcW w:type="dxa" w:w="2340"/>
            <w:vAlign w:val="center"/>
          </w:tcPr>
          <w:p>
            <w:r/>
            <w:r>
              <w:rPr>
                <w:sz w:val="12"/>
              </w:rPr>
              <w:t>domain/entities/, FR-8/NFR-3</w:t>
            </w:r>
          </w:p>
        </w:tc>
      </w:tr>
      <w:tr>
        <w:tc>
          <w:tcPr>
            <w:tcW w:type="dxa" w:w="2340"/>
            <w:vAlign w:val="center"/>
          </w:tcPr>
          <w:p>
            <w:r/>
            <w:r>
              <w:rPr>
                <w:sz w:val="12"/>
              </w:rPr>
              <w:t>5a</w:t>
            </w:r>
          </w:p>
        </w:tc>
        <w:tc>
          <w:tcPr>
            <w:tcW w:type="dxa" w:w="2340"/>
            <w:vAlign w:val="center"/>
          </w:tcPr>
          <w:p>
            <w:r/>
            <w:r>
              <w:rPr>
                <w:sz w:val="12"/>
              </w:rPr>
              <w:t>UseCase → MedGemmaAnalyzer</w:t>
            </w:r>
          </w:p>
        </w:tc>
        <w:tc>
          <w:tcPr>
            <w:tcW w:type="dxa" w:w="2340"/>
            <w:vAlign w:val="center"/>
          </w:tcPr>
          <w:p>
            <w:r/>
            <w:r>
              <w:rPr>
                <w:sz w:val="12"/>
              </w:rPr>
              <w:t>analyze(imageBytes, prompt) → build_prompt() → KaggleTunnelClient → POST /generate</w:t>
            </w:r>
          </w:p>
        </w:tc>
        <w:tc>
          <w:tcPr>
            <w:tcW w:type="dxa" w:w="2340"/>
            <w:vAlign w:val="center"/>
          </w:tcPr>
          <w:p>
            <w:r/>
            <w:r>
              <w:rPr>
                <w:sz w:val="12"/>
              </w:rPr>
              <w:t>backend/src/cxt/infrastructure/ml/medgemma_analyzer.py, kaggle_runtime/medgemma_server.py</w:t>
            </w:r>
          </w:p>
        </w:tc>
      </w:tr>
      <w:tr>
        <w:tc>
          <w:tcPr>
            <w:tcW w:type="dxa" w:w="2340"/>
            <w:vAlign w:val="center"/>
          </w:tcPr>
          <w:p>
            <w:r/>
            <w:r>
              <w:rPr>
                <w:sz w:val="12"/>
              </w:rPr>
              <w:t>5b</w:t>
            </w:r>
          </w:p>
        </w:tc>
        <w:tc>
          <w:tcPr>
            <w:tcW w:type="dxa" w:w="2340"/>
            <w:vAlign w:val="center"/>
          </w:tcPr>
          <w:p>
            <w:r/>
            <w:r>
              <w:rPr>
                <w:sz w:val="12"/>
              </w:rPr>
              <w:t>UseCase → IRetriever</w:t>
            </w:r>
          </w:p>
        </w:tc>
        <w:tc>
          <w:tcPr>
            <w:tcW w:type="dxa" w:w="2340"/>
            <w:vAlign w:val="center"/>
          </w:tcPr>
          <w:p>
            <w:r/>
            <w:r>
              <w:rPr>
                <w:sz w:val="12"/>
              </w:rPr>
              <w:t>retrieve(query) → top-k (k=3)</w:t>
            </w:r>
          </w:p>
        </w:tc>
        <w:tc>
          <w:tcPr>
            <w:tcW w:type="dxa" w:w="2340"/>
            <w:vAlign w:val="center"/>
          </w:tcPr>
          <w:p>
            <w:r/>
            <w:r>
              <w:rPr>
                <w:sz w:val="12"/>
              </w:rPr>
              <w:t>NullRetriever / CorpusRetriever — same port</w:t>
            </w:r>
          </w:p>
        </w:tc>
      </w:tr>
      <w:tr>
        <w:tc>
          <w:tcPr>
            <w:tcW w:type="dxa" w:w="2340"/>
            <w:vAlign w:val="center"/>
          </w:tcPr>
          <w:p>
            <w:r/>
            <w:r>
              <w:rPr>
                <w:sz w:val="12"/>
              </w:rPr>
              <w:t>6</w:t>
            </w:r>
          </w:p>
        </w:tc>
        <w:tc>
          <w:tcPr>
            <w:tcW w:type="dxa" w:w="2340"/>
            <w:vAlign w:val="center"/>
          </w:tcPr>
          <w:p>
            <w:r/>
            <w:r>
              <w:rPr>
                <w:sz w:val="12"/>
              </w:rPr>
              <w:t>UseCase → OutputParser</w:t>
            </w:r>
          </w:p>
        </w:tc>
        <w:tc>
          <w:tcPr>
            <w:tcW w:type="dxa" w:w="2340"/>
            <w:vAlign w:val="center"/>
          </w:tcPr>
          <w:p>
            <w:r/>
            <w:r>
              <w:rPr>
                <w:sz w:val="12"/>
              </w:rPr>
              <w:t>parse(raw, retrieved) → Feedback entity</w:t>
            </w:r>
          </w:p>
        </w:tc>
        <w:tc>
          <w:tcPr>
            <w:tcW w:type="dxa" w:w="2340"/>
            <w:vAlign w:val="center"/>
          </w:tcPr>
          <w:p>
            <w:r/>
            <w:r>
              <w:rPr>
                <w:sz w:val="12"/>
              </w:rPr>
              <w:t>Strips ```json, balanced-brace JSON, FindingLabel alias map, confidence [0,1], 500 ch cap (NFR-1/2)</w:t>
            </w:r>
          </w:p>
        </w:tc>
      </w:tr>
      <w:tr>
        <w:tc>
          <w:tcPr>
            <w:tcW w:type="dxa" w:w="2340"/>
            <w:vAlign w:val="center"/>
          </w:tcPr>
          <w:p>
            <w:r/>
            <w:r>
              <w:rPr>
                <w:sz w:val="12"/>
              </w:rPr>
              <w:t>7</w:t>
            </w:r>
          </w:p>
        </w:tc>
        <w:tc>
          <w:tcPr>
            <w:tcW w:type="dxa" w:w="2340"/>
            <w:vAlign w:val="center"/>
          </w:tcPr>
          <w:p>
            <w:r/>
            <w:r>
              <w:rPr>
                <w:sz w:val="12"/>
              </w:rPr>
              <w:t>UseCase → AttemptRepository</w:t>
            </w:r>
          </w:p>
        </w:tc>
        <w:tc>
          <w:tcPr>
            <w:tcW w:type="dxa" w:w="2340"/>
            <w:vAlign w:val="center"/>
          </w:tcPr>
          <w:p>
            <w:r/>
            <w:r>
              <w:rPr>
                <w:sz w:val="12"/>
              </w:rPr>
              <w:t>persist Attempt + Feedback (incl. Feedback.raw: promptVersion, modelVersion, passageIds)</w:t>
            </w:r>
          </w:p>
        </w:tc>
        <w:tc>
          <w:tcPr>
            <w:tcW w:type="dxa" w:w="2340"/>
            <w:vAlign w:val="center"/>
          </w:tcPr>
          <w:p>
            <w:r/>
            <w:r>
              <w:rPr>
                <w:sz w:val="12"/>
              </w:rPr>
              <w:t>NFR-4 traceability</w:t>
            </w:r>
          </w:p>
        </w:tc>
      </w:tr>
      <w:tr>
        <w:tc>
          <w:tcPr>
            <w:tcW w:type="dxa" w:w="2340"/>
            <w:vAlign w:val="center"/>
          </w:tcPr>
          <w:p>
            <w:r/>
            <w:r>
              <w:rPr>
                <w:sz w:val="12"/>
              </w:rPr>
              <w:t>8</w:t>
            </w:r>
          </w:p>
        </w:tc>
        <w:tc>
          <w:tcPr>
            <w:tcW w:type="dxa" w:w="2340"/>
            <w:vAlign w:val="center"/>
          </w:tcPr>
          <w:p>
            <w:r/>
            <w:r>
              <w:rPr>
                <w:sz w:val="12"/>
              </w:rPr>
              <w:t>FastAPI → Browser</w:t>
            </w:r>
          </w:p>
        </w:tc>
        <w:tc>
          <w:tcPr>
            <w:tcW w:type="dxa" w:w="2340"/>
            <w:vAlign w:val="center"/>
          </w:tcPr>
          <w:p>
            <w:r/>
            <w:r>
              <w:rPr>
                <w:sz w:val="12"/>
              </w:rPr>
              <w:t>201 Created + Feedback DTO</w:t>
            </w:r>
          </w:p>
        </w:tc>
        <w:tc>
          <w:tcPr>
            <w:tcW w:type="dxa" w:w="2340"/>
            <w:vAlign w:val="center"/>
          </w:tcPr>
          <w:p>
            <w:r/>
            <w:r>
              <w:rPr>
                <w:sz w:val="12"/>
              </w:rPr>
              <w:t>Global {detail, code, request_id} envelope on errors</w:t>
            </w:r>
          </w:p>
        </w:tc>
      </w:tr>
      <w:tr>
        <w:tc>
          <w:tcPr>
            <w:tcW w:type="dxa" w:w="2340"/>
            <w:vAlign w:val="center"/>
          </w:tcPr>
          <w:p>
            <w:r/>
            <w:r>
              <w:rPr>
                <w:sz w:val="12"/>
              </w:rPr>
              <w:t>9</w:t>
            </w:r>
          </w:p>
        </w:tc>
        <w:tc>
          <w:tcPr>
            <w:tcW w:type="dxa" w:w="2340"/>
            <w:vAlign w:val="center"/>
          </w:tcPr>
          <w:p>
            <w:r/>
            <w:r>
              <w:rPr>
                <w:sz w:val="12"/>
              </w:rPr>
              <w:t>Browser → Student</w:t>
            </w:r>
          </w:p>
        </w:tc>
        <w:tc>
          <w:tcPr>
            <w:tcW w:type="dxa" w:w="2340"/>
            <w:vAlign w:val="center"/>
          </w:tcPr>
          <w:p>
            <w:r/>
            <w:r>
              <w:rPr>
                <w:sz w:val="12"/>
              </w:rPr>
              <w:t>Render FeedbackSection + ‘Show evidence’ panel</w:t>
            </w:r>
          </w:p>
        </w:tc>
        <w:tc>
          <w:tcPr>
            <w:tcW w:type="dxa" w:w="2340"/>
            <w:vAlign w:val="center"/>
          </w:tcPr>
          <w:p>
            <w:r/>
            <w:r>
              <w:rPr>
                <w:sz w:val="12"/>
              </w:rPr>
              <w:t>FR-5, FR-6, NFR-1</w:t>
            </w:r>
          </w:p>
        </w:tc>
      </w:tr>
    </w:tbl>
    <w:p>
      <w:pPr/>
    </w:p>
    <w:p>
      <w:pPr>
        <w:pStyle w:val="3"/>
      </w:pPr>
      <w:r>
        <w:rPr>
          <w:b w:val="0"/>
          <w:i w:val="0"/>
        </w:rPr>
        <w:t>Alternate / error flows</w:t>
      </w:r>
    </w:p>
    <w:tbl>
      <w:tblPr>
        <w:tblStyle w:val="52"/>
        <w:tblW w:type="auto" w:w="0"/>
        <w:jc w:val="center"/>
        <w:tblLayout w:type="autofit"/>
        <w:tblLook w:firstColumn="1" w:firstRow="1" w:lastColumn="0" w:lastRow="0" w:noHBand="0" w:noVBand="1" w:val="04A0"/>
      </w:tblPr>
      <w:tblGrid>
        <w:gridCol w:w="3120"/>
        <w:gridCol w:w="3120"/>
        <w:gridCol w:w="3120"/>
      </w:tblGrid>
      <w:tr>
        <w:tc>
          <w:tcPr>
            <w:tcW w:type="dxa" w:w="3120"/>
            <w:shd w:fill="D9E2F3"/>
            <w:vAlign w:val="center"/>
          </w:tcPr>
          <w:p>
            <w:pPr>
              <w:jc w:val="center"/>
            </w:pPr>
            <w:r/>
            <w:r>
              <w:rPr>
                <w:b/>
                <w:color w:val="1F4E79"/>
                <w:sz w:val="12"/>
              </w:rPr>
              <w:t>Condition</w:t>
            </w:r>
          </w:p>
        </w:tc>
        <w:tc>
          <w:tcPr>
            <w:tcW w:type="dxa" w:w="3120"/>
            <w:shd w:fill="D9E2F3"/>
            <w:vAlign w:val="center"/>
          </w:tcPr>
          <w:p>
            <w:pPr>
              <w:jc w:val="center"/>
            </w:pPr>
            <w:r/>
            <w:r>
              <w:rPr>
                <w:b/>
                <w:color w:val="1F4E79"/>
                <w:sz w:val="12"/>
              </w:rPr>
              <w:t>Response</w:t>
            </w:r>
          </w:p>
        </w:tc>
        <w:tc>
          <w:tcPr>
            <w:tcW w:type="dxa" w:w="3120"/>
            <w:shd w:fill="D9E2F3"/>
            <w:vAlign w:val="center"/>
          </w:tcPr>
          <w:p>
            <w:pPr>
              <w:jc w:val="center"/>
            </w:pPr>
            <w:r/>
            <w:r>
              <w:rPr>
                <w:b/>
                <w:color w:val="1F4E79"/>
                <w:sz w:val="12"/>
              </w:rPr>
              <w:t>How the diagram shows it</w:t>
            </w:r>
          </w:p>
        </w:tc>
      </w:tr>
      <w:tr>
        <w:tc>
          <w:tcPr>
            <w:tcW w:type="dxa" w:w="3120"/>
            <w:vAlign w:val="center"/>
          </w:tcPr>
          <w:p>
            <w:r/>
            <w:r>
              <w:rPr>
                <w:sz w:val="12"/>
              </w:rPr>
              <w:t>401 Missing/expired JWT</w:t>
            </w:r>
          </w:p>
        </w:tc>
        <w:tc>
          <w:tcPr>
            <w:tcW w:type="dxa" w:w="3120"/>
            <w:vAlign w:val="center"/>
          </w:tcPr>
          <w:p>
            <w:r/>
            <w:r>
              <w:rPr>
                <w:sz w:val="12"/>
              </w:rPr>
              <w:t>apiRequest refreshes once (single-flight) then retries; second 401 → logout + redirect to /login</w:t>
            </w:r>
          </w:p>
        </w:tc>
        <w:tc>
          <w:tcPr>
            <w:tcW w:type="dxa" w:w="3120"/>
            <w:vAlign w:val="center"/>
          </w:tcPr>
          <w:p>
            <w:r/>
            <w:r>
              <w:rPr>
                <w:sz w:val="12"/>
              </w:rPr>
              <w:t>Dashed return labelled ‘401’ in the alt note below the 3→4 arrow; not a separate lifeline to keep the happy path readable</w:t>
            </w:r>
          </w:p>
        </w:tc>
      </w:tr>
      <w:tr>
        <w:tc>
          <w:tcPr>
            <w:tcW w:type="dxa" w:w="3120"/>
            <w:vAlign w:val="center"/>
          </w:tcPr>
          <w:p>
            <w:r/>
            <w:r>
              <w:rPr>
                <w:sz w:val="12"/>
              </w:rPr>
              <w:t>403 Role guard</w:t>
            </w:r>
          </w:p>
        </w:tc>
        <w:tc>
          <w:tcPr>
            <w:tcW w:type="dxa" w:w="3120"/>
            <w:vAlign w:val="center"/>
          </w:tcPr>
          <w:p>
            <w:r/>
            <w:r>
              <w:rPr>
                <w:sz w:val="12"/>
              </w:rPr>
              <w:t>POST /attempts with non-STUDENT role → 403 {detail: ‘forbidden’}</w:t>
            </w:r>
          </w:p>
        </w:tc>
        <w:tc>
          <w:tcPr>
            <w:tcW w:type="dxa" w:w="3120"/>
            <w:vAlign w:val="center"/>
          </w:tcPr>
          <w:p>
            <w:r/>
            <w:r>
              <w:rPr>
                <w:sz w:val="12"/>
              </w:rPr>
              <w:t>require_role(STUDENT) activation bar returns 403 before step 4</w:t>
            </w:r>
          </w:p>
        </w:tc>
      </w:tr>
      <w:tr>
        <w:tc>
          <w:tcPr>
            <w:tcW w:type="dxa" w:w="3120"/>
            <w:vAlign w:val="center"/>
          </w:tcPr>
          <w:p>
            <w:r/>
            <w:r>
              <w:rPr>
                <w:sz w:val="12"/>
              </w:rPr>
              <w:t>422 Validation</w:t>
            </w:r>
          </w:p>
        </w:tc>
        <w:tc>
          <w:tcPr>
            <w:tcW w:type="dxa" w:w="3120"/>
            <w:vAlign w:val="center"/>
          </w:tcPr>
          <w:p>
            <w:r/>
            <w:r>
              <w:rPr>
                <w:sz w:val="12"/>
              </w:rPr>
              <w:t>Text &lt;20 or &gt;2000 chars, or unknown caseId → 422 Validation Error</w:t>
            </w:r>
          </w:p>
        </w:tc>
        <w:tc>
          <w:tcPr>
            <w:tcW w:type="dxa" w:w="3120"/>
            <w:vAlign w:val="center"/>
          </w:tcPr>
          <w:p>
            <w:r/>
            <w:r>
              <w:rPr>
                <w:sz w:val="12"/>
              </w:rPr>
              <w:t>Decision diamond in the Activity view; sequence shows Pydantic re-validation inside UseCase</w:t>
            </w:r>
          </w:p>
        </w:tc>
      </w:tr>
      <w:tr>
        <w:tc>
          <w:tcPr>
            <w:tcW w:type="dxa" w:w="3120"/>
            <w:vAlign w:val="center"/>
          </w:tcPr>
          <w:p>
            <w:r/>
            <w:r>
              <w:rPr>
                <w:sz w:val="12"/>
              </w:rPr>
              <w:t>503 Tunnel timeout</w:t>
            </w:r>
          </w:p>
        </w:tc>
        <w:tc>
          <w:tcPr>
            <w:tcW w:type="dxa" w:w="3120"/>
            <w:vAlign w:val="center"/>
          </w:tcPr>
          <w:p>
            <w:r/>
            <w:r>
              <w:rPr>
                <w:sz w:val="12"/>
              </w:rPr>
              <w:t>Kaggle pyngrok session expired or model cold-start → 503 ‘model unavailable, retry’</w:t>
            </w:r>
          </w:p>
        </w:tc>
        <w:tc>
          <w:tcPr>
            <w:tcW w:type="dxa" w:w="3120"/>
            <w:vAlign w:val="center"/>
          </w:tcPr>
          <w:p>
            <w:r/>
            <w:r>
              <w:rPr>
                <w:sz w:val="12"/>
              </w:rPr>
              <w:t>Dashed return from MedGemmaAnalyzer to UseCase; caller shows retry CTA</w:t>
            </w:r>
          </w:p>
        </w:tc>
      </w:tr>
      <w:tr>
        <w:tc>
          <w:tcPr>
            <w:tcW w:type="dxa" w:w="3120"/>
            <w:vAlign w:val="center"/>
          </w:tcPr>
          <w:p>
            <w:r/>
            <w:r>
              <w:rPr>
                <w:sz w:val="12"/>
              </w:rPr>
              <w:t>429 Throttled</w:t>
            </w:r>
          </w:p>
        </w:tc>
        <w:tc>
          <w:tcPr>
            <w:tcW w:type="dxa" w:w="3120"/>
            <w:vAlign w:val="center"/>
          </w:tcPr>
          <w:p>
            <w:r/>
            <w:r>
              <w:rPr>
                <w:sz w:val="12"/>
              </w:rPr>
              <w:t>Kaggle / API rate-limit → 429 Retry-After</w:t>
            </w:r>
          </w:p>
        </w:tc>
        <w:tc>
          <w:tcPr>
            <w:tcW w:type="dxa" w:w="3120"/>
            <w:vAlign w:val="center"/>
          </w:tcPr>
          <w:p>
            <w:r/>
            <w:r>
              <w:rPr>
                <w:sz w:val="12"/>
              </w:rPr>
              <w:t>Same 503 path; frontend surfaces a countdown</w:t>
            </w:r>
          </w:p>
        </w:tc>
      </w:tr>
    </w:tbl>
    <w:p>
      <w:pPr/>
    </w:p>
    <w:p>
      <w:pPr/>
      <w:r>
        <w:rPr>
          <w:b w:val="0"/>
          <w:i/>
          <w:sz w:val="14"/>
        </w:rPr>
        <w:t>Every message carries a request_id (middleware in backend/src/cxt/interfaces/api/middleware/request_id.py) that is logged on the backend and returned in the error envelope so that a failed Attempt can be correlated with its Feedback.raw record — the same ID is shown in the sequence’s alt note at the bottom.</w:t>
      </w:r>
    </w:p>
    <w:p>
      <w:pPr>
        <w:pStyle w:val="2"/>
      </w:pPr>
      <w:r>
        <w:rPr>
          <w:b w:val="0"/>
          <w:i w:val="0"/>
        </w:rPr>
        <w:t>Traceability matrix (FR/NFR → views)</w:t>
      </w:r>
    </w:p>
    <w:tbl>
      <w:tblPr>
        <w:tblStyle w:val="52"/>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D9E2F3"/>
            <w:vAlign w:val="center"/>
          </w:tcPr>
          <w:p>
            <w:pPr>
              <w:jc w:val="center"/>
            </w:pPr>
            <w:r/>
            <w:r>
              <w:rPr>
                <w:b/>
                <w:color w:val="1F4E79"/>
                <w:sz w:val="12"/>
              </w:rPr>
              <w:t>Requirement</w:t>
            </w:r>
          </w:p>
        </w:tc>
        <w:tc>
          <w:tcPr>
            <w:tcW w:type="dxa" w:w="1872"/>
            <w:shd w:fill="D9E2F3"/>
            <w:vAlign w:val="center"/>
          </w:tcPr>
          <w:p>
            <w:pPr>
              <w:jc w:val="center"/>
            </w:pPr>
            <w:r/>
            <w:r>
              <w:rPr>
                <w:b/>
                <w:color w:val="1F4E79"/>
                <w:sz w:val="12"/>
              </w:rPr>
              <w:t>Use-Case view</w:t>
            </w:r>
          </w:p>
        </w:tc>
        <w:tc>
          <w:tcPr>
            <w:tcW w:type="dxa" w:w="1872"/>
            <w:shd w:fill="D9E2F3"/>
            <w:vAlign w:val="center"/>
          </w:tcPr>
          <w:p>
            <w:pPr>
              <w:jc w:val="center"/>
            </w:pPr>
            <w:r/>
            <w:r>
              <w:rPr>
                <w:b/>
                <w:color w:val="1F4E79"/>
                <w:sz w:val="12"/>
              </w:rPr>
              <w:t>Activity view</w:t>
            </w:r>
          </w:p>
        </w:tc>
        <w:tc>
          <w:tcPr>
            <w:tcW w:type="dxa" w:w="1872"/>
            <w:shd w:fill="D9E2F3"/>
            <w:vAlign w:val="center"/>
          </w:tcPr>
          <w:p>
            <w:pPr>
              <w:jc w:val="center"/>
            </w:pPr>
            <w:r/>
            <w:r>
              <w:rPr>
                <w:b/>
                <w:color w:val="1F4E79"/>
                <w:sz w:val="12"/>
              </w:rPr>
              <w:t>Sequence view</w:t>
            </w:r>
          </w:p>
        </w:tc>
        <w:tc>
          <w:tcPr>
            <w:tcW w:type="dxa" w:w="1872"/>
            <w:shd w:fill="D9E2F3"/>
            <w:vAlign w:val="center"/>
          </w:tcPr>
          <w:p>
            <w:pPr>
              <w:jc w:val="center"/>
            </w:pPr>
            <w:r/>
            <w:r>
              <w:rPr>
                <w:b/>
                <w:color w:val="1F4E79"/>
                <w:sz w:val="12"/>
              </w:rPr>
              <w:t>Code / Table</w:t>
            </w:r>
          </w:p>
        </w:tc>
      </w:tr>
      <w:tr>
        <w:tc>
          <w:tcPr>
            <w:tcW w:type="dxa" w:w="1872"/>
            <w:vAlign w:val="center"/>
          </w:tcPr>
          <w:p>
            <w:r/>
            <w:r>
              <w:rPr>
                <w:sz w:val="12"/>
              </w:rPr>
              <w:t>FR-1 Display CXR</w:t>
            </w:r>
          </w:p>
        </w:tc>
        <w:tc>
          <w:tcPr>
            <w:tcW w:type="dxa" w:w="1872"/>
            <w:vAlign w:val="center"/>
          </w:tcPr>
          <w:p>
            <w:r/>
            <w:r>
              <w:rPr>
                <w:sz w:val="12"/>
              </w:rPr>
              <w:t>UC03, UC04</w:t>
            </w:r>
          </w:p>
        </w:tc>
        <w:tc>
          <w:tcPr>
            <w:tcW w:type="dxa" w:w="1872"/>
            <w:vAlign w:val="center"/>
          </w:tcPr>
          <w:p>
            <w:r/>
            <w:r>
              <w:rPr>
                <w:sz w:val="12"/>
              </w:rPr>
              <w:t>Steps 2–3 (Browse/Select + CaseRepository)</w:t>
            </w:r>
          </w:p>
        </w:tc>
        <w:tc>
          <w:tcPr>
            <w:tcW w:type="dxa" w:w="1872"/>
            <w:vAlign w:val="center"/>
          </w:tcPr>
          <w:p>
            <w:r/>
            <w:r>
              <w:rPr>
                <w:sz w:val="12"/>
              </w:rPr>
              <w:t>Messages 3–4 (GET /cases, /cases/{id})</w:t>
            </w:r>
          </w:p>
        </w:tc>
        <w:tc>
          <w:tcPr>
            <w:tcW w:type="dxa" w:w="1872"/>
            <w:vAlign w:val="center"/>
          </w:tcPr>
          <w:p>
            <w:r/>
            <w:r>
              <w:rPr>
                <w:sz w:val="12"/>
              </w:rPr>
              <w:t>FR-1, Table 3.11, manifest_repository.py</w:t>
            </w:r>
          </w:p>
        </w:tc>
      </w:tr>
      <w:tr>
        <w:tc>
          <w:tcPr>
            <w:tcW w:type="dxa" w:w="1872"/>
            <w:vAlign w:val="center"/>
          </w:tcPr>
          <w:p>
            <w:r/>
            <w:r>
              <w:rPr>
                <w:sz w:val="12"/>
              </w:rPr>
              <w:t>FR-2 Record own interpretation before AI</w:t>
            </w:r>
          </w:p>
        </w:tc>
        <w:tc>
          <w:tcPr>
            <w:tcW w:type="dxa" w:w="1872"/>
            <w:vAlign w:val="center"/>
          </w:tcPr>
          <w:p>
            <w:r/>
            <w:r>
              <w:rPr>
                <w:sz w:val="12"/>
              </w:rPr>
              <w:t>UC04, UC05 (guard)</w:t>
            </w:r>
          </w:p>
        </w:tc>
        <w:tc>
          <w:tcPr>
            <w:tcW w:type="dxa" w:w="1872"/>
            <w:vAlign w:val="center"/>
          </w:tcPr>
          <w:p>
            <w:r/>
            <w:r>
              <w:rPr>
                <w:sz w:val="12"/>
              </w:rPr>
              <w:t>Step 4 + Decision valid?</w:t>
            </w:r>
          </w:p>
        </w:tc>
        <w:tc>
          <w:tcPr>
            <w:tcW w:type="dxa" w:w="1872"/>
            <w:vAlign w:val="center"/>
          </w:tcPr>
          <w:p>
            <w:r/>
            <w:r>
              <w:rPr>
                <w:sz w:val="12"/>
              </w:rPr>
              <w:t>Message 1 (Zod) + guard not to expose feedback early</w:t>
            </w:r>
          </w:p>
        </w:tc>
        <w:tc>
          <w:tcPr>
            <w:tcW w:type="dxa" w:w="1872"/>
            <w:vAlign w:val="center"/>
          </w:tcPr>
          <w:p>
            <w:r/>
            <w:r>
              <w:rPr>
                <w:sz w:val="12"/>
              </w:rPr>
              <w:t>AttemptForm.tsx, NFR-1</w:t>
            </w:r>
          </w:p>
        </w:tc>
      </w:tr>
      <w:tr>
        <w:tc>
          <w:tcPr>
            <w:tcW w:type="dxa" w:w="1872"/>
            <w:vAlign w:val="center"/>
          </w:tcPr>
          <w:p>
            <w:r/>
            <w:r>
              <w:rPr>
                <w:sz w:val="12"/>
              </w:rPr>
              <w:t>FR-3 MedGemma analyse</w:t>
            </w:r>
          </w:p>
        </w:tc>
        <w:tc>
          <w:tcPr>
            <w:tcW w:type="dxa" w:w="1872"/>
            <w:vAlign w:val="center"/>
          </w:tcPr>
          <w:p>
            <w:r/>
            <w:r>
              <w:rPr>
                <w:sz w:val="12"/>
              </w:rPr>
              <w:t>UC06 (amber)</w:t>
            </w:r>
          </w:p>
        </w:tc>
        <w:tc>
          <w:tcPr>
            <w:tcW w:type="dxa" w:w="1872"/>
            <w:vAlign w:val="center"/>
          </w:tcPr>
          <w:p>
            <w:r/>
            <w:r>
              <w:rPr>
                <w:sz w:val="12"/>
              </w:rPr>
              <w:t>Steps 7a (Build prompt + MedGemma)</w:t>
            </w:r>
          </w:p>
        </w:tc>
        <w:tc>
          <w:tcPr>
            <w:tcW w:type="dxa" w:w="1872"/>
            <w:vAlign w:val="center"/>
          </w:tcPr>
          <w:p>
            <w:r/>
            <w:r>
              <w:rPr>
                <w:sz w:val="12"/>
              </w:rPr>
              <w:t>Message 5a</w:t>
            </w:r>
          </w:p>
        </w:tc>
        <w:tc>
          <w:tcPr>
            <w:tcW w:type="dxa" w:w="1872"/>
            <w:vAlign w:val="center"/>
          </w:tcPr>
          <w:p>
            <w:r/>
            <w:r>
              <w:rPr>
                <w:sz w:val="12"/>
              </w:rPr>
              <w:t>medgemma_analyzer.py, NFR-5</w:t>
            </w:r>
          </w:p>
        </w:tc>
      </w:tr>
      <w:tr>
        <w:tc>
          <w:tcPr>
            <w:tcW w:type="dxa" w:w="1872"/>
            <w:vAlign w:val="center"/>
          </w:tcPr>
          <w:p>
            <w:r/>
            <w:r>
              <w:rPr>
                <w:sz w:val="12"/>
              </w:rPr>
              <w:t>FR-4 RAG retrieve</w:t>
            </w:r>
          </w:p>
        </w:tc>
        <w:tc>
          <w:tcPr>
            <w:tcW w:type="dxa" w:w="1872"/>
            <w:vAlign w:val="center"/>
          </w:tcPr>
          <w:p>
            <w:r/>
            <w:r>
              <w:rPr>
                <w:sz w:val="12"/>
              </w:rPr>
              <w:t>RAG annotation</w:t>
            </w:r>
          </w:p>
        </w:tc>
        <w:tc>
          <w:tcPr>
            <w:tcW w:type="dxa" w:w="1872"/>
            <w:vAlign w:val="center"/>
          </w:tcPr>
          <w:p>
            <w:r/>
            <w:r>
              <w:rPr>
                <w:sz w:val="12"/>
              </w:rPr>
              <w:t>Step 7b (IRetriever)</w:t>
            </w:r>
          </w:p>
        </w:tc>
        <w:tc>
          <w:tcPr>
            <w:tcW w:type="dxa" w:w="1872"/>
            <w:vAlign w:val="center"/>
          </w:tcPr>
          <w:p>
            <w:r/>
            <w:r>
              <w:rPr>
                <w:sz w:val="12"/>
              </w:rPr>
              <w:t>Message 5b (par)</w:t>
            </w:r>
          </w:p>
        </w:tc>
        <w:tc>
          <w:tcPr>
            <w:tcW w:type="dxa" w:w="1872"/>
            <w:vAlign w:val="center"/>
          </w:tcPr>
          <w:p>
            <w:r/>
            <w:r>
              <w:rPr>
                <w:sz w:val="12"/>
              </w:rPr>
              <w:t>IRetriever, NFR-7</w:t>
            </w:r>
          </w:p>
        </w:tc>
      </w:tr>
      <w:tr>
        <w:tc>
          <w:tcPr>
            <w:tcW w:type="dxa" w:w="1872"/>
            <w:vAlign w:val="center"/>
          </w:tcPr>
          <w:p>
            <w:r/>
            <w:r>
              <w:rPr>
                <w:sz w:val="12"/>
              </w:rPr>
              <w:t>FR-5 Generate feedback note</w:t>
            </w:r>
          </w:p>
        </w:tc>
        <w:tc>
          <w:tcPr>
            <w:tcW w:type="dxa" w:w="1872"/>
            <w:vAlign w:val="center"/>
          </w:tcPr>
          <w:p>
            <w:r/>
            <w:r>
              <w:rPr>
                <w:sz w:val="12"/>
              </w:rPr>
              <w:t>UC06/UC07</w:t>
            </w:r>
          </w:p>
        </w:tc>
        <w:tc>
          <w:tcPr>
            <w:tcW w:type="dxa" w:w="1872"/>
            <w:vAlign w:val="center"/>
          </w:tcPr>
          <w:p>
            <w:r/>
            <w:r>
              <w:rPr>
                <w:sz w:val="12"/>
              </w:rPr>
              <w:t>Step 8 (Merge→Parser→Feedback)</w:t>
            </w:r>
          </w:p>
        </w:tc>
        <w:tc>
          <w:tcPr>
            <w:tcW w:type="dxa" w:w="1872"/>
            <w:vAlign w:val="center"/>
          </w:tcPr>
          <w:p>
            <w:r/>
            <w:r>
              <w:rPr>
                <w:sz w:val="12"/>
              </w:rPr>
              <w:t>Message 6 (OutputParser)</w:t>
            </w:r>
          </w:p>
        </w:tc>
        <w:tc>
          <w:tcPr>
            <w:tcW w:type="dxa" w:w="1872"/>
            <w:vAlign w:val="center"/>
          </w:tcPr>
          <w:p>
            <w:r/>
            <w:r>
              <w:rPr>
                <w:sz w:val="12"/>
              </w:rPr>
              <w:t>feedback.py, output_parser.py</w:t>
            </w:r>
          </w:p>
        </w:tc>
      </w:tr>
      <w:tr>
        <w:tc>
          <w:tcPr>
            <w:tcW w:type="dxa" w:w="1872"/>
            <w:vAlign w:val="center"/>
          </w:tcPr>
          <w:p>
            <w:r/>
            <w:r>
              <w:rPr>
                <w:sz w:val="12"/>
              </w:rPr>
              <w:t>FR-6 Display sources</w:t>
            </w:r>
          </w:p>
        </w:tc>
        <w:tc>
          <w:tcPr>
            <w:tcW w:type="dxa" w:w="1872"/>
            <w:vAlign w:val="center"/>
          </w:tcPr>
          <w:p>
            <w:r/>
            <w:r>
              <w:rPr>
                <w:sz w:val="12"/>
              </w:rPr>
              <w:t>UC07 ‘Show evidence’</w:t>
            </w:r>
          </w:p>
        </w:tc>
        <w:tc>
          <w:tcPr>
            <w:tcW w:type="dxa" w:w="1872"/>
            <w:vAlign w:val="center"/>
          </w:tcPr>
          <w:p>
            <w:r/>
            <w:r>
              <w:rPr>
                <w:sz w:val="12"/>
              </w:rPr>
              <w:t>Step 9 (FeedbackSection)</w:t>
            </w:r>
          </w:p>
        </w:tc>
        <w:tc>
          <w:tcPr>
            <w:tcW w:type="dxa" w:w="1872"/>
            <w:vAlign w:val="center"/>
          </w:tcPr>
          <w:p>
            <w:r/>
            <w:r>
              <w:rPr>
                <w:sz w:val="12"/>
              </w:rPr>
              <w:t>Message 9 (sources tuple)</w:t>
            </w:r>
          </w:p>
        </w:tc>
        <w:tc>
          <w:tcPr>
            <w:tcW w:type="dxa" w:w="1872"/>
            <w:vAlign w:val="center"/>
          </w:tcPr>
          <w:p>
            <w:r/>
            <w:r>
              <w:rPr>
                <w:sz w:val="12"/>
              </w:rPr>
              <w:t>FeedbackSection.tsx, NFR-2</w:t>
            </w:r>
          </w:p>
        </w:tc>
      </w:tr>
      <w:tr>
        <w:tc>
          <w:tcPr>
            <w:tcW w:type="dxa" w:w="1872"/>
            <w:vAlign w:val="center"/>
          </w:tcPr>
          <w:p>
            <w:r/>
            <w:r>
              <w:rPr>
                <w:sz w:val="12"/>
              </w:rPr>
              <w:t>FR-7 Educator review</w:t>
            </w:r>
          </w:p>
        </w:tc>
        <w:tc>
          <w:tcPr>
            <w:tcW w:type="dxa" w:w="1872"/>
            <w:vAlign w:val="center"/>
          </w:tcPr>
          <w:p>
            <w:r/>
            <w:r>
              <w:rPr>
                <w:sz w:val="12"/>
              </w:rPr>
              <w:t>UC09, UC10</w:t>
            </w:r>
          </w:p>
        </w:tc>
        <w:tc>
          <w:tcPr>
            <w:tcW w:type="dxa" w:w="1872"/>
            <w:vAlign w:val="center"/>
          </w:tcPr>
          <w:p>
            <w:r/>
            <w:r>
              <w:rPr>
                <w:sz w:val="12"/>
              </w:rPr>
              <w:t>— (Educator lane, same pattern)</w:t>
            </w:r>
          </w:p>
        </w:tc>
        <w:tc>
          <w:tcPr>
            <w:tcW w:type="dxa" w:w="1872"/>
            <w:vAlign w:val="center"/>
          </w:tcPr>
          <w:p>
            <w:r/>
            <w:r>
              <w:rPr>
                <w:sz w:val="12"/>
              </w:rPr>
              <w:t>— (ListReviewQueueUseCase / ReviewAttemptUseCase)</w:t>
            </w:r>
          </w:p>
        </w:tc>
        <w:tc>
          <w:tcPr>
            <w:tcW w:type="dxa" w:w="1872"/>
            <w:vAlign w:val="center"/>
          </w:tcPr>
          <w:p>
            <w:r/>
            <w:r>
              <w:rPr>
                <w:sz w:val="12"/>
              </w:rPr>
              <w:t>FR-7, review_queue, RBAC</w:t>
            </w:r>
          </w:p>
        </w:tc>
      </w:tr>
      <w:tr>
        <w:tc>
          <w:tcPr>
            <w:tcW w:type="dxa" w:w="1872"/>
            <w:vAlign w:val="center"/>
          </w:tcPr>
          <w:p>
            <w:r/>
            <w:r>
              <w:rPr>
                <w:sz w:val="12"/>
              </w:rPr>
              <w:t>FR-8 RBAC</w:t>
            </w:r>
          </w:p>
        </w:tc>
        <w:tc>
          <w:tcPr>
            <w:tcW w:type="dxa" w:w="1872"/>
            <w:vAlign w:val="center"/>
          </w:tcPr>
          <w:p>
            <w:r/>
            <w:r>
              <w:rPr>
                <w:sz w:val="12"/>
              </w:rPr>
              <w:t>Actors + require_role</w:t>
            </w:r>
          </w:p>
        </w:tc>
        <w:tc>
          <w:tcPr>
            <w:tcW w:type="dxa" w:w="1872"/>
            <w:vAlign w:val="center"/>
          </w:tcPr>
          <w:p>
            <w:r/>
            <w:r>
              <w:rPr>
                <w:sz w:val="12"/>
              </w:rPr>
              <w:t>Lane headers + guard</w:t>
            </w:r>
          </w:p>
        </w:tc>
        <w:tc>
          <w:tcPr>
            <w:tcW w:type="dxa" w:w="1872"/>
            <w:vAlign w:val="center"/>
          </w:tcPr>
          <w:p>
            <w:r/>
            <w:r>
              <w:rPr>
                <w:sz w:val="12"/>
              </w:rPr>
              <w:t>Message 4 (require_role)</w:t>
            </w:r>
          </w:p>
        </w:tc>
        <w:tc>
          <w:tcPr>
            <w:tcW w:type="dxa" w:w="1872"/>
            <w:vAlign w:val="center"/>
          </w:tcPr>
          <w:p>
            <w:r/>
            <w:r>
              <w:rPr>
                <w:sz w:val="12"/>
              </w:rPr>
              <w:t>user.py, dependencies.py</w:t>
            </w:r>
          </w:p>
        </w:tc>
      </w:tr>
      <w:tr>
        <w:tc>
          <w:tcPr>
            <w:tcW w:type="dxa" w:w="1872"/>
            <w:vAlign w:val="center"/>
          </w:tcPr>
          <w:p>
            <w:r/>
            <w:r>
              <w:rPr>
                <w:sz w:val="12"/>
              </w:rPr>
              <w:t>NFR-1 Clarity at student level</w:t>
            </w:r>
          </w:p>
        </w:tc>
        <w:tc>
          <w:tcPr>
            <w:tcW w:type="dxa" w:w="1872"/>
            <w:vAlign w:val="center"/>
          </w:tcPr>
          <w:p>
            <w:r/>
            <w:r>
              <w:rPr>
                <w:sz w:val="12"/>
              </w:rPr>
              <w:t>UC07 labels</w:t>
            </w:r>
          </w:p>
        </w:tc>
        <w:tc>
          <w:tcPr>
            <w:tcW w:type="dxa" w:w="1872"/>
            <w:vAlign w:val="center"/>
          </w:tcPr>
          <w:p>
            <w:r/>
            <w:r>
              <w:rPr>
                <w:sz w:val="12"/>
              </w:rPr>
              <w:t>500 ch caps, plain defaults</w:t>
            </w:r>
          </w:p>
        </w:tc>
        <w:tc>
          <w:tcPr>
            <w:tcW w:type="dxa" w:w="1872"/>
            <w:vAlign w:val="center"/>
          </w:tcPr>
          <w:p>
            <w:r/>
            <w:r>
              <w:rPr>
                <w:sz w:val="12"/>
              </w:rPr>
              <w:t>Message 6 canonicalisation</w:t>
            </w:r>
          </w:p>
        </w:tc>
        <w:tc>
          <w:tcPr>
            <w:tcW w:type="dxa" w:w="1872"/>
            <w:vAlign w:val="center"/>
          </w:tcPr>
          <w:p>
            <w:r/>
            <w:r>
              <w:rPr>
                <w:sz w:val="12"/>
              </w:rPr>
              <w:t>output_parser.py (NFR-1)</w:t>
            </w:r>
          </w:p>
        </w:tc>
      </w:tr>
      <w:tr>
        <w:tc>
          <w:tcPr>
            <w:tcW w:type="dxa" w:w="1872"/>
            <w:vAlign w:val="center"/>
          </w:tcPr>
          <w:p>
            <w:r/>
            <w:r>
              <w:rPr>
                <w:sz w:val="12"/>
              </w:rPr>
              <w:t>NFR-4 Traceability</w:t>
            </w:r>
          </w:p>
        </w:tc>
        <w:tc>
          <w:tcPr>
            <w:tcW w:type="dxa" w:w="1872"/>
            <w:vAlign w:val="center"/>
          </w:tcPr>
          <w:p>
            <w:r/>
            <w:r>
              <w:rPr>
                <w:sz w:val="12"/>
              </w:rPr>
              <w:t>Feedback.raw note</w:t>
            </w:r>
          </w:p>
        </w:tc>
        <w:tc>
          <w:tcPr>
            <w:tcW w:type="dxa" w:w="1872"/>
            <w:vAlign w:val="center"/>
          </w:tcPr>
          <w:p>
            <w:r/>
            <w:r>
              <w:rPr>
                <w:sz w:val="12"/>
              </w:rPr>
              <w:t>—</w:t>
            </w:r>
          </w:p>
        </w:tc>
        <w:tc>
          <w:tcPr>
            <w:tcW w:type="dxa" w:w="1872"/>
            <w:vAlign w:val="center"/>
          </w:tcPr>
          <w:p>
            <w:r/>
            <w:r>
              <w:rPr>
                <w:sz w:val="12"/>
              </w:rPr>
              <w:t>Message 7 (promptVersion/modelVersion/passageIds)</w:t>
            </w:r>
          </w:p>
        </w:tc>
        <w:tc>
          <w:tcPr>
            <w:tcW w:type="dxa" w:w="1872"/>
            <w:vAlign w:val="center"/>
          </w:tcPr>
          <w:p>
            <w:r/>
            <w:r>
              <w:rPr>
                <w:sz w:val="12"/>
              </w:rPr>
              <w:t>feedback.py, NFR-4</w:t>
            </w:r>
          </w:p>
        </w:tc>
      </w:tr>
    </w:tbl>
    <w:p>
      <w:pPr/>
    </w:p>
    <w:p>
      <w:pPr>
        <w:pStyle w:val="2"/>
      </w:pPr>
      <w:r>
        <w:rPr>
          <w:b w:val="0"/>
          <w:i w:val="0"/>
        </w:rPr>
        <w:t>Design decisions captured in the views</w:t>
      </w:r>
    </w:p>
    <w:p>
      <w:pPr/>
      <w:r>
        <w:rPr>
          <w:b w:val="0"/>
          <w:i w:val="0"/>
          <w:sz w:val="14"/>
        </w:rPr>
        <w:t>1. Student-in-the-loop first — the sequence and activity views both enforce that the student text is collected before any model call; this is the educational differentiator versus clinical report-generation systems (Chapter 2 gap).</w:t>
      </w:r>
    </w:p>
    <w:p>
      <w:pPr/>
      <w:r>
        <w:rPr>
          <w:b w:val="0"/>
          <w:i w:val="0"/>
          <w:sz w:val="14"/>
        </w:rPr>
        <w:t>2. Swappable adapters via ports — the use-case lifeline never names a concrete class; ICaseRepository / IMedGemmaClient / IRetriever are protocols, so NIH → MIMIC-CXR or NullRetriever → CorpusRetriever are one-line composition-root swaps (Table 3.10, NFR-7).</w:t>
      </w:r>
    </w:p>
    <w:p>
      <w:pPr/>
      <w:r>
        <w:rPr>
          <w:b w:val="0"/>
          <w:i w:val="0"/>
          <w:sz w:val="14"/>
        </w:rPr>
        <w:t>3. Safety boundary in OutputParser — free-form model text is quarantined behind strip → balanced-brace → json.loads → alias-map canonicalisation; the frontend never sees raw text (NFR-2).</w:t>
      </w:r>
    </w:p>
    <w:p>
      <w:pPr/>
      <w:r>
        <w:rPr>
          <w:b w:val="0"/>
          <w:i w:val="0"/>
          <w:sz w:val="14"/>
        </w:rPr>
        <w:t>4. Parallelism as an explicit design choice — the fork/join (activity) and par (sequence) are not decorative; they document the evaluation comparison between MedGemma-only and MedGemma+RAG (AQ3/AQ4).</w:t>
      </w:r>
    </w:p>
    <w:p>
      <w:pPr>
        <w:pStyle w:val="2"/>
      </w:pPr>
      <w:r>
        <w:rPr>
          <w:b w:val="0"/>
          <w:i w:val="0"/>
        </w:rPr>
        <w:t>Appendix A.  File inventory &amp; how to re-generate</w:t>
      </w:r>
    </w:p>
    <w:tbl>
      <w:tblPr>
        <w:tblStyle w:val="52"/>
        <w:tblW w:type="auto" w:w="0"/>
        <w:jc w:val="center"/>
        <w:tblLayout w:type="autofit"/>
        <w:tblLook w:firstColumn="1" w:firstRow="1" w:lastColumn="0" w:lastRow="0" w:noHBand="0" w:noVBand="1" w:val="04A0"/>
      </w:tblPr>
      <w:tblGrid>
        <w:gridCol w:w="3120"/>
        <w:gridCol w:w="3120"/>
        <w:gridCol w:w="3120"/>
      </w:tblGrid>
      <w:tr>
        <w:tc>
          <w:tcPr>
            <w:tcW w:type="dxa" w:w="3120"/>
            <w:shd w:fill="D9E2F3"/>
            <w:vAlign w:val="center"/>
          </w:tcPr>
          <w:p>
            <w:pPr>
              <w:jc w:val="center"/>
            </w:pPr>
            <w:r/>
            <w:r>
              <w:rPr>
                <w:b/>
                <w:color w:val="1F4E79"/>
                <w:sz w:val="12"/>
              </w:rPr>
              <w:t>File</w:t>
            </w:r>
          </w:p>
        </w:tc>
        <w:tc>
          <w:tcPr>
            <w:tcW w:type="dxa" w:w="3120"/>
            <w:shd w:fill="D9E2F3"/>
            <w:vAlign w:val="center"/>
          </w:tcPr>
          <w:p>
            <w:pPr>
              <w:jc w:val="center"/>
            </w:pPr>
            <w:r/>
            <w:r>
              <w:rPr>
                <w:b/>
                <w:color w:val="1F4E79"/>
                <w:sz w:val="12"/>
              </w:rPr>
              <w:t>What it is</w:t>
            </w:r>
          </w:p>
        </w:tc>
        <w:tc>
          <w:tcPr>
            <w:tcW w:type="dxa" w:w="3120"/>
            <w:shd w:fill="D9E2F3"/>
            <w:vAlign w:val="center"/>
          </w:tcPr>
          <w:p>
            <w:pPr>
              <w:jc w:val="center"/>
            </w:pPr>
            <w:r/>
            <w:r>
              <w:rPr>
                <w:b/>
                <w:color w:val="1F4E79"/>
                <w:sz w:val="12"/>
              </w:rPr>
              <w:t>Where</w:t>
            </w:r>
          </w:p>
        </w:tc>
      </w:tr>
      <w:tr>
        <w:tc>
          <w:tcPr>
            <w:tcW w:type="dxa" w:w="3120"/>
            <w:vAlign w:val="center"/>
          </w:tcPr>
          <w:p>
            <w:r/>
            <w:r>
              <w:rPr>
                <w:sz w:val="12"/>
              </w:rPr>
              <w:t>01_UseCase_Diagram.png</w:t>
            </w:r>
          </w:p>
        </w:tc>
        <w:tc>
          <w:tcPr>
            <w:tcW w:type="dxa" w:w="3120"/>
            <w:vAlign w:val="center"/>
          </w:tcPr>
          <w:p>
            <w:r/>
            <w:r>
              <w:rPr>
                <w:sz w:val="12"/>
              </w:rPr>
              <w:t>Use case (300 DPI, 14×8.5in)</w:t>
            </w:r>
          </w:p>
        </w:tc>
        <w:tc>
          <w:tcPr>
            <w:tcW w:type="dxa" w:w="3120"/>
            <w:vAlign w:val="center"/>
          </w:tcPr>
          <w:p>
            <w:r/>
            <w:r>
              <w:rPr>
                <w:sz w:val="12"/>
              </w:rPr>
              <w:t>docs/Diagrams - Use Case Activity Sequence.docx / .pdf + TMP/diagrams/</w:t>
            </w:r>
          </w:p>
        </w:tc>
      </w:tr>
      <w:tr>
        <w:tc>
          <w:tcPr>
            <w:tcW w:type="dxa" w:w="3120"/>
            <w:vAlign w:val="center"/>
          </w:tcPr>
          <w:p>
            <w:r/>
            <w:r>
              <w:rPr>
                <w:sz w:val="12"/>
              </w:rPr>
              <w:t>02_Activity_Diagram.png</w:t>
            </w:r>
          </w:p>
        </w:tc>
        <w:tc>
          <w:tcPr>
            <w:tcW w:type="dxa" w:w="3120"/>
            <w:vAlign w:val="center"/>
          </w:tcPr>
          <w:p>
            <w:r/>
            <w:r>
              <w:rPr>
                <w:sz w:val="12"/>
              </w:rPr>
              <w:t>Activity swimlanes (300 DPI, 14×9in)</w:t>
            </w:r>
          </w:p>
        </w:tc>
        <w:tc>
          <w:tcPr>
            <w:tcW w:type="dxa" w:w="3120"/>
            <w:vAlign w:val="center"/>
          </w:tcPr>
          <w:p>
            <w:r/>
            <w:r>
              <w:rPr>
                <w:sz w:val="12"/>
              </w:rPr>
              <w:t>—</w:t>
            </w:r>
          </w:p>
        </w:tc>
      </w:tr>
      <w:tr>
        <w:tc>
          <w:tcPr>
            <w:tcW w:type="dxa" w:w="3120"/>
            <w:vAlign w:val="center"/>
          </w:tcPr>
          <w:p>
            <w:r/>
            <w:r>
              <w:rPr>
                <w:sz w:val="12"/>
              </w:rPr>
              <w:t>03_Sequence_Diagram.png</w:t>
            </w:r>
          </w:p>
        </w:tc>
        <w:tc>
          <w:tcPr>
            <w:tcW w:type="dxa" w:w="3120"/>
            <w:vAlign w:val="center"/>
          </w:tcPr>
          <w:p>
            <w:r/>
            <w:r>
              <w:rPr>
                <w:sz w:val="12"/>
              </w:rPr>
              <w:t>Sequence (300 DPI, 15×8.5in)</w:t>
            </w:r>
          </w:p>
        </w:tc>
        <w:tc>
          <w:tcPr>
            <w:tcW w:type="dxa" w:w="3120"/>
            <w:vAlign w:val="center"/>
          </w:tcPr>
          <w:p>
            <w:r/>
            <w:r>
              <w:rPr>
                <w:sz w:val="12"/>
              </w:rPr>
              <w:t>—</w:t>
            </w:r>
          </w:p>
        </w:tc>
      </w:tr>
      <w:tr>
        <w:tc>
          <w:tcPr>
            <w:tcW w:type="dxa" w:w="3120"/>
            <w:vAlign w:val="center"/>
          </w:tcPr>
          <w:p>
            <w:r/>
            <w:r>
              <w:rPr>
                <w:sz w:val="12"/>
              </w:rPr>
              <w:t>gen_diagrams.py</w:t>
            </w:r>
          </w:p>
        </w:tc>
        <w:tc>
          <w:tcPr>
            <w:tcW w:type="dxa" w:w="3120"/>
            <w:vAlign w:val="center"/>
          </w:tcPr>
          <w:p>
            <w:r/>
            <w:r>
              <w:rPr>
                <w:sz w:val="12"/>
              </w:rPr>
              <w:t>Matplotlib generator (no Graphviz/dot binary needed)</w:t>
            </w:r>
          </w:p>
        </w:tc>
        <w:tc>
          <w:tcPr>
            <w:tcW w:type="dxa" w:w="3120"/>
            <w:vAlign w:val="center"/>
          </w:tcPr>
          <w:p>
            <w:r/>
            <w:r>
              <w:rPr>
                <w:sz w:val="12"/>
              </w:rPr>
              <w:t>C:\Users\VICTUS\AppData\Local\Temp\opencode\gen_diagrams.py</w:t>
            </w:r>
          </w:p>
        </w:tc>
      </w:tr>
      <w:tr>
        <w:tc>
          <w:tcPr>
            <w:tcW w:type="dxa" w:w="3120"/>
            <w:vAlign w:val="center"/>
          </w:tcPr>
          <w:p>
            <w:r/>
            <w:r>
              <w:rPr>
                <w:sz w:val="12"/>
              </w:rPr>
              <w:t>build_diagrams_doc.py</w:t>
            </w:r>
          </w:p>
        </w:tc>
        <w:tc>
          <w:tcPr>
            <w:tcW w:type="dxa" w:w="3120"/>
            <w:vAlign w:val="center"/>
          </w:tcPr>
          <w:p>
            <w:r/>
            <w:r>
              <w:rPr>
                <w:sz w:val="12"/>
              </w:rPr>
              <w:t>This doc builder</w:t>
            </w:r>
          </w:p>
        </w:tc>
        <w:tc>
          <w:tcPr>
            <w:tcW w:type="dxa" w:w="3120"/>
            <w:vAlign w:val="center"/>
          </w:tcPr>
          <w:p>
            <w:r/>
            <w:r>
              <w:rPr>
                <w:sz w:val="12"/>
              </w:rPr>
              <w:t>C:\Users\VICTUS\AppData\Local\Temp\opencode\build_diagrams_doc.py</w:t>
            </w:r>
          </w:p>
        </w:tc>
      </w:tr>
      <w:tr>
        <w:tc>
          <w:tcPr>
            <w:tcW w:type="dxa" w:w="3120"/>
            <w:vAlign w:val="center"/>
          </w:tcPr>
          <w:p>
            <w:r/>
            <w:r>
              <w:rPr>
                <w:sz w:val="12"/>
              </w:rPr>
              <w:t>Draft Report.docx Ch.3/4</w:t>
            </w:r>
          </w:p>
        </w:tc>
        <w:tc>
          <w:tcPr>
            <w:tcW w:type="dxa" w:w="3120"/>
            <w:vAlign w:val="center"/>
          </w:tcPr>
          <w:p>
            <w:r/>
            <w:r>
              <w:rPr>
                <w:sz w:val="12"/>
              </w:rPr>
              <w:t>Normative text the diagrams visualise</w:t>
            </w:r>
          </w:p>
        </w:tc>
        <w:tc>
          <w:tcPr>
            <w:tcW w:type="dxa" w:w="3120"/>
            <w:vAlign w:val="center"/>
          </w:tcPr>
          <w:p>
            <w:r/>
            <w:r>
              <w:rPr>
                <w:sz w:val="12"/>
              </w:rPr>
              <w:t>docs/Draft Report.docx (Fig 3.1, 4.2–4.5)</w:t>
            </w:r>
          </w:p>
        </w:tc>
      </w:tr>
    </w:tbl>
    <w:p>
      <w:pPr/>
    </w:p>
    <w:p>
      <w:pPr/>
      <w:r>
        <w:rPr>
          <w:b w:val="0"/>
          <w:i/>
          <w:sz w:val="14"/>
        </w:rPr>
        <w:t>To re-generate: python gen_diagrams.py → python build_diagrams_doc.py. Requires Python 3.11+, matplotlib 3.10.3, python-docx, Pillow 11.3. No internet or Graphviz needed. Re-running overwrites the three PNGs and re-embeds them at the same Inches width so pagination stays stable.</w:t>
      </w:r>
    </w:p>
    <w:p>
      <w:pPr/>
      <w:r>
        <w:rPr>
          <w:b w:val="0"/>
          <w:i w:val="0"/>
          <w:sz w:val="14"/>
        </w:rPr>
        <w:t>License &amp; sharing: this pack contains only de-identified public data references (NIH ChestX-ray8) and open-source model references (MedGemma). You may share the DOCX or PDF as-is for supervision, viva or appendix submission; the PNGs are also checked into the docs/ folder for direct reuse in slides.</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9BBE9">
    <w:pPr>
      <w:pStyle w:val="18"/>
      <w:jc w:val="center"/>
    </w:pPr>
    <w:r>
      <w:fldChar w:fldCharType="begin"/>
    </w:r>
    <w:r>
      <w:instrText xml:space="preserve">PAGE \* MERGEFORMAT</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D37A53"/>
    <w:rsid w:val="046F5911"/>
    <w:rsid w:val="1B137F6C"/>
    <w:rsid w:val="1EEE40CF"/>
    <w:rsid w:val="26C174A2"/>
    <w:rsid w:val="27B35B31"/>
    <w:rsid w:val="285B7244"/>
    <w:rsid w:val="33265B78"/>
    <w:rsid w:val="3AD04E4A"/>
    <w:rsid w:val="3E7B1F6B"/>
    <w:rsid w:val="523D2E46"/>
    <w:rsid w:val="544D5C5C"/>
    <w:rsid w:val="5BA56592"/>
    <w:rsid w:val="5BA64BE9"/>
    <w:rsid w:val="60D80CEE"/>
    <w:rsid w:val="645D7336"/>
    <w:rsid w:val="6F8D7059"/>
    <w:rsid w:val="77EE0B8B"/>
    <w:rsid w:val="79622A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i/>
      <w:color w:val="000000"/>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2759</Words>
  <Characters>16100</Characters>
  <Lines>0</Lines>
  <Paragraphs>0</Paragraphs>
  <TotalTime>5</TotalTime>
  <ScaleCrop>false</ScaleCrop>
  <LinksUpToDate>false</LinksUpToDate>
  <CharactersWithSpaces>18548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minura wije</cp:lastModifiedBy>
  <dcterms:modified xsi:type="dcterms:W3CDTF">2026-07-27T02:43:20Z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eyJoZGlkIjoiN2RkYjYyMzYzODc1ODQ2MDk5OGNlNzVlOWJjODM4ZjMiLCJ1c2VySWQiOiI1MjQwNDk5NTc3Njc2In0=</vt:lpwstr>
  </property>
  <property fmtid="{D5CDD505-2E9C-101B-9397-08002B2CF9AE}" pid="3" name="KSOProductBuildVer">
    <vt:lpwstr>1033-12.1.0.27458</vt:lpwstr>
  </property>
  <property fmtid="{D5CDD505-2E9C-101B-9397-08002B2CF9AE}" pid="4" name="ICV">
    <vt:lpwstr>0E1DB541A4884D44844D5A11725DB478_12</vt:lpwstr>
  </property>
</Properties>
</file>