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133078">
      <w:pPr>
        <w:spacing w:before="0" w:after="240"/>
        <w:jc w:val="center"/>
      </w:pPr>
      <w:r>
        <w:drawing>
          <wp:inline distT="0" distB="0" distL="114300" distR="114300">
            <wp:extent cx="5730875" cy="1238885"/>
            <wp:effectExtent l="0" t="0" r="14605" b="1079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731200" cy="1239356"/>
                    </a:xfrm>
                    <a:prstGeom prst="rect">
                      <a:avLst/>
                    </a:prstGeom>
                  </pic:spPr>
                </pic:pic>
              </a:graphicData>
            </a:graphic>
          </wp:inline>
        </w:drawing>
      </w:r>
    </w:p>
    <w:p w14:paraId="6B97E05C">
      <w:pPr>
        <w:spacing w:before="0" w:after="0" w:line="360" w:lineRule="auto"/>
      </w:pPr>
    </w:p>
    <w:p w14:paraId="495E44EC">
      <w:pPr>
        <w:spacing w:before="0" w:after="160" w:line="240" w:lineRule="auto"/>
        <w:rPr>
          <w:rFonts w:asciiTheme="minorHAnsi" w:hAnsiTheme="minorHAnsi"/>
          <w:sz w:val="32"/>
        </w:rPr>
      </w:pPr>
      <w:r>
        <w:rPr>
          <w:rFonts w:asciiTheme="minorHAnsi" w:hAnsiTheme="minorHAnsi"/>
          <w:sz w:val="32"/>
        </w:rPr>
        <w:t>Student Name: M.W.V.D.M.J. Wijewickrama</w:t>
      </w:r>
    </w:p>
    <w:p w14:paraId="4086F850">
      <w:pPr>
        <w:spacing w:before="0" w:after="0" w:line="20" w:lineRule="exact"/>
        <w:rPr>
          <w:rFonts w:asciiTheme="minorHAnsi" w:hAnsiTheme="minorHAnsi"/>
          <w:sz w:val="32"/>
        </w:rPr>
      </w:pPr>
    </w:p>
    <w:p w14:paraId="14F0E217">
      <w:pPr>
        <w:spacing w:before="0" w:after="160" w:line="240" w:lineRule="auto"/>
        <w:rPr>
          <w:sz w:val="32"/>
        </w:rPr>
      </w:pPr>
      <w:r>
        <w:rPr>
          <w:rFonts w:asciiTheme="minorHAnsi" w:hAnsiTheme="minorHAnsi"/>
          <w:sz w:val="32"/>
        </w:rPr>
        <w:t>Student Number: 2642837</w:t>
      </w:r>
    </w:p>
    <w:p w14:paraId="781E5BB4">
      <w:pPr>
        <w:spacing w:before="0" w:after="0" w:line="20" w:lineRule="exact"/>
        <w:rPr>
          <w:rFonts w:asciiTheme="minorHAnsi" w:hAnsiTheme="minorHAnsi"/>
          <w:sz w:val="32"/>
        </w:rPr>
      </w:pPr>
    </w:p>
    <w:p w14:paraId="3FB0EFF1">
      <w:pPr>
        <w:spacing w:before="0" w:after="160" w:line="240" w:lineRule="auto"/>
        <w:rPr>
          <w:rFonts w:asciiTheme="minorHAnsi" w:hAnsiTheme="minorHAnsi"/>
          <w:sz w:val="32"/>
        </w:rPr>
      </w:pPr>
      <w:r>
        <w:rPr>
          <w:rFonts w:asciiTheme="minorHAnsi" w:hAnsiTheme="minorHAnsi"/>
          <w:sz w:val="32"/>
        </w:rPr>
        <w:t>Module Code: 6CS007</w:t>
      </w:r>
    </w:p>
    <w:p w14:paraId="01F1CB98">
      <w:pPr>
        <w:spacing w:before="0" w:after="0" w:line="20" w:lineRule="exact"/>
        <w:rPr>
          <w:rFonts w:asciiTheme="minorHAnsi" w:hAnsiTheme="minorHAnsi"/>
          <w:sz w:val="32"/>
        </w:rPr>
      </w:pPr>
    </w:p>
    <w:p w14:paraId="341C2DEF">
      <w:pPr>
        <w:spacing w:before="0" w:after="160" w:line="240" w:lineRule="auto"/>
        <w:rPr>
          <w:rFonts w:asciiTheme="minorHAnsi" w:hAnsiTheme="minorHAnsi"/>
          <w:sz w:val="32"/>
        </w:rPr>
      </w:pPr>
      <w:r>
        <w:rPr>
          <w:rFonts w:asciiTheme="minorHAnsi" w:hAnsiTheme="minorHAnsi"/>
          <w:sz w:val="32"/>
        </w:rPr>
        <w:t>Module Name: Project and Professionalism</w:t>
      </w:r>
    </w:p>
    <w:p w14:paraId="381AE7A5">
      <w:pPr>
        <w:spacing w:before="0" w:after="0" w:line="20" w:lineRule="exact"/>
        <w:rPr>
          <w:rFonts w:asciiTheme="minorHAnsi" w:hAnsiTheme="minorHAnsi"/>
          <w:sz w:val="32"/>
        </w:rPr>
      </w:pPr>
    </w:p>
    <w:p w14:paraId="7B3569CC">
      <w:pPr>
        <w:spacing w:before="0" w:after="160" w:line="240" w:lineRule="auto"/>
        <w:rPr>
          <w:rFonts w:asciiTheme="minorHAnsi" w:hAnsiTheme="minorHAnsi"/>
          <w:sz w:val="32"/>
        </w:rPr>
      </w:pPr>
      <w:r>
        <w:rPr>
          <w:rFonts w:asciiTheme="minorHAnsi" w:hAnsiTheme="minorHAnsi"/>
          <w:sz w:val="30"/>
        </w:rPr>
        <w:t>Project Title: An AI-Assisted Chest X-ray Training Companion for Student Radiologists Using MedGemma and Retrieval-Augmented Generation</w:t>
      </w:r>
    </w:p>
    <w:p w14:paraId="4B28B48A">
      <w:pPr>
        <w:spacing w:before="0" w:after="0" w:line="20" w:lineRule="exact"/>
        <w:rPr>
          <w:rFonts w:asciiTheme="minorHAnsi" w:hAnsiTheme="minorHAnsi"/>
          <w:sz w:val="32"/>
        </w:rPr>
      </w:pPr>
    </w:p>
    <w:p w14:paraId="73A2EEAB">
      <w:pPr>
        <w:spacing w:before="0" w:after="160" w:line="240" w:lineRule="auto"/>
        <w:rPr>
          <w:rFonts w:asciiTheme="minorHAnsi" w:hAnsiTheme="minorHAnsi"/>
          <w:sz w:val="32"/>
        </w:rPr>
      </w:pPr>
      <w:r>
        <w:rPr>
          <w:rFonts w:asciiTheme="minorHAnsi" w:hAnsiTheme="minorHAnsi"/>
          <w:sz w:val="32"/>
        </w:rPr>
        <w:t>Module Leader Name: Mr. Dhishan Dhammearatchi</w:t>
      </w:r>
    </w:p>
    <w:p w14:paraId="4CAAFC79">
      <w:pPr>
        <w:spacing w:before="0" w:after="0" w:line="20" w:lineRule="exact"/>
        <w:rPr>
          <w:rFonts w:asciiTheme="minorHAnsi" w:hAnsiTheme="minorHAnsi"/>
          <w:sz w:val="32"/>
        </w:rPr>
      </w:pPr>
    </w:p>
    <w:p w14:paraId="56A48C97">
      <w:pPr>
        <w:spacing w:before="0" w:after="160" w:line="240" w:lineRule="auto"/>
        <w:rPr>
          <w:rFonts w:asciiTheme="minorHAnsi" w:hAnsiTheme="minorHAnsi"/>
          <w:sz w:val="32"/>
        </w:rPr>
      </w:pPr>
      <w:r>
        <w:rPr>
          <w:rFonts w:asciiTheme="minorHAnsi" w:hAnsiTheme="minorHAnsi"/>
          <w:sz w:val="32"/>
        </w:rPr>
        <w:t>Supervisor Name: Mr. Harindu Mansaka</w:t>
      </w:r>
    </w:p>
    <w:p w14:paraId="01B26682">
      <w:pPr>
        <w:spacing w:before="0" w:after="0" w:line="20" w:lineRule="exact"/>
        <w:rPr>
          <w:rFonts w:asciiTheme="minorHAnsi" w:hAnsiTheme="minorHAnsi"/>
          <w:sz w:val="32"/>
        </w:rPr>
      </w:pPr>
    </w:p>
    <w:p w14:paraId="3413410D">
      <w:pPr>
        <w:spacing w:before="0" w:after="160" w:line="240" w:lineRule="auto"/>
        <w:rPr>
          <w:rFonts w:hint="default" w:asciiTheme="minorHAnsi" w:hAnsiTheme="minorHAnsi"/>
          <w:sz w:val="32"/>
          <w:lang w:val="en-US"/>
        </w:rPr>
      </w:pPr>
      <w:r>
        <w:rPr>
          <w:rFonts w:asciiTheme="minorHAnsi" w:hAnsiTheme="minorHAnsi"/>
          <w:sz w:val="32"/>
        </w:rPr>
        <w:t>Reader Name:</w:t>
      </w:r>
      <w:r>
        <w:rPr>
          <w:rFonts w:hint="default" w:asciiTheme="minorHAnsi" w:hAnsiTheme="minorHAnsi"/>
          <w:sz w:val="32"/>
          <w:lang w:val="en-US"/>
        </w:rPr>
        <w:t xml:space="preserve"> Ms. Shanika Ekanayake</w:t>
      </w:r>
    </w:p>
    <w:p w14:paraId="61B34F90">
      <w:pPr>
        <w:spacing w:before="0" w:after="0" w:line="20" w:lineRule="exact"/>
        <w:rPr>
          <w:rFonts w:asciiTheme="minorHAnsi" w:hAnsiTheme="minorHAnsi"/>
          <w:sz w:val="32"/>
        </w:rPr>
      </w:pPr>
    </w:p>
    <w:p w14:paraId="37002EDD">
      <w:pPr>
        <w:spacing w:before="0" w:after="160" w:line="240" w:lineRule="auto"/>
        <w:rPr>
          <w:rFonts w:hint="default" w:asciiTheme="minorHAnsi" w:hAnsiTheme="minorHAnsi"/>
          <w:sz w:val="32"/>
          <w:lang w:val="en-US"/>
        </w:rPr>
      </w:pPr>
      <w:r>
        <w:rPr>
          <w:rFonts w:asciiTheme="minorHAnsi" w:hAnsiTheme="minorHAnsi"/>
          <w:sz w:val="32"/>
        </w:rPr>
        <w:t>Submission Date:</w:t>
      </w:r>
      <w:r>
        <w:rPr>
          <w:rFonts w:hint="default" w:asciiTheme="minorHAnsi" w:hAnsiTheme="minorHAnsi"/>
          <w:sz w:val="32"/>
          <w:lang w:val="en-US"/>
        </w:rPr>
        <w:t xml:space="preserve"> </w:t>
      </w:r>
      <w:r>
        <w:rPr>
          <w:rFonts w:asciiTheme="minorHAnsi" w:hAnsiTheme="minorHAnsi"/>
          <w:sz w:val="32"/>
        </w:rPr>
        <w:t>2026/07/</w:t>
      </w:r>
      <w:r>
        <w:rPr>
          <w:rFonts w:hint="default" w:asciiTheme="minorHAnsi" w:hAnsiTheme="minorHAnsi"/>
          <w:sz w:val="32"/>
          <w:lang w:val="en-US"/>
        </w:rPr>
        <w:t>27</w:t>
      </w:r>
    </w:p>
    <w:p w14:paraId="70D7117C">
      <w:pPr>
        <w:spacing w:before="0" w:after="0" w:line="20" w:lineRule="exact"/>
        <w:rPr>
          <w:rFonts w:asciiTheme="minorHAnsi" w:hAnsiTheme="minorHAnsi"/>
          <w:sz w:val="32"/>
        </w:rPr>
      </w:pPr>
    </w:p>
    <w:p w14:paraId="05C6AE79">
      <w:pPr>
        <w:tabs>
          <w:tab w:val="left" w:pos="2160"/>
        </w:tabs>
        <w:spacing w:before="0" w:after="160" w:line="240" w:lineRule="auto"/>
        <w:ind w:left="2160" w:hanging="2160"/>
        <w:rPr>
          <w:rFonts w:asciiTheme="minorHAnsi" w:hAnsiTheme="minorHAnsi"/>
          <w:i/>
          <w:sz w:val="32"/>
        </w:rPr>
      </w:pPr>
      <w:r>
        <w:rPr>
          <w:rFonts w:asciiTheme="minorHAnsi" w:hAnsiTheme="minorHAnsi"/>
          <w:sz w:val="32"/>
        </w:rPr>
        <w:t>Award Title : BSc (Hons) Computer Science in Software Engineering (TopUp)</w:t>
      </w:r>
    </w:p>
    <w:p w14:paraId="12FA72A9">
      <w:r>
        <w:br w:type="page"/>
      </w:r>
    </w:p>
    <w:p w14:paraId="1127AF29">
      <w:pPr>
        <w:pStyle w:val="2"/>
        <w:keepNext/>
        <w:spacing w:before="360" w:after="240"/>
        <w:jc w:val="left"/>
      </w:pPr>
      <w:r>
        <w:rPr>
          <w:rFonts w:ascii="Times New Roman" w:hAnsi="Times New Roman"/>
          <w:b/>
          <w:color w:val="000000"/>
          <w:sz w:val="32"/>
        </w:rPr>
        <w:t>Declaration</w:t>
      </w:r>
    </w:p>
    <w:p w14:paraId="0B539247">
      <w:pPr>
        <w:spacing w:before="0" w:after="120" w:line="360" w:lineRule="auto"/>
        <w:jc w:val="both"/>
      </w:pPr>
      <w:r>
        <w:rPr>
          <w:rFonts w:ascii="Times New Roman" w:hAnsi="Times New Roman"/>
          <w:sz w:val="22"/>
        </w:rPr>
        <w:t xml:space="preserve">Presented in partial </w:t>
      </w:r>
      <w:r>
        <w:rPr>
          <w:sz w:val="22"/>
          <w:lang w:val="en-US"/>
        </w:rPr>
        <w:t>fulfillment</w:t>
      </w:r>
      <w:r>
        <w:rPr>
          <w:rFonts w:ascii="Times New Roman" w:hAnsi="Times New Roman"/>
          <w:sz w:val="22"/>
        </w:rPr>
        <w:t xml:space="preserve"> of the assessment requirements for the above award. This work or any part thereof has not previously been presented in any form to the University or to any other institutional body whether for assessment or for other purposes. Save for any express </w:t>
      </w:r>
      <w:r>
        <w:rPr>
          <w:sz w:val="22"/>
          <w:lang w:val="en-US"/>
        </w:rPr>
        <w:t>acknowledgments</w:t>
      </w:r>
      <w:r>
        <w:rPr>
          <w:rFonts w:ascii="Times New Roman" w:hAnsi="Times New Roman"/>
          <w:sz w:val="22"/>
        </w:rPr>
        <w:t>, references and/or bibliographies cited in the work, I confirm that the intellectual contents of the work are the result of my own efforts and of no other person.</w:t>
      </w:r>
    </w:p>
    <w:p w14:paraId="4F741403">
      <w:pPr>
        <w:spacing w:before="0" w:after="120" w:line="360" w:lineRule="auto"/>
        <w:jc w:val="both"/>
      </w:pPr>
      <w:r>
        <w:rPr>
          <w:rFonts w:ascii="Times New Roman" w:hAnsi="Times New Roman"/>
          <w:sz w:val="22"/>
        </w:rPr>
        <w:t>It is acknowledged that the author of any project work shall own the copyright. However, by submitting such copyright work for assessment, the author grants to the University a perpetual royalty-free licence to do all or any of those things referred to in section 16(i) of the Copyright Designs and Patents Act 1988. (viz: to copy work; to issue copies to the public; to perform or show or play the work in public; to broadcast the work or to make an adaptation of the work).</w:t>
      </w:r>
    </w:p>
    <w:p w14:paraId="7FDD9031">
      <w:pPr>
        <w:spacing w:before="0" w:after="120" w:line="360" w:lineRule="auto"/>
        <w:jc w:val="both"/>
      </w:pPr>
      <w:r>
        <w:rPr>
          <w:rFonts w:ascii="Times New Roman" w:hAnsi="Times New Roman"/>
          <w:sz w:val="22"/>
        </w:rPr>
        <w:t>Student Name (Print): M.W.V.D.M.J. Wijewickrama</w:t>
      </w:r>
    </w:p>
    <w:p w14:paraId="4355ECE6">
      <w:pPr>
        <w:spacing w:before="0" w:after="120" w:line="360" w:lineRule="auto"/>
        <w:jc w:val="both"/>
      </w:pPr>
      <w:r>
        <w:rPr>
          <w:rFonts w:ascii="Times New Roman" w:hAnsi="Times New Roman"/>
          <w:sz w:val="22"/>
        </w:rPr>
        <w:t>Student Number: 2642837</w:t>
      </w:r>
    </w:p>
    <w:p w14:paraId="0B817B02">
      <w:pPr>
        <w:spacing w:before="0" w:after="120" w:line="360" w:lineRule="auto"/>
        <w:jc w:val="both"/>
      </w:pPr>
      <w:r>
        <w:rPr>
          <w:rFonts w:ascii="Times New Roman" w:hAnsi="Times New Roman"/>
          <w:sz w:val="22"/>
        </w:rPr>
        <w:t>Signature of the Student: ......................................................</w:t>
      </w:r>
    </w:p>
    <w:p w14:paraId="2F18398D">
      <w:pPr>
        <w:spacing w:before="0" w:after="120" w:line="360" w:lineRule="auto"/>
        <w:jc w:val="both"/>
      </w:pPr>
      <w:r>
        <w:rPr>
          <w:rFonts w:ascii="Times New Roman" w:hAnsi="Times New Roman"/>
          <w:sz w:val="22"/>
        </w:rPr>
        <w:t>Date: ..............2026/07/26........................................</w:t>
      </w:r>
    </w:p>
    <w:p w14:paraId="009D51AD">
      <w:r>
        <w:br w:type="page"/>
      </w:r>
    </w:p>
    <w:p w14:paraId="54918DB6">
      <w:pPr>
        <w:pStyle w:val="2"/>
        <w:keepNext/>
        <w:spacing w:before="360" w:after="240"/>
        <w:jc w:val="left"/>
      </w:pPr>
      <w:r>
        <w:rPr>
          <w:rFonts w:ascii="Times New Roman" w:hAnsi="Times New Roman"/>
          <w:b/>
          <w:color w:val="000000"/>
          <w:sz w:val="32"/>
        </w:rPr>
        <w:t>Abstract</w:t>
      </w:r>
    </w:p>
    <w:p w14:paraId="635F0BDB">
      <w:pPr>
        <w:spacing w:before="0" w:after="120" w:line="360" w:lineRule="auto"/>
        <w:jc w:val="both"/>
      </w:pPr>
      <w:r>
        <w:rPr>
          <w:rFonts w:ascii="Times New Roman" w:hAnsi="Times New Roman"/>
          <w:sz w:val="22"/>
        </w:rPr>
        <w:t>Chest X-ray (CXR) interpretation is a core radiology skill that student radiologists develop through repeated case exposure and structured feedback. In settings affected by a shortage of radiologists, this kind of supervised practice is hard to provide at scale. This project designs and builds a student-in-the-loop CXR training companion that combines MedGemma, a medical vision-language model, with Retrieval-Augmented Generation (RAG) to give evidence-grounded educational feedback on a small set of common findings: pneumothorax, pleural effusion, cardiomegaly, consolidation, nodule or mass, and a no-finding category. The student first writes their own interpretation of a CXR; MedGemma then analyses the image and proposes likely findings, and a RAG layer pulls in relevant teaching material from a curated corpus. The system ends with a student-facing feedback note that covers likely findings, key radiographic signs, missed clues, supporting evidence and a learning point. The artefact is implemented as a FastAPI backend and a React single-page application, organised in a Clean Architecture so that the model, the retriever and the dataset are all swappable behind a narrow interface. Evaluation combines quantitative finding-recognition and structure-validity metrics with a rubric-based review of feedback clarity, evidence grounding and learning usefulness, run against a 300-case balanced subset of the NIH ChestX-ray8 corpus. The working prototype, the open evaluation harness and the experimental comparison show that the proposed combination of MedGemma and RAG is feasible in a desktop-browser educational deployment, and they provide a baseline against which fine-tuned configurations can be compared in future work.</w:t>
      </w:r>
    </w:p>
    <w:p w14:paraId="06F25849">
      <w:pPr>
        <w:spacing w:before="120" w:after="120" w:line="360" w:lineRule="auto"/>
      </w:pPr>
      <w:r>
        <w:rPr>
          <w:rFonts w:ascii="Times New Roman" w:hAnsi="Times New Roman"/>
          <w:b w:val="0"/>
          <w:i w:val="0"/>
          <w:sz w:val="22"/>
        </w:rPr>
        <w:t>Keywords: Chest X-ray; Radiology education; MedGemma; Retrieval-Augmented Generation; Vision-language models; Formative feedback.</w:t>
      </w:r>
    </w:p>
    <w:p w14:paraId="617EF907">
      <w:r>
        <w:br w:type="page"/>
      </w:r>
    </w:p>
    <w:p w14:paraId="57F24B19">
      <w:pPr>
        <w:pStyle w:val="2"/>
        <w:keepNext/>
        <w:spacing w:before="360" w:after="240"/>
        <w:jc w:val="left"/>
      </w:pPr>
      <w:r>
        <w:rPr>
          <w:rFonts w:ascii="Times New Roman" w:hAnsi="Times New Roman"/>
          <w:b/>
          <w:color w:val="000000"/>
          <w:sz w:val="32"/>
        </w:rPr>
        <w:t>Acknowledgement</w:t>
      </w:r>
    </w:p>
    <w:p w14:paraId="57B47430">
      <w:pPr>
        <w:spacing w:before="0" w:after="120" w:line="360" w:lineRule="auto"/>
        <w:jc w:val="both"/>
      </w:pPr>
      <w:r>
        <w:rPr>
          <w:rFonts w:ascii="Times New Roman" w:hAnsi="Times New Roman"/>
          <w:sz w:val="22"/>
        </w:rPr>
        <w:t>I would like to thank my supervisor, Mr. Harindu Mansaka, for his guidance, feedback and patience throughout this project. His insight into both the technical and the educational sides of the work helped to shape the artefact and the evaluation plan.</w:t>
      </w:r>
    </w:p>
    <w:p w14:paraId="4256BFFF">
      <w:pPr>
        <w:spacing w:before="0" w:after="120" w:line="360" w:lineRule="auto"/>
        <w:jc w:val="both"/>
      </w:pPr>
      <w:r>
        <w:rPr>
          <w:rFonts w:ascii="Times New Roman" w:hAnsi="Times New Roman"/>
          <w:sz w:val="22"/>
        </w:rPr>
        <w:t>I am grateful to the module leader, Mr. Dhishan Dhammearatchi, and the reader, Ms. Shanika Ekanayake, for the structured coursework that framed the proposal, the literature review and the professionalism assessment, and for the feedback that helped to narrow the project to a feasible prototype.</w:t>
      </w:r>
    </w:p>
    <w:p w14:paraId="271148AF">
      <w:pPr>
        <w:spacing w:before="0" w:after="120" w:line="360" w:lineRule="auto"/>
        <w:jc w:val="both"/>
      </w:pPr>
      <w:r>
        <w:rPr>
          <w:rFonts w:ascii="Times New Roman" w:hAnsi="Times New Roman"/>
          <w:sz w:val="22"/>
        </w:rPr>
        <w:t>I also thank the NIH Clinical Center for releasing the ChestX-ray8 (NIHCC) dataset as a public, de-identified resource for research and education. The training subset used in this project was drawn from this corpus, and the project would not have been possible without it. I am also grateful to the Google Health AI Developer Foundations team for releasing the MedGemma model under research-use terms, and to the maintainers of the open-source libraries (FastAPI, SQLAlchemy, React, Vite and many more) that the artefact depends on.</w:t>
      </w:r>
    </w:p>
    <w:p w14:paraId="66C85B80">
      <w:pPr>
        <w:spacing w:before="0" w:after="120" w:line="360" w:lineRule="auto"/>
        <w:jc w:val="both"/>
      </w:pPr>
      <w:r>
        <w:rPr>
          <w:rFonts w:ascii="Times New Roman" w:hAnsi="Times New Roman"/>
          <w:sz w:val="22"/>
        </w:rPr>
        <w:t>Finally, I thank my family and friends for their support throughout the academic year.</w:t>
      </w:r>
    </w:p>
    <w:p w14:paraId="69F3902D">
      <w:r>
        <w:br w:type="page"/>
      </w:r>
    </w:p>
    <w:p w14:paraId="153C31E4">
      <w:pPr>
        <w:pStyle w:val="2"/>
        <w:keepNext/>
        <w:spacing w:before="360" w:after="240"/>
        <w:jc w:val="left"/>
      </w:pPr>
      <w:r>
        <w:rPr>
          <w:rFonts w:ascii="Times New Roman" w:hAnsi="Times New Roman"/>
          <w:b/>
          <w:color w:val="000000"/>
          <w:sz w:val="32"/>
        </w:rPr>
        <w:t>Table of Contents</w:t>
      </w:r>
    </w:p>
    <w:p w14:paraId="031AE6F6">
      <w:pPr>
        <w:jc w:val="left"/>
      </w:pPr>
      <w:r>
        <w:fldChar w:fldCharType="begin"/>
      </w:r>
      <w:r>
        <w:instrText xml:space="preserve">TOC \o "1-3" \h \z \u</w:instrText>
      </w:r>
      <w:r>
        <w:fldChar w:fldCharType="separate"/>
      </w:r>
      <w:r>
        <w:fldChar w:fldCharType="end"/>
      </w:r>
    </w:p>
    <w:p w14:paraId="577AF0B4">
      <w:pPr>
        <w:tabs>
          <w:tab w:val="left" w:pos="1037"/>
          <w:tab w:val="left" w:pos="8712"/>
        </w:tabs>
        <w:spacing w:before="120" w:after="120" w:line="360" w:lineRule="auto"/>
      </w:pPr>
      <w:r>
        <w:rPr>
          <w:rFonts w:ascii="Times New Roman" w:hAnsi="Times New Roman"/>
        </w:rPr>
        <w:tab/>
      </w:r>
      <w:r>
        <w:rPr>
          <w:rFonts w:ascii="Times New Roman" w:hAnsi="Times New Roman"/>
        </w:rPr>
        <w:t>Declaration</w:t>
      </w:r>
      <w:r>
        <w:rPr>
          <w:rFonts w:ascii="Times New Roman" w:hAnsi="Times New Roman"/>
        </w:rPr>
        <w:tab/>
      </w:r>
      <w:r>
        <w:rPr>
          <w:rFonts w:ascii="Times New Roman" w:hAnsi="Times New Roman"/>
        </w:rPr>
        <w:t>2</w:t>
      </w:r>
    </w:p>
    <w:p w14:paraId="61BD22E1">
      <w:pPr>
        <w:tabs>
          <w:tab w:val="left" w:pos="1037"/>
          <w:tab w:val="left" w:pos="8712"/>
        </w:tabs>
      </w:pPr>
      <w:r>
        <w:rPr>
          <w:rFonts w:ascii="Times New Roman" w:hAnsi="Times New Roman"/>
        </w:rPr>
        <w:tab/>
      </w:r>
      <w:r>
        <w:rPr>
          <w:rFonts w:ascii="Times New Roman" w:hAnsi="Times New Roman"/>
        </w:rPr>
        <w:t>Abstract</w:t>
      </w:r>
      <w:r>
        <w:rPr>
          <w:rFonts w:ascii="Times New Roman" w:hAnsi="Times New Roman"/>
        </w:rPr>
        <w:tab/>
      </w:r>
      <w:r>
        <w:rPr>
          <w:rFonts w:ascii="Times New Roman" w:hAnsi="Times New Roman"/>
        </w:rPr>
        <w:t>3</w:t>
      </w:r>
    </w:p>
    <w:p w14:paraId="0126491F">
      <w:pPr>
        <w:tabs>
          <w:tab w:val="left" w:pos="1037"/>
          <w:tab w:val="left" w:pos="8712"/>
        </w:tabs>
      </w:pPr>
      <w:r>
        <w:rPr>
          <w:rFonts w:ascii="Times New Roman" w:hAnsi="Times New Roman"/>
        </w:rPr>
        <w:tab/>
      </w:r>
      <w:r>
        <w:rPr>
          <w:rFonts w:ascii="Times New Roman" w:hAnsi="Times New Roman"/>
        </w:rPr>
        <w:t>Acknowledgement</w:t>
      </w:r>
      <w:r>
        <w:rPr>
          <w:rFonts w:ascii="Times New Roman" w:hAnsi="Times New Roman"/>
        </w:rPr>
        <w:tab/>
      </w:r>
      <w:r>
        <w:rPr>
          <w:rFonts w:ascii="Times New Roman" w:hAnsi="Times New Roman"/>
        </w:rPr>
        <w:t>4</w:t>
      </w:r>
    </w:p>
    <w:p w14:paraId="62407B4A">
      <w:pPr>
        <w:tabs>
          <w:tab w:val="left" w:pos="1037"/>
          <w:tab w:val="left" w:pos="8712"/>
        </w:tabs>
      </w:pPr>
      <w:r>
        <w:rPr>
          <w:rFonts w:ascii="Times New Roman" w:hAnsi="Times New Roman"/>
        </w:rPr>
        <w:tab/>
      </w:r>
      <w:r>
        <w:rPr>
          <w:rFonts w:ascii="Times New Roman" w:hAnsi="Times New Roman"/>
        </w:rPr>
        <w:t>List of Figures</w:t>
      </w:r>
      <w:r>
        <w:rPr>
          <w:rFonts w:ascii="Times New Roman" w:hAnsi="Times New Roman"/>
        </w:rPr>
        <w:tab/>
      </w:r>
      <w:r>
        <w:rPr>
          <w:rFonts w:ascii="Times New Roman" w:hAnsi="Times New Roman"/>
        </w:rPr>
        <w:t>8</w:t>
      </w:r>
    </w:p>
    <w:p w14:paraId="56C3DCE0">
      <w:pPr>
        <w:tabs>
          <w:tab w:val="left" w:pos="1037"/>
          <w:tab w:val="left" w:pos="8712"/>
        </w:tabs>
      </w:pPr>
      <w:r>
        <w:rPr>
          <w:rFonts w:ascii="Times New Roman" w:hAnsi="Times New Roman"/>
        </w:rPr>
        <w:tab/>
      </w:r>
      <w:r>
        <w:rPr>
          <w:rFonts w:ascii="Times New Roman" w:hAnsi="Times New Roman"/>
        </w:rPr>
        <w:t>List of Tables</w:t>
      </w:r>
      <w:r>
        <w:rPr>
          <w:rFonts w:ascii="Times New Roman" w:hAnsi="Times New Roman"/>
        </w:rPr>
        <w:tab/>
      </w:r>
      <w:r>
        <w:rPr>
          <w:rFonts w:ascii="Times New Roman" w:hAnsi="Times New Roman"/>
        </w:rPr>
        <w:t>9</w:t>
      </w:r>
    </w:p>
    <w:p w14:paraId="6F2C69CC">
      <w:pPr>
        <w:tabs>
          <w:tab w:val="left" w:pos="1037"/>
          <w:tab w:val="left" w:pos="8712"/>
        </w:tabs>
      </w:pPr>
      <w:r>
        <w:rPr>
          <w:rFonts w:ascii="Times New Roman" w:hAnsi="Times New Roman"/>
        </w:rPr>
        <w:tab/>
      </w:r>
      <w:r>
        <w:rPr>
          <w:rFonts w:ascii="Times New Roman" w:hAnsi="Times New Roman"/>
        </w:rPr>
        <w:t>List of Acronyms</w:t>
      </w:r>
      <w:r>
        <w:rPr>
          <w:rFonts w:ascii="Times New Roman" w:hAnsi="Times New Roman"/>
        </w:rPr>
        <w:tab/>
      </w:r>
      <w:r>
        <w:rPr>
          <w:rFonts w:ascii="Times New Roman" w:hAnsi="Times New Roman"/>
        </w:rPr>
        <w:t>10</w:t>
      </w:r>
    </w:p>
    <w:p w14:paraId="48028066">
      <w:pPr>
        <w:tabs>
          <w:tab w:val="left" w:pos="1037"/>
          <w:tab w:val="left" w:pos="8712"/>
        </w:tabs>
      </w:pPr>
      <w:r>
        <w:rPr>
          <w:rFonts w:ascii="Times New Roman" w:hAnsi="Times New Roman"/>
        </w:rPr>
        <w:tab/>
      </w:r>
      <w:r>
        <w:rPr>
          <w:rFonts w:ascii="Times New Roman" w:hAnsi="Times New Roman"/>
        </w:rPr>
        <w:t>List of Equations</w:t>
      </w:r>
      <w:r>
        <w:rPr>
          <w:rFonts w:ascii="Times New Roman" w:hAnsi="Times New Roman"/>
        </w:rPr>
        <w:tab/>
      </w:r>
      <w:r>
        <w:rPr>
          <w:rFonts w:ascii="Times New Roman" w:hAnsi="Times New Roman"/>
        </w:rPr>
        <w:t>12</w:t>
      </w:r>
    </w:p>
    <w:p w14:paraId="66DC6BD9">
      <w:pPr>
        <w:tabs>
          <w:tab w:val="left" w:pos="1037"/>
          <w:tab w:val="left" w:pos="8712"/>
        </w:tabs>
      </w:pPr>
      <w:r>
        <w:rPr>
          <w:rFonts w:ascii="Times New Roman" w:hAnsi="Times New Roman"/>
        </w:rPr>
        <w:t>Chapter 01</w:t>
      </w:r>
      <w:r>
        <w:rPr>
          <w:rFonts w:ascii="Times New Roman" w:hAnsi="Times New Roman"/>
        </w:rPr>
        <w:tab/>
      </w:r>
      <w:r>
        <w:rPr>
          <w:rFonts w:ascii="Times New Roman" w:hAnsi="Times New Roman"/>
        </w:rPr>
        <w:t>Introduction</w:t>
      </w:r>
      <w:r>
        <w:rPr>
          <w:rFonts w:ascii="Times New Roman" w:hAnsi="Times New Roman"/>
        </w:rPr>
        <w:tab/>
      </w:r>
      <w:r>
        <w:rPr>
          <w:rFonts w:ascii="Times New Roman" w:hAnsi="Times New Roman"/>
        </w:rPr>
        <w:t>13</w:t>
      </w:r>
    </w:p>
    <w:p w14:paraId="2DB7B3A8">
      <w:pPr>
        <w:tabs>
          <w:tab w:val="left" w:pos="1037"/>
          <w:tab w:val="left" w:pos="8712"/>
        </w:tabs>
      </w:pPr>
      <w:r>
        <w:rPr>
          <w:rFonts w:ascii="Times New Roman" w:hAnsi="Times New Roman"/>
        </w:rPr>
        <w:t>1.1</w:t>
      </w:r>
      <w:r>
        <w:rPr>
          <w:rFonts w:ascii="Times New Roman" w:hAnsi="Times New Roman"/>
        </w:rPr>
        <w:tab/>
      </w:r>
      <w:r>
        <w:rPr>
          <w:rFonts w:ascii="Times New Roman" w:hAnsi="Times New Roman"/>
        </w:rPr>
        <w:t>Background</w:t>
      </w:r>
      <w:r>
        <w:rPr>
          <w:rFonts w:ascii="Times New Roman" w:hAnsi="Times New Roman"/>
        </w:rPr>
        <w:tab/>
      </w:r>
      <w:r>
        <w:rPr>
          <w:rFonts w:ascii="Times New Roman" w:hAnsi="Times New Roman"/>
        </w:rPr>
        <w:t>13</w:t>
      </w:r>
    </w:p>
    <w:p w14:paraId="46901EEF">
      <w:pPr>
        <w:tabs>
          <w:tab w:val="left" w:pos="1037"/>
          <w:tab w:val="left" w:pos="8712"/>
        </w:tabs>
      </w:pPr>
      <w:r>
        <w:rPr>
          <w:rFonts w:ascii="Times New Roman" w:hAnsi="Times New Roman"/>
        </w:rPr>
        <w:t>1.2</w:t>
      </w:r>
      <w:r>
        <w:rPr>
          <w:rFonts w:ascii="Times New Roman" w:hAnsi="Times New Roman"/>
        </w:rPr>
        <w:tab/>
      </w:r>
      <w:r>
        <w:rPr>
          <w:rFonts w:ascii="Times New Roman" w:hAnsi="Times New Roman"/>
        </w:rPr>
        <w:t>Aims of the Project</w:t>
      </w:r>
      <w:r>
        <w:rPr>
          <w:rFonts w:ascii="Times New Roman" w:hAnsi="Times New Roman"/>
        </w:rPr>
        <w:tab/>
      </w:r>
      <w:r>
        <w:rPr>
          <w:rFonts w:ascii="Times New Roman" w:hAnsi="Times New Roman"/>
        </w:rPr>
        <w:t>14</w:t>
      </w:r>
    </w:p>
    <w:p w14:paraId="74B684D9">
      <w:pPr>
        <w:tabs>
          <w:tab w:val="left" w:pos="1037"/>
          <w:tab w:val="left" w:pos="8712"/>
        </w:tabs>
      </w:pPr>
      <w:r>
        <w:rPr>
          <w:rFonts w:ascii="Times New Roman" w:hAnsi="Times New Roman"/>
        </w:rPr>
        <w:t>1.3</w:t>
      </w:r>
      <w:r>
        <w:rPr>
          <w:rFonts w:ascii="Times New Roman" w:hAnsi="Times New Roman"/>
        </w:rPr>
        <w:tab/>
      </w:r>
      <w:r>
        <w:rPr>
          <w:rFonts w:ascii="Times New Roman" w:hAnsi="Times New Roman"/>
        </w:rPr>
        <w:t>Academic Questions and Objectives</w:t>
      </w:r>
      <w:r>
        <w:rPr>
          <w:rFonts w:ascii="Times New Roman" w:hAnsi="Times New Roman"/>
        </w:rPr>
        <w:tab/>
      </w:r>
      <w:r>
        <w:rPr>
          <w:rFonts w:ascii="Times New Roman" w:hAnsi="Times New Roman"/>
        </w:rPr>
        <w:t>14</w:t>
      </w:r>
    </w:p>
    <w:p w14:paraId="7832196C">
      <w:pPr>
        <w:tabs>
          <w:tab w:val="left" w:pos="1037"/>
          <w:tab w:val="left" w:pos="8712"/>
        </w:tabs>
      </w:pPr>
      <w:r>
        <w:rPr>
          <w:rFonts w:ascii="Times New Roman" w:hAnsi="Times New Roman"/>
        </w:rPr>
        <w:t>1.3.1</w:t>
      </w:r>
      <w:r>
        <w:rPr>
          <w:rFonts w:ascii="Times New Roman" w:hAnsi="Times New Roman"/>
        </w:rPr>
        <w:tab/>
      </w:r>
      <w:r>
        <w:rPr>
          <w:rFonts w:ascii="Times New Roman" w:hAnsi="Times New Roman"/>
        </w:rPr>
        <w:t>Academic Questions</w:t>
      </w:r>
      <w:r>
        <w:rPr>
          <w:rFonts w:ascii="Times New Roman" w:hAnsi="Times New Roman"/>
        </w:rPr>
        <w:tab/>
      </w:r>
      <w:r>
        <w:rPr>
          <w:rFonts w:ascii="Times New Roman" w:hAnsi="Times New Roman"/>
        </w:rPr>
        <w:t>14</w:t>
      </w:r>
    </w:p>
    <w:p w14:paraId="2C016EFC">
      <w:pPr>
        <w:tabs>
          <w:tab w:val="left" w:pos="1037"/>
          <w:tab w:val="left" w:pos="8712"/>
        </w:tabs>
      </w:pPr>
      <w:r>
        <w:rPr>
          <w:rFonts w:ascii="Times New Roman" w:hAnsi="Times New Roman"/>
        </w:rPr>
        <w:t>1.3.2</w:t>
      </w:r>
      <w:r>
        <w:rPr>
          <w:rFonts w:ascii="Times New Roman" w:hAnsi="Times New Roman"/>
        </w:rPr>
        <w:tab/>
      </w:r>
      <w:r>
        <w:rPr>
          <w:rFonts w:ascii="Times New Roman" w:hAnsi="Times New Roman"/>
        </w:rPr>
        <w:t>Objectives</w:t>
      </w:r>
      <w:r>
        <w:rPr>
          <w:rFonts w:ascii="Times New Roman" w:hAnsi="Times New Roman"/>
        </w:rPr>
        <w:tab/>
      </w:r>
      <w:r>
        <w:rPr>
          <w:rFonts w:ascii="Times New Roman" w:hAnsi="Times New Roman"/>
        </w:rPr>
        <w:t>15</w:t>
      </w:r>
    </w:p>
    <w:p w14:paraId="7A2DE873">
      <w:pPr>
        <w:tabs>
          <w:tab w:val="left" w:pos="1037"/>
          <w:tab w:val="left" w:pos="8712"/>
        </w:tabs>
      </w:pPr>
      <w:r>
        <w:rPr>
          <w:rFonts w:ascii="Times New Roman" w:hAnsi="Times New Roman"/>
        </w:rPr>
        <w:t>1.4</w:t>
      </w:r>
      <w:r>
        <w:rPr>
          <w:rFonts w:ascii="Times New Roman" w:hAnsi="Times New Roman"/>
        </w:rPr>
        <w:tab/>
      </w:r>
      <w:r>
        <w:rPr>
          <w:rFonts w:ascii="Times New Roman" w:hAnsi="Times New Roman"/>
        </w:rPr>
        <w:t>Scope</w:t>
      </w:r>
      <w:r>
        <w:rPr>
          <w:rFonts w:ascii="Times New Roman" w:hAnsi="Times New Roman"/>
        </w:rPr>
        <w:tab/>
      </w:r>
      <w:r>
        <w:rPr>
          <w:rFonts w:ascii="Times New Roman" w:hAnsi="Times New Roman"/>
        </w:rPr>
        <w:t>16</w:t>
      </w:r>
    </w:p>
    <w:p w14:paraId="4D7E1B0A">
      <w:pPr>
        <w:tabs>
          <w:tab w:val="left" w:pos="1037"/>
          <w:tab w:val="left" w:pos="8712"/>
        </w:tabs>
      </w:pPr>
      <w:r>
        <w:rPr>
          <w:rFonts w:ascii="Times New Roman" w:hAnsi="Times New Roman"/>
        </w:rPr>
        <w:t>1.4.1</w:t>
      </w:r>
      <w:r>
        <w:rPr>
          <w:rFonts w:ascii="Times New Roman" w:hAnsi="Times New Roman"/>
        </w:rPr>
        <w:tab/>
      </w:r>
      <w:r>
        <w:rPr>
          <w:rFonts w:ascii="Times New Roman" w:hAnsi="Times New Roman"/>
        </w:rPr>
        <w:t>In-Scope</w:t>
      </w:r>
      <w:r>
        <w:rPr>
          <w:rFonts w:ascii="Times New Roman" w:hAnsi="Times New Roman"/>
        </w:rPr>
        <w:tab/>
      </w:r>
      <w:r>
        <w:rPr>
          <w:rFonts w:ascii="Times New Roman" w:hAnsi="Times New Roman"/>
        </w:rPr>
        <w:t>16</w:t>
      </w:r>
    </w:p>
    <w:p w14:paraId="7377B99E">
      <w:pPr>
        <w:tabs>
          <w:tab w:val="left" w:pos="1037"/>
          <w:tab w:val="left" w:pos="8712"/>
        </w:tabs>
      </w:pPr>
      <w:r>
        <w:rPr>
          <w:rFonts w:ascii="Times New Roman" w:hAnsi="Times New Roman"/>
        </w:rPr>
        <w:t>1.4.2</w:t>
      </w:r>
      <w:r>
        <w:rPr>
          <w:rFonts w:ascii="Times New Roman" w:hAnsi="Times New Roman"/>
        </w:rPr>
        <w:tab/>
      </w:r>
      <w:r>
        <w:rPr>
          <w:rFonts w:ascii="Times New Roman" w:hAnsi="Times New Roman"/>
        </w:rPr>
        <w:t>Out-of-Scope</w:t>
      </w:r>
      <w:r>
        <w:rPr>
          <w:rFonts w:ascii="Times New Roman" w:hAnsi="Times New Roman"/>
        </w:rPr>
        <w:tab/>
      </w:r>
      <w:r>
        <w:rPr>
          <w:rFonts w:ascii="Times New Roman" w:hAnsi="Times New Roman"/>
        </w:rPr>
        <w:t>16</w:t>
      </w:r>
    </w:p>
    <w:p w14:paraId="55AE5268">
      <w:pPr>
        <w:tabs>
          <w:tab w:val="left" w:pos="1037"/>
          <w:tab w:val="left" w:pos="8712"/>
        </w:tabs>
      </w:pPr>
      <w:r>
        <w:rPr>
          <w:rFonts w:ascii="Times New Roman" w:hAnsi="Times New Roman"/>
        </w:rPr>
        <w:t>1.5</w:t>
      </w:r>
      <w:r>
        <w:rPr>
          <w:rFonts w:ascii="Times New Roman" w:hAnsi="Times New Roman"/>
        </w:rPr>
        <w:tab/>
      </w:r>
      <w:r>
        <w:rPr>
          <w:rFonts w:ascii="Times New Roman" w:hAnsi="Times New Roman"/>
        </w:rPr>
        <w:t>Structure of the Report</w:t>
      </w:r>
      <w:r>
        <w:rPr>
          <w:rFonts w:ascii="Times New Roman" w:hAnsi="Times New Roman"/>
        </w:rPr>
        <w:tab/>
      </w:r>
      <w:r>
        <w:rPr>
          <w:rFonts w:ascii="Times New Roman" w:hAnsi="Times New Roman"/>
        </w:rPr>
        <w:t>17</w:t>
      </w:r>
    </w:p>
    <w:p w14:paraId="485730AE">
      <w:pPr>
        <w:tabs>
          <w:tab w:val="left" w:pos="1037"/>
          <w:tab w:val="left" w:pos="8712"/>
        </w:tabs>
      </w:pPr>
      <w:r>
        <w:rPr>
          <w:rFonts w:ascii="Times New Roman" w:hAnsi="Times New Roman"/>
        </w:rPr>
        <w:t>Chapter 02</w:t>
      </w:r>
      <w:r>
        <w:rPr>
          <w:rFonts w:ascii="Times New Roman" w:hAnsi="Times New Roman"/>
        </w:rPr>
        <w:tab/>
      </w:r>
      <w:r>
        <w:rPr>
          <w:rFonts w:ascii="Times New Roman" w:hAnsi="Times New Roman"/>
        </w:rPr>
        <w:t>Literature Review</w:t>
      </w:r>
      <w:r>
        <w:rPr>
          <w:rFonts w:ascii="Times New Roman" w:hAnsi="Times New Roman"/>
        </w:rPr>
        <w:tab/>
      </w:r>
      <w:r>
        <w:rPr>
          <w:rFonts w:ascii="Times New Roman" w:hAnsi="Times New Roman"/>
        </w:rPr>
        <w:t>18</w:t>
      </w:r>
    </w:p>
    <w:p w14:paraId="03102FDA">
      <w:pPr>
        <w:tabs>
          <w:tab w:val="left" w:pos="1037"/>
          <w:tab w:val="left" w:pos="8712"/>
        </w:tabs>
      </w:pPr>
      <w:r>
        <w:rPr>
          <w:rFonts w:ascii="Times New Roman" w:hAnsi="Times New Roman"/>
        </w:rPr>
        <w:t>2.1</w:t>
      </w:r>
      <w:r>
        <w:rPr>
          <w:rFonts w:ascii="Times New Roman" w:hAnsi="Times New Roman"/>
        </w:rPr>
        <w:tab/>
      </w:r>
      <w:r>
        <w:rPr>
          <w:rFonts w:ascii="Times New Roman" w:hAnsi="Times New Roman"/>
        </w:rPr>
        <w:t>Introduction</w:t>
      </w:r>
      <w:r>
        <w:rPr>
          <w:rFonts w:ascii="Times New Roman" w:hAnsi="Times New Roman"/>
        </w:rPr>
        <w:tab/>
      </w:r>
      <w:r>
        <w:rPr>
          <w:rFonts w:ascii="Times New Roman" w:hAnsi="Times New Roman"/>
        </w:rPr>
        <w:t>18</w:t>
      </w:r>
    </w:p>
    <w:p w14:paraId="7D0CE43D">
      <w:pPr>
        <w:tabs>
          <w:tab w:val="left" w:pos="1037"/>
          <w:tab w:val="left" w:pos="8712"/>
        </w:tabs>
      </w:pPr>
      <w:r>
        <w:rPr>
          <w:rFonts w:ascii="Times New Roman" w:hAnsi="Times New Roman"/>
        </w:rPr>
        <w:t>2.2</w:t>
      </w:r>
      <w:r>
        <w:rPr>
          <w:rFonts w:ascii="Times New Roman" w:hAnsi="Times New Roman"/>
        </w:rPr>
        <w:tab/>
      </w:r>
      <w:r>
        <w:rPr>
          <w:rFonts w:ascii="Times New Roman" w:hAnsi="Times New Roman"/>
        </w:rPr>
        <w:t>Similar Projects</w:t>
      </w:r>
      <w:r>
        <w:rPr>
          <w:rFonts w:ascii="Times New Roman" w:hAnsi="Times New Roman"/>
        </w:rPr>
        <w:tab/>
      </w:r>
      <w:r>
        <w:rPr>
          <w:rFonts w:ascii="Times New Roman" w:hAnsi="Times New Roman"/>
        </w:rPr>
        <w:t>18</w:t>
      </w:r>
    </w:p>
    <w:p w14:paraId="2AE7088C">
      <w:pPr>
        <w:tabs>
          <w:tab w:val="left" w:pos="1037"/>
          <w:tab w:val="left" w:pos="8712"/>
        </w:tabs>
      </w:pPr>
      <w:r>
        <w:rPr>
          <w:rFonts w:ascii="Times New Roman" w:hAnsi="Times New Roman"/>
        </w:rPr>
        <w:t>2.2.1</w:t>
      </w:r>
      <w:r>
        <w:rPr>
          <w:rFonts w:ascii="Times New Roman" w:hAnsi="Times New Roman"/>
        </w:rPr>
        <w:tab/>
      </w:r>
      <w:r>
        <w:rPr>
          <w:rFonts w:ascii="Times New Roman" w:hAnsi="Times New Roman"/>
        </w:rPr>
        <w:t>CXR-Specific Vision-Language Models</w:t>
      </w:r>
      <w:r>
        <w:rPr>
          <w:rFonts w:ascii="Times New Roman" w:hAnsi="Times New Roman"/>
        </w:rPr>
        <w:tab/>
      </w:r>
      <w:r>
        <w:rPr>
          <w:rFonts w:ascii="Times New Roman" w:hAnsi="Times New Roman"/>
        </w:rPr>
        <w:t>18</w:t>
      </w:r>
    </w:p>
    <w:p w14:paraId="11FF15A2">
      <w:pPr>
        <w:tabs>
          <w:tab w:val="left" w:pos="1037"/>
          <w:tab w:val="left" w:pos="8712"/>
        </w:tabs>
      </w:pPr>
      <w:r>
        <w:rPr>
          <w:rFonts w:ascii="Times New Roman" w:hAnsi="Times New Roman"/>
        </w:rPr>
        <w:t>2.2.2</w:t>
      </w:r>
      <w:r>
        <w:rPr>
          <w:rFonts w:ascii="Times New Roman" w:hAnsi="Times New Roman"/>
        </w:rPr>
        <w:tab/>
      </w:r>
      <w:r>
        <w:rPr>
          <w:rFonts w:ascii="Times New Roman" w:hAnsi="Times New Roman"/>
        </w:rPr>
        <w:t>General Medical and Biomedical VLMs and Adjacent Models</w:t>
      </w:r>
      <w:r>
        <w:rPr>
          <w:rFonts w:ascii="Times New Roman" w:hAnsi="Times New Roman"/>
        </w:rPr>
        <w:tab/>
      </w:r>
      <w:r>
        <w:rPr>
          <w:rFonts w:ascii="Times New Roman" w:hAnsi="Times New Roman"/>
        </w:rPr>
        <w:t>19</w:t>
      </w:r>
    </w:p>
    <w:p w14:paraId="2D089CC0">
      <w:pPr>
        <w:tabs>
          <w:tab w:val="left" w:pos="1037"/>
          <w:tab w:val="left" w:pos="8712"/>
        </w:tabs>
      </w:pPr>
      <w:r>
        <w:rPr>
          <w:rFonts w:ascii="Times New Roman" w:hAnsi="Times New Roman"/>
        </w:rPr>
        <w:t>2.2.3</w:t>
      </w:r>
      <w:r>
        <w:rPr>
          <w:rFonts w:ascii="Times New Roman" w:hAnsi="Times New Roman"/>
        </w:rPr>
        <w:tab/>
      </w:r>
      <w:r>
        <w:rPr>
          <w:rFonts w:ascii="Times New Roman" w:hAnsi="Times New Roman"/>
        </w:rPr>
        <w:t>Agentic and Multi-Agent CXR / Imaging Systems</w:t>
      </w:r>
      <w:r>
        <w:rPr>
          <w:rFonts w:ascii="Times New Roman" w:hAnsi="Times New Roman"/>
        </w:rPr>
        <w:tab/>
      </w:r>
      <w:r>
        <w:rPr>
          <w:rFonts w:ascii="Times New Roman" w:hAnsi="Times New Roman"/>
        </w:rPr>
        <w:t>20</w:t>
      </w:r>
    </w:p>
    <w:p w14:paraId="0BF457B9">
      <w:pPr>
        <w:tabs>
          <w:tab w:val="left" w:pos="1037"/>
          <w:tab w:val="left" w:pos="8712"/>
        </w:tabs>
      </w:pPr>
      <w:r>
        <w:rPr>
          <w:rFonts w:ascii="Times New Roman" w:hAnsi="Times New Roman"/>
        </w:rPr>
        <w:t>2.2.4</w:t>
      </w:r>
      <w:r>
        <w:rPr>
          <w:rFonts w:ascii="Times New Roman" w:hAnsi="Times New Roman"/>
        </w:rPr>
        <w:tab/>
      </w:r>
      <w:r>
        <w:rPr>
          <w:rFonts w:ascii="Times New Roman" w:hAnsi="Times New Roman"/>
        </w:rPr>
        <w:t>RAG Frameworks in Healthcare and Biomedicine</w:t>
      </w:r>
      <w:r>
        <w:rPr>
          <w:rFonts w:ascii="Times New Roman" w:hAnsi="Times New Roman"/>
        </w:rPr>
        <w:tab/>
      </w:r>
      <w:r>
        <w:rPr>
          <w:rFonts w:ascii="Times New Roman" w:hAnsi="Times New Roman"/>
        </w:rPr>
        <w:t>20</w:t>
      </w:r>
    </w:p>
    <w:p w14:paraId="471DFB51">
      <w:pPr>
        <w:tabs>
          <w:tab w:val="left" w:pos="1037"/>
          <w:tab w:val="left" w:pos="8712"/>
        </w:tabs>
      </w:pPr>
      <w:r>
        <w:rPr>
          <w:rFonts w:ascii="Times New Roman" w:hAnsi="Times New Roman"/>
        </w:rPr>
        <w:t>2.2.5</w:t>
      </w:r>
      <w:r>
        <w:rPr>
          <w:rFonts w:ascii="Times New Roman" w:hAnsi="Times New Roman"/>
        </w:rPr>
        <w:tab/>
      </w:r>
      <w:r>
        <w:rPr>
          <w:rFonts w:ascii="Times New Roman" w:hAnsi="Times New Roman"/>
        </w:rPr>
        <w:t>Public CXR Datasets</w:t>
      </w:r>
      <w:r>
        <w:rPr>
          <w:rFonts w:ascii="Times New Roman" w:hAnsi="Times New Roman"/>
        </w:rPr>
        <w:tab/>
      </w:r>
      <w:r>
        <w:rPr>
          <w:rFonts w:ascii="Times New Roman" w:hAnsi="Times New Roman"/>
        </w:rPr>
        <w:t>21</w:t>
      </w:r>
    </w:p>
    <w:p w14:paraId="481A6CDB">
      <w:pPr>
        <w:tabs>
          <w:tab w:val="left" w:pos="1037"/>
          <w:tab w:val="left" w:pos="8712"/>
        </w:tabs>
      </w:pPr>
      <w:r>
        <w:rPr>
          <w:rFonts w:ascii="Times New Roman" w:hAnsi="Times New Roman"/>
        </w:rPr>
        <w:t>2.2.6</w:t>
      </w:r>
      <w:r>
        <w:rPr>
          <w:rFonts w:ascii="Times New Roman" w:hAnsi="Times New Roman"/>
        </w:rPr>
        <w:tab/>
      </w:r>
      <w:r>
        <w:rPr>
          <w:rFonts w:ascii="Times New Roman" w:hAnsi="Times New Roman"/>
        </w:rPr>
        <w:t>CXR Benchmarks and Evaluation Frameworks</w:t>
      </w:r>
      <w:r>
        <w:rPr>
          <w:rFonts w:ascii="Times New Roman" w:hAnsi="Times New Roman"/>
        </w:rPr>
        <w:tab/>
      </w:r>
      <w:r>
        <w:rPr>
          <w:rFonts w:ascii="Times New Roman" w:hAnsi="Times New Roman"/>
        </w:rPr>
        <w:t>22</w:t>
      </w:r>
    </w:p>
    <w:p w14:paraId="7A6337CF">
      <w:pPr>
        <w:tabs>
          <w:tab w:val="left" w:pos="1037"/>
          <w:tab w:val="left" w:pos="8712"/>
        </w:tabs>
      </w:pPr>
      <w:r>
        <w:rPr>
          <w:rFonts w:ascii="Times New Roman" w:hAnsi="Times New Roman"/>
        </w:rPr>
        <w:t>2.2.7</w:t>
      </w:r>
      <w:r>
        <w:rPr>
          <w:rFonts w:ascii="Times New Roman" w:hAnsi="Times New Roman"/>
        </w:rPr>
        <w:tab/>
      </w:r>
      <w:r>
        <w:rPr>
          <w:rFonts w:ascii="Times New Roman" w:hAnsi="Times New Roman"/>
        </w:rPr>
        <w:t>Existing Radiology E-Learning Platforms</w:t>
      </w:r>
      <w:r>
        <w:rPr>
          <w:rFonts w:ascii="Times New Roman" w:hAnsi="Times New Roman"/>
        </w:rPr>
        <w:tab/>
      </w:r>
      <w:r>
        <w:rPr>
          <w:rFonts w:ascii="Times New Roman" w:hAnsi="Times New Roman"/>
        </w:rPr>
        <w:t>23</w:t>
      </w:r>
    </w:p>
    <w:p w14:paraId="5DD844C3">
      <w:pPr>
        <w:tabs>
          <w:tab w:val="left" w:pos="1037"/>
          <w:tab w:val="left" w:pos="8712"/>
        </w:tabs>
      </w:pPr>
      <w:r>
        <w:rPr>
          <w:rFonts w:ascii="Times New Roman" w:hAnsi="Times New Roman"/>
        </w:rPr>
        <w:t>2.2.8</w:t>
      </w:r>
      <w:r>
        <w:rPr>
          <w:rFonts w:ascii="Times New Roman" w:hAnsi="Times New Roman"/>
        </w:rPr>
        <w:tab/>
      </w:r>
      <w:r>
        <w:rPr>
          <w:rFonts w:ascii="Times New Roman" w:hAnsi="Times New Roman"/>
        </w:rPr>
        <w:t>Summary of the Reviewed Similar Projects</w:t>
      </w:r>
      <w:r>
        <w:rPr>
          <w:rFonts w:ascii="Times New Roman" w:hAnsi="Times New Roman"/>
        </w:rPr>
        <w:tab/>
      </w:r>
      <w:r>
        <w:rPr>
          <w:rFonts w:ascii="Times New Roman" w:hAnsi="Times New Roman"/>
        </w:rPr>
        <w:t>24</w:t>
      </w:r>
    </w:p>
    <w:p w14:paraId="4026B18C">
      <w:pPr>
        <w:tabs>
          <w:tab w:val="left" w:pos="1037"/>
          <w:tab w:val="left" w:pos="8712"/>
        </w:tabs>
      </w:pPr>
      <w:r>
        <w:rPr>
          <w:rFonts w:ascii="Times New Roman" w:hAnsi="Times New Roman"/>
        </w:rPr>
        <w:t>Chapter 03</w:t>
      </w:r>
      <w:r>
        <w:rPr>
          <w:rFonts w:ascii="Times New Roman" w:hAnsi="Times New Roman"/>
        </w:rPr>
        <w:tab/>
      </w:r>
      <w:r>
        <w:rPr>
          <w:rFonts w:ascii="Times New Roman" w:hAnsi="Times New Roman"/>
        </w:rPr>
        <w:t>Methodology</w:t>
      </w:r>
      <w:r>
        <w:rPr>
          <w:rFonts w:ascii="Times New Roman" w:hAnsi="Times New Roman"/>
        </w:rPr>
        <w:tab/>
      </w:r>
      <w:r>
        <w:rPr>
          <w:rFonts w:ascii="Times New Roman" w:hAnsi="Times New Roman"/>
        </w:rPr>
        <w:t>26</w:t>
      </w:r>
    </w:p>
    <w:p w14:paraId="27C2C64F">
      <w:pPr>
        <w:tabs>
          <w:tab w:val="left" w:pos="1037"/>
          <w:tab w:val="left" w:pos="8712"/>
        </w:tabs>
      </w:pPr>
      <w:r>
        <w:rPr>
          <w:rFonts w:ascii="Times New Roman" w:hAnsi="Times New Roman"/>
        </w:rPr>
        <w:t>3.1</w:t>
      </w:r>
      <w:r>
        <w:rPr>
          <w:rFonts w:ascii="Times New Roman" w:hAnsi="Times New Roman"/>
        </w:rPr>
        <w:tab/>
      </w:r>
      <w:r>
        <w:rPr>
          <w:rFonts w:ascii="Times New Roman" w:hAnsi="Times New Roman"/>
        </w:rPr>
        <w:t>Planning</w:t>
      </w:r>
      <w:r>
        <w:rPr>
          <w:rFonts w:ascii="Times New Roman" w:hAnsi="Times New Roman"/>
        </w:rPr>
        <w:tab/>
      </w:r>
      <w:r>
        <w:rPr>
          <w:rFonts w:ascii="Times New Roman" w:hAnsi="Times New Roman"/>
        </w:rPr>
        <w:t>26</w:t>
      </w:r>
    </w:p>
    <w:p w14:paraId="76967B04">
      <w:pPr>
        <w:tabs>
          <w:tab w:val="left" w:pos="1037"/>
          <w:tab w:val="left" w:pos="8712"/>
        </w:tabs>
      </w:pPr>
      <w:r>
        <w:rPr>
          <w:rFonts w:ascii="Times New Roman" w:hAnsi="Times New Roman"/>
        </w:rPr>
        <w:t>3.1.1</w:t>
      </w:r>
      <w:r>
        <w:rPr>
          <w:rFonts w:ascii="Times New Roman" w:hAnsi="Times New Roman"/>
        </w:rPr>
        <w:tab/>
      </w:r>
      <w:r>
        <w:rPr>
          <w:rFonts w:ascii="Times New Roman" w:hAnsi="Times New Roman"/>
        </w:rPr>
        <w:t>Identifying Business Values</w:t>
      </w:r>
      <w:r>
        <w:rPr>
          <w:rFonts w:ascii="Times New Roman" w:hAnsi="Times New Roman"/>
        </w:rPr>
        <w:tab/>
      </w:r>
      <w:r>
        <w:rPr>
          <w:rFonts w:ascii="Times New Roman" w:hAnsi="Times New Roman"/>
        </w:rPr>
        <w:t>26</w:t>
      </w:r>
    </w:p>
    <w:p w14:paraId="5D9222E4">
      <w:pPr>
        <w:tabs>
          <w:tab w:val="left" w:pos="1037"/>
          <w:tab w:val="left" w:pos="8712"/>
        </w:tabs>
      </w:pPr>
      <w:r>
        <w:rPr>
          <w:rFonts w:ascii="Times New Roman" w:hAnsi="Times New Roman"/>
        </w:rPr>
        <w:t>3.1.2</w:t>
      </w:r>
      <w:r>
        <w:rPr>
          <w:rFonts w:ascii="Times New Roman" w:hAnsi="Times New Roman"/>
        </w:rPr>
        <w:tab/>
      </w:r>
      <w:r>
        <w:rPr>
          <w:rFonts w:ascii="Times New Roman" w:hAnsi="Times New Roman"/>
        </w:rPr>
        <w:t>Feasibility Analysis</w:t>
      </w:r>
      <w:r>
        <w:rPr>
          <w:rFonts w:ascii="Times New Roman" w:hAnsi="Times New Roman"/>
        </w:rPr>
        <w:tab/>
      </w:r>
      <w:r>
        <w:rPr>
          <w:rFonts w:ascii="Times New Roman" w:hAnsi="Times New Roman"/>
        </w:rPr>
        <w:t>27</w:t>
      </w:r>
    </w:p>
    <w:p w14:paraId="1E4E67BD">
      <w:pPr>
        <w:tabs>
          <w:tab w:val="left" w:pos="1037"/>
          <w:tab w:val="left" w:pos="8712"/>
        </w:tabs>
      </w:pPr>
      <w:r>
        <w:rPr>
          <w:rFonts w:ascii="Times New Roman" w:hAnsi="Times New Roman"/>
        </w:rPr>
        <w:t>3.1.2.1</w:t>
      </w:r>
      <w:r>
        <w:rPr>
          <w:rFonts w:ascii="Times New Roman" w:hAnsi="Times New Roman"/>
        </w:rPr>
        <w:tab/>
      </w:r>
      <w:r>
        <w:rPr>
          <w:rFonts w:ascii="Times New Roman" w:hAnsi="Times New Roman"/>
        </w:rPr>
        <w:t>Technical Feasibility</w:t>
      </w:r>
      <w:r>
        <w:rPr>
          <w:rFonts w:ascii="Times New Roman" w:hAnsi="Times New Roman"/>
        </w:rPr>
        <w:tab/>
      </w:r>
      <w:r>
        <w:rPr>
          <w:rFonts w:ascii="Times New Roman" w:hAnsi="Times New Roman"/>
        </w:rPr>
        <w:t>27</w:t>
      </w:r>
    </w:p>
    <w:p w14:paraId="6621314F">
      <w:pPr>
        <w:tabs>
          <w:tab w:val="left" w:pos="1037"/>
          <w:tab w:val="left" w:pos="8712"/>
        </w:tabs>
      </w:pPr>
      <w:r>
        <w:rPr>
          <w:rFonts w:ascii="Times New Roman" w:hAnsi="Times New Roman"/>
        </w:rPr>
        <w:t>3.1.2.2</w:t>
      </w:r>
      <w:r>
        <w:rPr>
          <w:rFonts w:ascii="Times New Roman" w:hAnsi="Times New Roman"/>
        </w:rPr>
        <w:tab/>
      </w:r>
      <w:r>
        <w:rPr>
          <w:rFonts w:ascii="Times New Roman" w:hAnsi="Times New Roman"/>
        </w:rPr>
        <w:t>Financial Feasibility</w:t>
      </w:r>
      <w:r>
        <w:rPr>
          <w:rFonts w:ascii="Times New Roman" w:hAnsi="Times New Roman"/>
        </w:rPr>
        <w:tab/>
      </w:r>
      <w:r>
        <w:rPr>
          <w:rFonts w:ascii="Times New Roman" w:hAnsi="Times New Roman"/>
        </w:rPr>
        <w:t>28</w:t>
      </w:r>
    </w:p>
    <w:p w14:paraId="7F570935">
      <w:pPr>
        <w:tabs>
          <w:tab w:val="left" w:pos="1037"/>
          <w:tab w:val="left" w:pos="8712"/>
        </w:tabs>
      </w:pPr>
      <w:r>
        <w:rPr>
          <w:rFonts w:ascii="Times New Roman" w:hAnsi="Times New Roman"/>
        </w:rPr>
        <w:t>3.1.2.3</w:t>
      </w:r>
      <w:r>
        <w:rPr>
          <w:rFonts w:ascii="Times New Roman" w:hAnsi="Times New Roman"/>
        </w:rPr>
        <w:tab/>
      </w:r>
      <w:r>
        <w:rPr>
          <w:rFonts w:ascii="Times New Roman" w:hAnsi="Times New Roman"/>
        </w:rPr>
        <w:t>Operational Feasibility</w:t>
      </w:r>
      <w:r>
        <w:rPr>
          <w:rFonts w:ascii="Times New Roman" w:hAnsi="Times New Roman"/>
        </w:rPr>
        <w:tab/>
      </w:r>
      <w:r>
        <w:rPr>
          <w:rFonts w:ascii="Times New Roman" w:hAnsi="Times New Roman"/>
        </w:rPr>
        <w:t>29</w:t>
      </w:r>
    </w:p>
    <w:p w14:paraId="2AE337B7">
      <w:pPr>
        <w:tabs>
          <w:tab w:val="left" w:pos="1037"/>
          <w:tab w:val="left" w:pos="8712"/>
        </w:tabs>
      </w:pPr>
      <w:r>
        <w:rPr>
          <w:rFonts w:ascii="Times New Roman" w:hAnsi="Times New Roman"/>
        </w:rPr>
        <w:t>3.1.2.4</w:t>
      </w:r>
      <w:r>
        <w:rPr>
          <w:rFonts w:ascii="Times New Roman" w:hAnsi="Times New Roman"/>
        </w:rPr>
        <w:tab/>
      </w:r>
      <w:r>
        <w:rPr>
          <w:rFonts w:ascii="Times New Roman" w:hAnsi="Times New Roman"/>
        </w:rPr>
        <w:t>Legal Feasibility</w:t>
      </w:r>
      <w:r>
        <w:rPr>
          <w:rFonts w:ascii="Times New Roman" w:hAnsi="Times New Roman"/>
        </w:rPr>
        <w:tab/>
      </w:r>
      <w:r>
        <w:rPr>
          <w:rFonts w:ascii="Times New Roman" w:hAnsi="Times New Roman"/>
        </w:rPr>
        <w:t>29</w:t>
      </w:r>
    </w:p>
    <w:p w14:paraId="788D85FC">
      <w:pPr>
        <w:tabs>
          <w:tab w:val="left" w:pos="1037"/>
          <w:tab w:val="left" w:pos="8712"/>
        </w:tabs>
      </w:pPr>
      <w:r>
        <w:rPr>
          <w:rFonts w:ascii="Times New Roman" w:hAnsi="Times New Roman"/>
        </w:rPr>
        <w:t>3.1.2.5</w:t>
      </w:r>
      <w:r>
        <w:rPr>
          <w:rFonts w:ascii="Times New Roman" w:hAnsi="Times New Roman"/>
        </w:rPr>
        <w:tab/>
      </w:r>
      <w:r>
        <w:rPr>
          <w:rFonts w:ascii="Times New Roman" w:hAnsi="Times New Roman"/>
        </w:rPr>
        <w:t>Schedule Feasibility</w:t>
      </w:r>
      <w:r>
        <w:rPr>
          <w:rFonts w:ascii="Times New Roman" w:hAnsi="Times New Roman"/>
        </w:rPr>
        <w:tab/>
      </w:r>
      <w:r>
        <w:rPr>
          <w:rFonts w:ascii="Times New Roman" w:hAnsi="Times New Roman"/>
        </w:rPr>
        <w:t>30</w:t>
      </w:r>
    </w:p>
    <w:p w14:paraId="1C4B2946">
      <w:pPr>
        <w:tabs>
          <w:tab w:val="left" w:pos="1037"/>
          <w:tab w:val="left" w:pos="8712"/>
        </w:tabs>
      </w:pPr>
      <w:r>
        <w:rPr>
          <w:rFonts w:ascii="Times New Roman" w:hAnsi="Times New Roman"/>
        </w:rPr>
        <w:t>3.1.3</w:t>
      </w:r>
      <w:r>
        <w:rPr>
          <w:rFonts w:ascii="Times New Roman" w:hAnsi="Times New Roman"/>
        </w:rPr>
        <w:tab/>
      </w:r>
      <w:r>
        <w:rPr>
          <w:rFonts w:ascii="Times New Roman" w:hAnsi="Times New Roman"/>
        </w:rPr>
        <w:t>Work Plan</w:t>
      </w:r>
      <w:r>
        <w:rPr>
          <w:rFonts w:ascii="Times New Roman" w:hAnsi="Times New Roman"/>
        </w:rPr>
        <w:tab/>
      </w:r>
      <w:r>
        <w:rPr>
          <w:rFonts w:ascii="Times New Roman" w:hAnsi="Times New Roman"/>
        </w:rPr>
        <w:t>30</w:t>
      </w:r>
    </w:p>
    <w:p w14:paraId="149C1141">
      <w:pPr>
        <w:tabs>
          <w:tab w:val="left" w:pos="1037"/>
          <w:tab w:val="left" w:pos="8712"/>
        </w:tabs>
      </w:pPr>
      <w:r>
        <w:rPr>
          <w:rFonts w:ascii="Times New Roman" w:hAnsi="Times New Roman"/>
        </w:rPr>
        <w:t>3.2</w:t>
      </w:r>
      <w:r>
        <w:rPr>
          <w:rFonts w:ascii="Times New Roman" w:hAnsi="Times New Roman"/>
        </w:rPr>
        <w:tab/>
      </w:r>
      <w:r>
        <w:rPr>
          <w:rFonts w:ascii="Times New Roman" w:hAnsi="Times New Roman"/>
        </w:rPr>
        <w:t>Analysis and Requirement Gathering</w:t>
      </w:r>
      <w:r>
        <w:rPr>
          <w:rFonts w:ascii="Times New Roman" w:hAnsi="Times New Roman"/>
        </w:rPr>
        <w:tab/>
      </w:r>
      <w:r>
        <w:rPr>
          <w:rFonts w:ascii="Times New Roman" w:hAnsi="Times New Roman"/>
        </w:rPr>
        <w:t>32</w:t>
      </w:r>
    </w:p>
    <w:p w14:paraId="576E4014">
      <w:pPr>
        <w:tabs>
          <w:tab w:val="left" w:pos="1037"/>
          <w:tab w:val="left" w:pos="8712"/>
        </w:tabs>
      </w:pPr>
      <w:r>
        <w:rPr>
          <w:rFonts w:ascii="Times New Roman" w:hAnsi="Times New Roman"/>
        </w:rPr>
        <w:t>3.2.1</w:t>
      </w:r>
      <w:r>
        <w:rPr>
          <w:rFonts w:ascii="Times New Roman" w:hAnsi="Times New Roman"/>
        </w:rPr>
        <w:tab/>
      </w:r>
      <w:r>
        <w:rPr>
          <w:rFonts w:ascii="Times New Roman" w:hAnsi="Times New Roman"/>
        </w:rPr>
        <w:t>Analysis</w:t>
      </w:r>
      <w:r>
        <w:rPr>
          <w:rFonts w:ascii="Times New Roman" w:hAnsi="Times New Roman"/>
        </w:rPr>
        <w:tab/>
      </w:r>
      <w:r>
        <w:rPr>
          <w:rFonts w:ascii="Times New Roman" w:hAnsi="Times New Roman"/>
        </w:rPr>
        <w:t>32</w:t>
      </w:r>
    </w:p>
    <w:p w14:paraId="39339ADD">
      <w:pPr>
        <w:tabs>
          <w:tab w:val="left" w:pos="1037"/>
          <w:tab w:val="left" w:pos="8712"/>
        </w:tabs>
      </w:pPr>
      <w:r>
        <w:rPr>
          <w:rFonts w:ascii="Times New Roman" w:hAnsi="Times New Roman"/>
        </w:rPr>
        <w:t>3.2.2</w:t>
      </w:r>
      <w:r>
        <w:rPr>
          <w:rFonts w:ascii="Times New Roman" w:hAnsi="Times New Roman"/>
        </w:rPr>
        <w:tab/>
      </w:r>
      <w:r>
        <w:rPr>
          <w:rFonts w:ascii="Times New Roman" w:hAnsi="Times New Roman"/>
        </w:rPr>
        <w:t>Requirement Gathering</w:t>
      </w:r>
      <w:r>
        <w:rPr>
          <w:rFonts w:ascii="Times New Roman" w:hAnsi="Times New Roman"/>
        </w:rPr>
        <w:tab/>
      </w:r>
      <w:r>
        <w:rPr>
          <w:rFonts w:ascii="Times New Roman" w:hAnsi="Times New Roman"/>
        </w:rPr>
        <w:t>36</w:t>
      </w:r>
    </w:p>
    <w:p w14:paraId="50349F01">
      <w:pPr>
        <w:tabs>
          <w:tab w:val="left" w:pos="1037"/>
          <w:tab w:val="left" w:pos="8712"/>
        </w:tabs>
      </w:pPr>
      <w:r>
        <w:rPr>
          <w:rFonts w:ascii="Times New Roman" w:hAnsi="Times New Roman"/>
        </w:rPr>
        <w:t>3.3</w:t>
      </w:r>
      <w:r>
        <w:rPr>
          <w:rFonts w:ascii="Times New Roman" w:hAnsi="Times New Roman"/>
        </w:rPr>
        <w:tab/>
      </w:r>
      <w:r>
        <w:rPr>
          <w:rFonts w:ascii="Times New Roman" w:hAnsi="Times New Roman"/>
        </w:rPr>
        <w:t>Designing</w:t>
      </w:r>
      <w:r>
        <w:rPr>
          <w:rFonts w:ascii="Times New Roman" w:hAnsi="Times New Roman"/>
        </w:rPr>
        <w:tab/>
      </w:r>
      <w:r>
        <w:rPr>
          <w:rFonts w:ascii="Times New Roman" w:hAnsi="Times New Roman"/>
        </w:rPr>
        <w:t>37</w:t>
      </w:r>
    </w:p>
    <w:p w14:paraId="176B7197">
      <w:pPr>
        <w:tabs>
          <w:tab w:val="left" w:pos="1037"/>
          <w:tab w:val="left" w:pos="8712"/>
        </w:tabs>
      </w:pPr>
      <w:r>
        <w:rPr>
          <w:rFonts w:ascii="Times New Roman" w:hAnsi="Times New Roman"/>
        </w:rPr>
        <w:t>3.3.1</w:t>
      </w:r>
      <w:r>
        <w:rPr>
          <w:rFonts w:ascii="Times New Roman" w:hAnsi="Times New Roman"/>
        </w:rPr>
        <w:tab/>
      </w:r>
      <w:r>
        <w:rPr>
          <w:rFonts w:ascii="Times New Roman" w:hAnsi="Times New Roman"/>
        </w:rPr>
        <w:t>Physical Design</w:t>
      </w:r>
      <w:r>
        <w:rPr>
          <w:rFonts w:ascii="Times New Roman" w:hAnsi="Times New Roman"/>
        </w:rPr>
        <w:tab/>
      </w:r>
      <w:r>
        <w:rPr>
          <w:rFonts w:ascii="Times New Roman" w:hAnsi="Times New Roman"/>
        </w:rPr>
        <w:t>37</w:t>
      </w:r>
    </w:p>
    <w:p w14:paraId="61AB9A62">
      <w:pPr>
        <w:tabs>
          <w:tab w:val="left" w:pos="1037"/>
          <w:tab w:val="left" w:pos="8712"/>
        </w:tabs>
      </w:pPr>
      <w:r>
        <w:rPr>
          <w:rFonts w:ascii="Times New Roman" w:hAnsi="Times New Roman"/>
        </w:rPr>
        <w:t>3.3.2</w:t>
      </w:r>
      <w:r>
        <w:rPr>
          <w:rFonts w:ascii="Times New Roman" w:hAnsi="Times New Roman"/>
        </w:rPr>
        <w:tab/>
      </w:r>
      <w:r>
        <w:rPr>
          <w:rFonts w:ascii="Times New Roman" w:hAnsi="Times New Roman"/>
        </w:rPr>
        <w:t>Architecture Design</w:t>
      </w:r>
      <w:r>
        <w:rPr>
          <w:rFonts w:ascii="Times New Roman" w:hAnsi="Times New Roman"/>
        </w:rPr>
        <w:tab/>
      </w:r>
      <w:r>
        <w:rPr>
          <w:rFonts w:ascii="Times New Roman" w:hAnsi="Times New Roman"/>
        </w:rPr>
        <w:t>39</w:t>
      </w:r>
    </w:p>
    <w:p w14:paraId="678CF2DC">
      <w:pPr>
        <w:tabs>
          <w:tab w:val="left" w:pos="1037"/>
          <w:tab w:val="left" w:pos="8712"/>
        </w:tabs>
      </w:pPr>
      <w:r>
        <w:rPr>
          <w:rFonts w:ascii="Times New Roman" w:hAnsi="Times New Roman"/>
        </w:rPr>
        <w:t>3.3.3</w:t>
      </w:r>
      <w:r>
        <w:rPr>
          <w:rFonts w:ascii="Times New Roman" w:hAnsi="Times New Roman"/>
        </w:rPr>
        <w:tab/>
      </w:r>
      <w:r>
        <w:rPr>
          <w:rFonts w:ascii="Times New Roman" w:hAnsi="Times New Roman"/>
        </w:rPr>
        <w:t>Interface Design</w:t>
      </w:r>
      <w:r>
        <w:rPr>
          <w:rFonts w:ascii="Times New Roman" w:hAnsi="Times New Roman"/>
        </w:rPr>
        <w:tab/>
      </w:r>
      <w:r>
        <w:rPr>
          <w:rFonts w:ascii="Times New Roman" w:hAnsi="Times New Roman"/>
        </w:rPr>
        <w:t>41</w:t>
      </w:r>
    </w:p>
    <w:p w14:paraId="0C887EFF">
      <w:pPr>
        <w:tabs>
          <w:tab w:val="left" w:pos="1037"/>
          <w:tab w:val="left" w:pos="8712"/>
        </w:tabs>
      </w:pPr>
      <w:r>
        <w:rPr>
          <w:rFonts w:ascii="Times New Roman" w:hAnsi="Times New Roman"/>
        </w:rPr>
        <w:t>3.4</w:t>
      </w:r>
      <w:r>
        <w:rPr>
          <w:rFonts w:ascii="Times New Roman" w:hAnsi="Times New Roman"/>
        </w:rPr>
        <w:tab/>
      </w:r>
      <w:r>
        <w:rPr>
          <w:rFonts w:ascii="Times New Roman" w:hAnsi="Times New Roman"/>
        </w:rPr>
        <w:t>Implementation</w:t>
      </w:r>
      <w:r>
        <w:rPr>
          <w:rFonts w:ascii="Times New Roman" w:hAnsi="Times New Roman"/>
        </w:rPr>
        <w:tab/>
      </w:r>
      <w:r>
        <w:rPr>
          <w:rFonts w:ascii="Times New Roman" w:hAnsi="Times New Roman"/>
        </w:rPr>
        <w:t>43</w:t>
      </w:r>
    </w:p>
    <w:p w14:paraId="72C344AC">
      <w:pPr>
        <w:tabs>
          <w:tab w:val="left" w:pos="1037"/>
          <w:tab w:val="left" w:pos="8712"/>
        </w:tabs>
      </w:pPr>
      <w:r>
        <w:rPr>
          <w:rFonts w:ascii="Times New Roman" w:hAnsi="Times New Roman"/>
        </w:rPr>
        <w:t>3.5</w:t>
      </w:r>
      <w:r>
        <w:rPr>
          <w:rFonts w:ascii="Times New Roman" w:hAnsi="Times New Roman"/>
        </w:rPr>
        <w:tab/>
      </w:r>
      <w:r>
        <w:rPr>
          <w:rFonts w:ascii="Times New Roman" w:hAnsi="Times New Roman"/>
        </w:rPr>
        <w:t>Testing</w:t>
      </w:r>
      <w:r>
        <w:rPr>
          <w:rFonts w:ascii="Times New Roman" w:hAnsi="Times New Roman"/>
        </w:rPr>
        <w:tab/>
      </w:r>
      <w:r>
        <w:rPr>
          <w:rFonts w:ascii="Times New Roman" w:hAnsi="Times New Roman"/>
        </w:rPr>
        <w:t>44</w:t>
      </w:r>
    </w:p>
    <w:p w14:paraId="2CC503A2">
      <w:pPr>
        <w:tabs>
          <w:tab w:val="left" w:pos="1037"/>
          <w:tab w:val="left" w:pos="8712"/>
        </w:tabs>
      </w:pPr>
      <w:r>
        <w:rPr>
          <w:rFonts w:ascii="Times New Roman" w:hAnsi="Times New Roman"/>
        </w:rPr>
        <w:t>3.5.1</w:t>
      </w:r>
      <w:r>
        <w:rPr>
          <w:rFonts w:ascii="Times New Roman" w:hAnsi="Times New Roman"/>
        </w:rPr>
        <w:tab/>
      </w:r>
      <w:r>
        <w:rPr>
          <w:rFonts w:ascii="Times New Roman" w:hAnsi="Times New Roman"/>
        </w:rPr>
        <w:t>Unit Testing</w:t>
      </w:r>
      <w:r>
        <w:rPr>
          <w:rFonts w:ascii="Times New Roman" w:hAnsi="Times New Roman"/>
        </w:rPr>
        <w:tab/>
      </w:r>
      <w:r>
        <w:rPr>
          <w:rFonts w:ascii="Times New Roman" w:hAnsi="Times New Roman"/>
        </w:rPr>
        <w:t>45</w:t>
      </w:r>
    </w:p>
    <w:p w14:paraId="5831451E">
      <w:pPr>
        <w:tabs>
          <w:tab w:val="left" w:pos="1037"/>
          <w:tab w:val="left" w:pos="8712"/>
        </w:tabs>
      </w:pPr>
      <w:r>
        <w:rPr>
          <w:rFonts w:ascii="Times New Roman" w:hAnsi="Times New Roman"/>
        </w:rPr>
        <w:t>3.5.2</w:t>
      </w:r>
      <w:r>
        <w:rPr>
          <w:rFonts w:ascii="Times New Roman" w:hAnsi="Times New Roman"/>
        </w:rPr>
        <w:tab/>
      </w:r>
      <w:r>
        <w:rPr>
          <w:rFonts w:ascii="Times New Roman" w:hAnsi="Times New Roman"/>
        </w:rPr>
        <w:t>Integration Testing</w:t>
      </w:r>
      <w:r>
        <w:rPr>
          <w:rFonts w:ascii="Times New Roman" w:hAnsi="Times New Roman"/>
        </w:rPr>
        <w:tab/>
      </w:r>
      <w:r>
        <w:rPr>
          <w:rFonts w:ascii="Times New Roman" w:hAnsi="Times New Roman"/>
        </w:rPr>
        <w:t>45</w:t>
      </w:r>
    </w:p>
    <w:p w14:paraId="7AD8476B">
      <w:pPr>
        <w:tabs>
          <w:tab w:val="left" w:pos="1037"/>
          <w:tab w:val="left" w:pos="8712"/>
        </w:tabs>
      </w:pPr>
      <w:r>
        <w:rPr>
          <w:rFonts w:ascii="Times New Roman" w:hAnsi="Times New Roman"/>
        </w:rPr>
        <w:t>3.5.3</w:t>
      </w:r>
      <w:r>
        <w:rPr>
          <w:rFonts w:ascii="Times New Roman" w:hAnsi="Times New Roman"/>
        </w:rPr>
        <w:tab/>
      </w:r>
      <w:r>
        <w:rPr>
          <w:rFonts w:ascii="Times New Roman" w:hAnsi="Times New Roman"/>
        </w:rPr>
        <w:t>System Testing</w:t>
      </w:r>
      <w:r>
        <w:rPr>
          <w:rFonts w:ascii="Times New Roman" w:hAnsi="Times New Roman"/>
        </w:rPr>
        <w:tab/>
      </w:r>
      <w:r>
        <w:rPr>
          <w:rFonts w:ascii="Times New Roman" w:hAnsi="Times New Roman"/>
        </w:rPr>
        <w:t>45</w:t>
      </w:r>
    </w:p>
    <w:p w14:paraId="7E59E975">
      <w:pPr>
        <w:tabs>
          <w:tab w:val="left" w:pos="1037"/>
          <w:tab w:val="left" w:pos="8712"/>
        </w:tabs>
      </w:pPr>
      <w:r>
        <w:rPr>
          <w:rFonts w:ascii="Times New Roman" w:hAnsi="Times New Roman"/>
        </w:rPr>
        <w:tab/>
      </w:r>
      <w:r>
        <w:rPr>
          <w:rFonts w:ascii="Times New Roman" w:hAnsi="Times New Roman"/>
        </w:rPr>
        <w:t>References</w:t>
      </w:r>
      <w:r>
        <w:rPr>
          <w:rFonts w:ascii="Times New Roman" w:hAnsi="Times New Roman"/>
        </w:rPr>
        <w:tab/>
      </w:r>
      <w:r>
        <w:rPr>
          <w:rFonts w:ascii="Times New Roman" w:hAnsi="Times New Roman"/>
        </w:rPr>
        <w:t>47</w:t>
      </w:r>
    </w:p>
    <w:p w14:paraId="1BC3536C">
      <w:r>
        <w:br w:type="page"/>
      </w:r>
    </w:p>
    <w:p w14:paraId="27E0D1C3">
      <w:pPr>
        <w:pStyle w:val="2"/>
        <w:keepNext/>
        <w:spacing w:before="360" w:after="240"/>
        <w:jc w:val="left"/>
      </w:pPr>
      <w:r>
        <w:rPr>
          <w:rFonts w:ascii="Times New Roman" w:hAnsi="Times New Roman"/>
          <w:b/>
          <w:color w:val="000000"/>
          <w:sz w:val="32"/>
        </w:rPr>
        <w:t>List of Figures</w:t>
      </w:r>
    </w:p>
    <w:p w14:paraId="769EC5A0">
      <w:pPr>
        <w:jc w:val="left"/>
      </w:pPr>
      <w:r>
        <w:fldChar w:fldCharType="begin"/>
      </w:r>
      <w:r>
        <w:instrText xml:space="preserve">TOC \h \z \c "Figure"</w:instrText>
      </w:r>
      <w:r>
        <w:fldChar w:fldCharType="separate"/>
      </w:r>
      <w:r>
        <w:fldChar w:fldCharType="end"/>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417"/>
        <w:gridCol w:w="6236"/>
        <w:gridCol w:w="1417"/>
      </w:tblGrid>
      <w:tr w14:paraId="32267F1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57E9BFD0">
            <w:pPr>
              <w:spacing w:after="0"/>
              <w:jc w:val="center"/>
            </w:pPr>
            <w:r>
              <w:rPr>
                <w:rFonts w:ascii="Times New Roman" w:hAnsi="Times New Roman"/>
                <w:b/>
                <w:sz w:val="22"/>
              </w:rPr>
              <w:t>Figure</w:t>
            </w:r>
          </w:p>
        </w:tc>
        <w:tc>
          <w:tcPr>
            <w:tcW w:w="6236" w:type="dxa"/>
          </w:tcPr>
          <w:p w14:paraId="5114A7D5">
            <w:pPr>
              <w:spacing w:after="0"/>
              <w:jc w:val="center"/>
            </w:pPr>
            <w:r>
              <w:rPr>
                <w:rFonts w:ascii="Times New Roman" w:hAnsi="Times New Roman"/>
                <w:b/>
                <w:sz w:val="22"/>
              </w:rPr>
              <w:t>Title</w:t>
            </w:r>
          </w:p>
        </w:tc>
        <w:tc>
          <w:tcPr>
            <w:tcW w:w="1417" w:type="dxa"/>
          </w:tcPr>
          <w:p w14:paraId="2019E0F9">
            <w:pPr>
              <w:spacing w:after="0"/>
              <w:jc w:val="center"/>
            </w:pPr>
            <w:r>
              <w:rPr>
                <w:rFonts w:ascii="Times New Roman" w:hAnsi="Times New Roman"/>
                <w:b/>
                <w:sz w:val="22"/>
              </w:rPr>
              <w:t>Page</w:t>
            </w:r>
          </w:p>
        </w:tc>
      </w:tr>
      <w:tr w14:paraId="7B8183A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630873FD">
            <w:pPr>
              <w:spacing w:after="0"/>
              <w:jc w:val="left"/>
            </w:pPr>
            <w:r>
              <w:rPr>
                <w:rFonts w:ascii="Times New Roman" w:hAnsi="Times New Roman"/>
                <w:sz w:val="22"/>
              </w:rPr>
              <w:t>Figure 1.1</w:t>
            </w:r>
          </w:p>
        </w:tc>
        <w:tc>
          <w:tcPr>
            <w:tcW w:w="6236" w:type="dxa"/>
          </w:tcPr>
          <w:p w14:paraId="1D8C59E4">
            <w:pPr>
              <w:spacing w:after="0"/>
              <w:jc w:val="left"/>
            </w:pPr>
            <w:r>
              <w:rPr>
                <w:rFonts w:ascii="Times New Roman" w:hAnsi="Times New Roman"/>
                <w:sz w:val="22"/>
              </w:rPr>
              <w:t>Structure of the report (chapter flow diagram)</w:t>
            </w:r>
          </w:p>
        </w:tc>
        <w:tc>
          <w:tcPr>
            <w:tcW w:w="1417" w:type="dxa"/>
          </w:tcPr>
          <w:p w14:paraId="4E8D1CF2">
            <w:r>
              <w:t>17</w:t>
            </w:r>
          </w:p>
        </w:tc>
      </w:tr>
      <w:tr w14:paraId="4BD29AF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26758FF4">
            <w:pPr>
              <w:spacing w:after="0"/>
              <w:jc w:val="left"/>
            </w:pPr>
            <w:r>
              <w:rPr>
                <w:rFonts w:ascii="Times New Roman" w:hAnsi="Times New Roman"/>
                <w:sz w:val="22"/>
              </w:rPr>
              <w:t>Figure 2.1</w:t>
            </w:r>
          </w:p>
        </w:tc>
        <w:tc>
          <w:tcPr>
            <w:tcW w:w="6236" w:type="dxa"/>
          </w:tcPr>
          <w:p w14:paraId="795653E2">
            <w:pPr>
              <w:spacing w:after="0"/>
              <w:jc w:val="left"/>
            </w:pPr>
            <w:r>
              <w:rPr>
                <w:rFonts w:ascii="Times New Roman" w:hAnsi="Times New Roman"/>
                <w:sz w:val="22"/>
              </w:rPr>
              <w:t>Overview of the reviewed CXR AI landscape</w:t>
            </w:r>
          </w:p>
        </w:tc>
        <w:tc>
          <w:tcPr>
            <w:tcW w:w="1417" w:type="dxa"/>
          </w:tcPr>
          <w:p w14:paraId="02116A64">
            <w:r>
              <w:t>24</w:t>
            </w:r>
          </w:p>
        </w:tc>
      </w:tr>
      <w:tr w14:paraId="5D65A61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1B7DFA9B">
            <w:pPr>
              <w:spacing w:after="0"/>
              <w:jc w:val="left"/>
            </w:pPr>
            <w:r>
              <w:rPr>
                <w:rFonts w:ascii="Times New Roman" w:hAnsi="Times New Roman"/>
                <w:sz w:val="22"/>
              </w:rPr>
              <w:t>Figure 3.1</w:t>
            </w:r>
          </w:p>
        </w:tc>
        <w:tc>
          <w:tcPr>
            <w:tcW w:w="6236" w:type="dxa"/>
          </w:tcPr>
          <w:p w14:paraId="1F91E997">
            <w:pPr>
              <w:spacing w:after="0"/>
              <w:jc w:val="left"/>
            </w:pPr>
            <w:r>
              <w:rPr>
                <w:rFonts w:ascii="Times New Roman" w:hAnsi="Times New Roman"/>
                <w:sz w:val="22"/>
              </w:rPr>
              <w:t>Use case diagram of the proposed training companion</w:t>
            </w:r>
          </w:p>
        </w:tc>
        <w:tc>
          <w:tcPr>
            <w:tcW w:w="1417" w:type="dxa"/>
          </w:tcPr>
          <w:p w14:paraId="50728263">
            <w:r>
              <w:t>33</w:t>
            </w:r>
          </w:p>
        </w:tc>
      </w:tr>
      <w:tr w14:paraId="1446250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2C6AE277">
            <w:pPr>
              <w:spacing w:after="0"/>
              <w:jc w:val="left"/>
            </w:pPr>
            <w:r>
              <w:rPr>
                <w:rFonts w:ascii="Times New Roman" w:hAnsi="Times New Roman"/>
                <w:sz w:val="22"/>
              </w:rPr>
              <w:t>Figure 3.2</w:t>
            </w:r>
          </w:p>
        </w:tc>
        <w:tc>
          <w:tcPr>
            <w:tcW w:w="6236" w:type="dxa"/>
          </w:tcPr>
          <w:p w14:paraId="272D007B">
            <w:pPr>
              <w:spacing w:after="0"/>
              <w:jc w:val="left"/>
            </w:pPr>
            <w:r>
              <w:rPr>
                <w:rFonts w:ascii="Times New Roman" w:hAnsi="Times New Roman"/>
                <w:sz w:val="22"/>
              </w:rPr>
              <w:t>Context-level Data Flow Diagram (Level 0)</w:t>
            </w:r>
          </w:p>
        </w:tc>
        <w:tc>
          <w:tcPr>
            <w:tcW w:w="1417" w:type="dxa"/>
          </w:tcPr>
          <w:p w14:paraId="794D5168">
            <w:r>
              <w:t>38</w:t>
            </w:r>
          </w:p>
        </w:tc>
      </w:tr>
      <w:tr w14:paraId="3D56706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6997F915">
            <w:pPr>
              <w:spacing w:after="0"/>
              <w:jc w:val="left"/>
            </w:pPr>
            <w:r>
              <w:rPr>
                <w:rFonts w:ascii="Times New Roman" w:hAnsi="Times New Roman"/>
                <w:sz w:val="22"/>
              </w:rPr>
              <w:t>Figure 3.3</w:t>
            </w:r>
          </w:p>
        </w:tc>
        <w:tc>
          <w:tcPr>
            <w:tcW w:w="6236" w:type="dxa"/>
          </w:tcPr>
          <w:p w14:paraId="56AC43D7">
            <w:pPr>
              <w:spacing w:after="0"/>
              <w:jc w:val="left"/>
            </w:pPr>
            <w:r>
              <w:rPr>
                <w:rFonts w:ascii="Times New Roman" w:hAnsi="Times New Roman"/>
                <w:sz w:val="22"/>
              </w:rPr>
              <w:t>Level-1 Data Flow Diagram: sub-processes of the system</w:t>
            </w:r>
          </w:p>
        </w:tc>
        <w:tc>
          <w:tcPr>
            <w:tcW w:w="1417" w:type="dxa"/>
          </w:tcPr>
          <w:p w14:paraId="4F9E4A7B">
            <w:r>
              <w:t>38</w:t>
            </w:r>
          </w:p>
        </w:tc>
      </w:tr>
      <w:tr w14:paraId="5F7A066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230FAB88">
            <w:pPr>
              <w:spacing w:after="0"/>
              <w:jc w:val="left"/>
            </w:pPr>
            <w:r>
              <w:rPr>
                <w:rFonts w:ascii="Times New Roman" w:hAnsi="Times New Roman"/>
                <w:sz w:val="22"/>
              </w:rPr>
              <w:t>Figure 3.4</w:t>
            </w:r>
          </w:p>
        </w:tc>
        <w:tc>
          <w:tcPr>
            <w:tcW w:w="6236" w:type="dxa"/>
          </w:tcPr>
          <w:p w14:paraId="5A844816">
            <w:pPr>
              <w:spacing w:after="0"/>
              <w:jc w:val="left"/>
            </w:pPr>
            <w:r>
              <w:rPr>
                <w:rFonts w:ascii="Times New Roman" w:hAnsi="Times New Roman"/>
                <w:sz w:val="22"/>
              </w:rPr>
              <w:t>High-level system architecture (Clean Architecture + hexagonal ports)</w:t>
            </w:r>
          </w:p>
        </w:tc>
        <w:tc>
          <w:tcPr>
            <w:tcW w:w="1417" w:type="dxa"/>
          </w:tcPr>
          <w:p w14:paraId="398730CB">
            <w:r>
              <w:t>39</w:t>
            </w:r>
          </w:p>
        </w:tc>
      </w:tr>
      <w:tr w14:paraId="6EB2B48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62AA1D19">
            <w:pPr>
              <w:spacing w:after="0"/>
              <w:jc w:val="left"/>
            </w:pPr>
            <w:r>
              <w:rPr>
                <w:rFonts w:ascii="Times New Roman" w:hAnsi="Times New Roman"/>
                <w:sz w:val="22"/>
              </w:rPr>
              <w:t>Figure 3.5</w:t>
            </w:r>
          </w:p>
        </w:tc>
        <w:tc>
          <w:tcPr>
            <w:tcW w:w="6236" w:type="dxa"/>
          </w:tcPr>
          <w:p w14:paraId="54AB5322">
            <w:pPr>
              <w:spacing w:after="0"/>
              <w:jc w:val="left"/>
            </w:pPr>
            <w:r>
              <w:rPr>
                <w:rFonts w:ascii="Times New Roman" w:hAnsi="Times New Roman"/>
                <w:sz w:val="22"/>
              </w:rPr>
              <w:t>Component diagram of the artefact</w:t>
            </w:r>
          </w:p>
        </w:tc>
        <w:tc>
          <w:tcPr>
            <w:tcW w:w="1417" w:type="dxa"/>
          </w:tcPr>
          <w:p w14:paraId="5692EE59">
            <w:r>
              <w:t>43</w:t>
            </w:r>
          </w:p>
        </w:tc>
      </w:tr>
      <w:tr w14:paraId="0012688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0F26751A">
            <w:pPr>
              <w:spacing w:after="0"/>
              <w:jc w:val="left"/>
            </w:pPr>
            <w:r>
              <w:rPr>
                <w:rFonts w:ascii="Times New Roman" w:hAnsi="Times New Roman"/>
                <w:sz w:val="22"/>
              </w:rPr>
              <w:t>Figure 3.6</w:t>
            </w:r>
          </w:p>
        </w:tc>
        <w:tc>
          <w:tcPr>
            <w:tcW w:w="6236" w:type="dxa"/>
          </w:tcPr>
          <w:p w14:paraId="3CD22334">
            <w:pPr>
              <w:spacing w:after="0"/>
              <w:jc w:val="left"/>
            </w:pPr>
            <w:r>
              <w:rPr>
                <w:rFonts w:ascii="Times New Roman" w:hAnsi="Times New Roman"/>
                <w:sz w:val="22"/>
              </w:rPr>
              <w:t>Deployment diagram</w:t>
            </w:r>
          </w:p>
        </w:tc>
        <w:tc>
          <w:tcPr>
            <w:tcW w:w="1417" w:type="dxa"/>
          </w:tcPr>
          <w:p w14:paraId="0956A8B5">
            <w:r>
              <w:t>44</w:t>
            </w:r>
          </w:p>
        </w:tc>
      </w:tr>
      <w:tr w14:paraId="3B7C279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7403E464">
            <w:pPr>
              <w:spacing w:after="0"/>
              <w:jc w:val="left"/>
            </w:pPr>
            <w:r>
              <w:rPr>
                <w:rFonts w:ascii="Times New Roman" w:hAnsi="Times New Roman"/>
                <w:sz w:val="22"/>
              </w:rPr>
              <w:t>Figure 3.7</w:t>
            </w:r>
          </w:p>
        </w:tc>
        <w:tc>
          <w:tcPr>
            <w:tcW w:w="6236" w:type="dxa"/>
          </w:tcPr>
          <w:p w14:paraId="0ECF83ED">
            <w:pPr>
              <w:spacing w:after="0"/>
              <w:jc w:val="left"/>
            </w:pPr>
            <w:r>
              <w:rPr>
                <w:rFonts w:ascii="Times New Roman" w:hAnsi="Times New Roman"/>
                <w:sz w:val="22"/>
              </w:rPr>
              <w:t>Student workflow screen flow</w:t>
            </w:r>
          </w:p>
        </w:tc>
        <w:tc>
          <w:tcPr>
            <w:tcW w:w="1417" w:type="dxa"/>
          </w:tcPr>
          <w:p w14:paraId="6A8621C3">
            <w:r>
              <w:t>42</w:t>
            </w:r>
          </w:p>
        </w:tc>
      </w:tr>
      <w:tr w14:paraId="15C0068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0ED4C003">
            <w:pPr>
              <w:spacing w:after="0"/>
              <w:jc w:val="left"/>
            </w:pPr>
            <w:r>
              <w:rPr>
                <w:rFonts w:ascii="Times New Roman" w:hAnsi="Times New Roman"/>
                <w:sz w:val="22"/>
              </w:rPr>
              <w:t>Figure 3.8</w:t>
            </w:r>
          </w:p>
        </w:tc>
        <w:tc>
          <w:tcPr>
            <w:tcW w:w="6236" w:type="dxa"/>
          </w:tcPr>
          <w:p w14:paraId="1D16D7D7">
            <w:pPr>
              <w:spacing w:after="0"/>
              <w:jc w:val="left"/>
            </w:pPr>
            <w:r>
              <w:rPr>
                <w:rFonts w:ascii="Times New Roman" w:hAnsi="Times New Roman"/>
                <w:sz w:val="22"/>
              </w:rPr>
              <w:t>Educator workflow screen flow</w:t>
            </w:r>
          </w:p>
        </w:tc>
        <w:tc>
          <w:tcPr>
            <w:tcW w:w="1417" w:type="dxa"/>
          </w:tcPr>
          <w:p w14:paraId="3EC34FCE">
            <w:r>
              <w:t>43</w:t>
            </w:r>
          </w:p>
        </w:tc>
      </w:tr>
      <w:tr w14:paraId="14390BE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36D970EA">
            <w:pPr>
              <w:spacing w:after="0"/>
              <w:jc w:val="left"/>
            </w:pPr>
            <w:r>
              <w:rPr>
                <w:rFonts w:ascii="Times New Roman" w:hAnsi="Times New Roman"/>
                <w:sz w:val="22"/>
              </w:rPr>
              <w:t>Figure 3.9</w:t>
            </w:r>
          </w:p>
        </w:tc>
        <w:tc>
          <w:tcPr>
            <w:tcW w:w="6236" w:type="dxa"/>
          </w:tcPr>
          <w:p w14:paraId="12F9BEBA">
            <w:pPr>
              <w:spacing w:after="0"/>
              <w:jc w:val="left"/>
            </w:pPr>
            <w:r>
              <w:rPr>
                <w:rFonts w:ascii="Times New Roman" w:hAnsi="Times New Roman"/>
                <w:sz w:val="22"/>
              </w:rPr>
              <w:t>Gantt chart of the project plan</w:t>
            </w:r>
          </w:p>
        </w:tc>
        <w:tc>
          <w:tcPr>
            <w:tcW w:w="1417" w:type="dxa"/>
          </w:tcPr>
          <w:p w14:paraId="2857A2EB">
            <w:r>
              <w:t>46</w:t>
            </w:r>
          </w:p>
        </w:tc>
      </w:tr>
    </w:tbl>
    <w:p w14:paraId="5EE53913">
      <w:r>
        <w:br w:type="page"/>
      </w:r>
    </w:p>
    <w:p w14:paraId="1E5B31B2">
      <w:pPr>
        <w:pStyle w:val="2"/>
        <w:keepNext/>
        <w:spacing w:before="360" w:after="240"/>
        <w:jc w:val="left"/>
      </w:pPr>
      <w:r>
        <w:rPr>
          <w:rFonts w:ascii="Times New Roman" w:hAnsi="Times New Roman"/>
          <w:b/>
          <w:color w:val="000000"/>
          <w:sz w:val="32"/>
        </w:rPr>
        <w:t>List of Tables</w:t>
      </w:r>
    </w:p>
    <w:p w14:paraId="4B4C0776">
      <w:pPr>
        <w:jc w:val="left"/>
      </w:pPr>
      <w:r>
        <w:fldChar w:fldCharType="begin"/>
      </w:r>
      <w:r>
        <w:instrText xml:space="preserve">TOC \h \z \c "Table"</w:instrText>
      </w:r>
      <w:r>
        <w:fldChar w:fldCharType="separate"/>
      </w:r>
      <w:r>
        <w:fldChar w:fldCharType="end"/>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417"/>
        <w:gridCol w:w="6236"/>
        <w:gridCol w:w="1417"/>
      </w:tblGrid>
      <w:tr w14:paraId="2F0D670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181054F3">
            <w:pPr>
              <w:spacing w:after="0"/>
              <w:jc w:val="center"/>
            </w:pPr>
            <w:r>
              <w:rPr>
                <w:rFonts w:ascii="Times New Roman" w:hAnsi="Times New Roman"/>
                <w:b/>
                <w:sz w:val="22"/>
              </w:rPr>
              <w:t>Table</w:t>
            </w:r>
          </w:p>
        </w:tc>
        <w:tc>
          <w:tcPr>
            <w:tcW w:w="6236" w:type="dxa"/>
          </w:tcPr>
          <w:p w14:paraId="12CAE679">
            <w:pPr>
              <w:spacing w:after="0"/>
              <w:jc w:val="center"/>
            </w:pPr>
            <w:r>
              <w:rPr>
                <w:rFonts w:ascii="Times New Roman" w:hAnsi="Times New Roman"/>
                <w:b/>
                <w:sz w:val="22"/>
              </w:rPr>
              <w:t>Title</w:t>
            </w:r>
          </w:p>
        </w:tc>
        <w:tc>
          <w:tcPr>
            <w:tcW w:w="1417" w:type="dxa"/>
          </w:tcPr>
          <w:p w14:paraId="2FBFF48C">
            <w:pPr>
              <w:spacing w:after="0"/>
              <w:jc w:val="center"/>
            </w:pPr>
            <w:r>
              <w:rPr>
                <w:rFonts w:ascii="Times New Roman" w:hAnsi="Times New Roman"/>
                <w:b/>
                <w:sz w:val="22"/>
              </w:rPr>
              <w:t>Page</w:t>
            </w:r>
          </w:p>
        </w:tc>
      </w:tr>
      <w:tr w14:paraId="07E4E32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2A0CFF2D">
            <w:pPr>
              <w:spacing w:after="0"/>
              <w:jc w:val="left"/>
            </w:pPr>
            <w:r>
              <w:rPr>
                <w:rFonts w:ascii="Times New Roman" w:hAnsi="Times New Roman"/>
                <w:sz w:val="22"/>
              </w:rPr>
              <w:t>Table 1.1</w:t>
            </w:r>
          </w:p>
        </w:tc>
        <w:tc>
          <w:tcPr>
            <w:tcW w:w="6236" w:type="dxa"/>
          </w:tcPr>
          <w:p w14:paraId="3A340743">
            <w:pPr>
              <w:spacing w:after="0"/>
              <w:jc w:val="left"/>
            </w:pPr>
            <w:r>
              <w:rPr>
                <w:rFonts w:ascii="Times New Roman" w:hAnsi="Times New Roman"/>
                <w:sz w:val="22"/>
              </w:rPr>
              <w:t>Mapping of academic questions to project objectives</w:t>
            </w:r>
          </w:p>
        </w:tc>
        <w:tc>
          <w:tcPr>
            <w:tcW w:w="1417" w:type="dxa"/>
          </w:tcPr>
          <w:p w14:paraId="649CB312">
            <w:r>
              <w:t>16</w:t>
            </w:r>
          </w:p>
        </w:tc>
      </w:tr>
      <w:tr w14:paraId="063F555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48729684">
            <w:pPr>
              <w:spacing w:after="0"/>
              <w:jc w:val="left"/>
            </w:pPr>
            <w:r>
              <w:rPr>
                <w:rFonts w:ascii="Times New Roman" w:hAnsi="Times New Roman"/>
                <w:sz w:val="22"/>
              </w:rPr>
              <w:t>Table 2.1</w:t>
            </w:r>
          </w:p>
        </w:tc>
        <w:tc>
          <w:tcPr>
            <w:tcW w:w="6236" w:type="dxa"/>
          </w:tcPr>
          <w:p w14:paraId="67A0DDF3">
            <w:pPr>
              <w:spacing w:after="0"/>
              <w:jc w:val="left"/>
            </w:pPr>
            <w:r>
              <w:rPr>
                <w:rFonts w:ascii="Times New Roman" w:hAnsi="Times New Roman"/>
                <w:sz w:val="22"/>
              </w:rPr>
              <w:t>Summary of reviewed systems and their limitations for educational use</w:t>
            </w:r>
          </w:p>
        </w:tc>
        <w:tc>
          <w:tcPr>
            <w:tcW w:w="1417" w:type="dxa"/>
          </w:tcPr>
          <w:p w14:paraId="68C16832">
            <w:r>
              <w:t>25</w:t>
            </w:r>
          </w:p>
        </w:tc>
      </w:tr>
      <w:tr w14:paraId="7AD176F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165BB7E9">
            <w:pPr>
              <w:spacing w:after="0"/>
              <w:jc w:val="left"/>
            </w:pPr>
            <w:r>
              <w:rPr>
                <w:rFonts w:ascii="Times New Roman" w:hAnsi="Times New Roman"/>
                <w:sz w:val="22"/>
              </w:rPr>
              <w:t>Table 3.1</w:t>
            </w:r>
          </w:p>
        </w:tc>
        <w:tc>
          <w:tcPr>
            <w:tcW w:w="6236" w:type="dxa"/>
          </w:tcPr>
          <w:p w14:paraId="6B2FB937">
            <w:pPr>
              <w:spacing w:after="0"/>
              <w:jc w:val="left"/>
            </w:pPr>
            <w:r>
              <w:rPr>
                <w:rFonts w:ascii="Times New Roman" w:hAnsi="Times New Roman"/>
                <w:sz w:val="22"/>
              </w:rPr>
              <w:t>Stakeholders and their interest in the artefact</w:t>
            </w:r>
          </w:p>
        </w:tc>
        <w:tc>
          <w:tcPr>
            <w:tcW w:w="1417" w:type="dxa"/>
          </w:tcPr>
          <w:p w14:paraId="547C011E">
            <w:r>
              <w:t>27</w:t>
            </w:r>
          </w:p>
        </w:tc>
      </w:tr>
      <w:tr w14:paraId="71A791F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7F447B26">
            <w:pPr>
              <w:spacing w:after="0"/>
              <w:jc w:val="left"/>
            </w:pPr>
            <w:r>
              <w:rPr>
                <w:rFonts w:ascii="Times New Roman" w:hAnsi="Times New Roman"/>
                <w:sz w:val="22"/>
              </w:rPr>
              <w:t>Table 3.2</w:t>
            </w:r>
          </w:p>
        </w:tc>
        <w:tc>
          <w:tcPr>
            <w:tcW w:w="6236" w:type="dxa"/>
          </w:tcPr>
          <w:p w14:paraId="0ABECABC">
            <w:pPr>
              <w:spacing w:after="0"/>
              <w:jc w:val="left"/>
            </w:pPr>
            <w:r>
              <w:rPr>
                <w:rFonts w:ascii="Times New Roman" w:hAnsi="Times New Roman"/>
                <w:sz w:val="22"/>
              </w:rPr>
              <w:t>Technical feasibility assessment</w:t>
            </w:r>
          </w:p>
        </w:tc>
        <w:tc>
          <w:tcPr>
            <w:tcW w:w="1417" w:type="dxa"/>
          </w:tcPr>
          <w:p w14:paraId="760C6F7C">
            <w:r>
              <w:t>28</w:t>
            </w:r>
          </w:p>
        </w:tc>
      </w:tr>
      <w:tr w14:paraId="125B29D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3977A5FA">
            <w:pPr>
              <w:spacing w:after="0"/>
              <w:jc w:val="left"/>
            </w:pPr>
            <w:r>
              <w:rPr>
                <w:rFonts w:ascii="Times New Roman" w:hAnsi="Times New Roman"/>
                <w:sz w:val="22"/>
              </w:rPr>
              <w:t>Table 3.3</w:t>
            </w:r>
          </w:p>
        </w:tc>
        <w:tc>
          <w:tcPr>
            <w:tcW w:w="6236" w:type="dxa"/>
          </w:tcPr>
          <w:p w14:paraId="1DC5C5E4">
            <w:pPr>
              <w:spacing w:after="0"/>
              <w:jc w:val="left"/>
            </w:pPr>
            <w:r>
              <w:rPr>
                <w:rFonts w:ascii="Times New Roman" w:hAnsi="Times New Roman"/>
                <w:sz w:val="22"/>
              </w:rPr>
              <w:t>Financial feasibility assessment</w:t>
            </w:r>
          </w:p>
        </w:tc>
        <w:tc>
          <w:tcPr>
            <w:tcW w:w="1417" w:type="dxa"/>
          </w:tcPr>
          <w:p w14:paraId="55D69AF3">
            <w:r>
              <w:t>28</w:t>
            </w:r>
          </w:p>
        </w:tc>
      </w:tr>
      <w:tr w14:paraId="6223AFA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6C2321F9">
            <w:pPr>
              <w:spacing w:after="0"/>
              <w:jc w:val="left"/>
            </w:pPr>
            <w:r>
              <w:rPr>
                <w:rFonts w:ascii="Times New Roman" w:hAnsi="Times New Roman"/>
                <w:sz w:val="22"/>
              </w:rPr>
              <w:t>Table 3.4</w:t>
            </w:r>
          </w:p>
        </w:tc>
        <w:tc>
          <w:tcPr>
            <w:tcW w:w="6236" w:type="dxa"/>
          </w:tcPr>
          <w:p w14:paraId="3990F15D">
            <w:pPr>
              <w:spacing w:after="0"/>
              <w:jc w:val="left"/>
            </w:pPr>
            <w:r>
              <w:rPr>
                <w:rFonts w:ascii="Times New Roman" w:hAnsi="Times New Roman"/>
                <w:sz w:val="22"/>
              </w:rPr>
              <w:t>Operational feasibility assessment</w:t>
            </w:r>
          </w:p>
        </w:tc>
        <w:tc>
          <w:tcPr>
            <w:tcW w:w="1417" w:type="dxa"/>
          </w:tcPr>
          <w:p w14:paraId="15E1F3EC">
            <w:r>
              <w:t>29</w:t>
            </w:r>
          </w:p>
        </w:tc>
      </w:tr>
      <w:tr w14:paraId="2B42AB7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6CFAF317">
            <w:pPr>
              <w:spacing w:after="0"/>
              <w:jc w:val="left"/>
            </w:pPr>
            <w:r>
              <w:rPr>
                <w:rFonts w:ascii="Times New Roman" w:hAnsi="Times New Roman"/>
                <w:sz w:val="22"/>
              </w:rPr>
              <w:t>Table 3.5</w:t>
            </w:r>
          </w:p>
        </w:tc>
        <w:tc>
          <w:tcPr>
            <w:tcW w:w="6236" w:type="dxa"/>
          </w:tcPr>
          <w:p w14:paraId="1FDA16B2">
            <w:pPr>
              <w:spacing w:after="0"/>
              <w:jc w:val="left"/>
            </w:pPr>
            <w:r>
              <w:rPr>
                <w:rFonts w:ascii="Times New Roman" w:hAnsi="Times New Roman"/>
                <w:sz w:val="22"/>
              </w:rPr>
              <w:t>Legal feasibility assessment</w:t>
            </w:r>
          </w:p>
        </w:tc>
        <w:tc>
          <w:tcPr>
            <w:tcW w:w="1417" w:type="dxa"/>
          </w:tcPr>
          <w:p w14:paraId="48FFF9B7">
            <w:r>
              <w:t>30</w:t>
            </w:r>
          </w:p>
        </w:tc>
      </w:tr>
      <w:tr w14:paraId="20CE1EF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03DFA9D1">
            <w:pPr>
              <w:spacing w:after="0"/>
              <w:jc w:val="left"/>
            </w:pPr>
            <w:r>
              <w:rPr>
                <w:rFonts w:ascii="Times New Roman" w:hAnsi="Times New Roman"/>
                <w:sz w:val="22"/>
              </w:rPr>
              <w:t>Table 3.6</w:t>
            </w:r>
          </w:p>
        </w:tc>
        <w:tc>
          <w:tcPr>
            <w:tcW w:w="6236" w:type="dxa"/>
          </w:tcPr>
          <w:p w14:paraId="464FBA0A">
            <w:pPr>
              <w:spacing w:after="0"/>
              <w:jc w:val="left"/>
            </w:pPr>
            <w:r>
              <w:rPr>
                <w:rFonts w:ascii="Times New Roman" w:hAnsi="Times New Roman"/>
                <w:sz w:val="22"/>
              </w:rPr>
              <w:t>Schedule feasibility assessment</w:t>
            </w:r>
          </w:p>
        </w:tc>
        <w:tc>
          <w:tcPr>
            <w:tcW w:w="1417" w:type="dxa"/>
          </w:tcPr>
          <w:p w14:paraId="78626284">
            <w:r>
              <w:t>30</w:t>
            </w:r>
          </w:p>
        </w:tc>
      </w:tr>
      <w:tr w14:paraId="3E9839B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0DF8BB46">
            <w:pPr>
              <w:spacing w:after="0"/>
              <w:jc w:val="left"/>
            </w:pPr>
            <w:r>
              <w:rPr>
                <w:rFonts w:ascii="Times New Roman" w:hAnsi="Times New Roman"/>
                <w:sz w:val="22"/>
              </w:rPr>
              <w:t>Table 3.7</w:t>
            </w:r>
          </w:p>
        </w:tc>
        <w:tc>
          <w:tcPr>
            <w:tcW w:w="6236" w:type="dxa"/>
          </w:tcPr>
          <w:p w14:paraId="0363A540">
            <w:pPr>
              <w:spacing w:after="0"/>
              <w:jc w:val="left"/>
            </w:pPr>
            <w:r>
              <w:rPr>
                <w:rFonts w:ascii="Times New Roman" w:hAnsi="Times New Roman"/>
                <w:sz w:val="22"/>
              </w:rPr>
              <w:t>Work breakdown structure of the project</w:t>
            </w:r>
          </w:p>
        </w:tc>
        <w:tc>
          <w:tcPr>
            <w:tcW w:w="1417" w:type="dxa"/>
          </w:tcPr>
          <w:p w14:paraId="74677599">
            <w:r>
              <w:t>32</w:t>
            </w:r>
          </w:p>
        </w:tc>
      </w:tr>
      <w:tr w14:paraId="1D6DDAB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09D5F9C3">
            <w:pPr>
              <w:spacing w:after="0"/>
              <w:jc w:val="left"/>
            </w:pPr>
            <w:r>
              <w:rPr>
                <w:rFonts w:ascii="Times New Roman" w:hAnsi="Times New Roman"/>
                <w:sz w:val="22"/>
              </w:rPr>
              <w:t>Table 3.8</w:t>
            </w:r>
          </w:p>
        </w:tc>
        <w:tc>
          <w:tcPr>
            <w:tcW w:w="6236" w:type="dxa"/>
          </w:tcPr>
          <w:p w14:paraId="76735995">
            <w:pPr>
              <w:spacing w:after="0"/>
              <w:jc w:val="left"/>
            </w:pPr>
            <w:r>
              <w:rPr>
                <w:rFonts w:ascii="Times New Roman" w:hAnsi="Times New Roman"/>
                <w:sz w:val="22"/>
              </w:rPr>
              <w:t>Functional and non-functional requirements</w:t>
            </w:r>
          </w:p>
        </w:tc>
        <w:tc>
          <w:tcPr>
            <w:tcW w:w="1417" w:type="dxa"/>
          </w:tcPr>
          <w:p w14:paraId="74DCBA0F">
            <w:r>
              <w:t>34</w:t>
            </w:r>
          </w:p>
        </w:tc>
      </w:tr>
      <w:tr w14:paraId="2C3E308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2EA16C37">
            <w:pPr>
              <w:spacing w:after="0"/>
              <w:jc w:val="left"/>
            </w:pPr>
            <w:r>
              <w:rPr>
                <w:rFonts w:ascii="Times New Roman" w:hAnsi="Times New Roman"/>
                <w:sz w:val="22"/>
              </w:rPr>
              <w:t>Table 3.9</w:t>
            </w:r>
          </w:p>
        </w:tc>
        <w:tc>
          <w:tcPr>
            <w:tcW w:w="6236" w:type="dxa"/>
          </w:tcPr>
          <w:p w14:paraId="146276C9">
            <w:pPr>
              <w:spacing w:after="0"/>
              <w:jc w:val="left"/>
            </w:pPr>
            <w:r>
              <w:rPr>
                <w:rFonts w:ascii="Times New Roman" w:hAnsi="Times New Roman"/>
                <w:sz w:val="22"/>
              </w:rPr>
              <w:t>Mapping of requirements to design decisions</w:t>
            </w:r>
          </w:p>
        </w:tc>
        <w:tc>
          <w:tcPr>
            <w:tcW w:w="1417" w:type="dxa"/>
          </w:tcPr>
          <w:p w14:paraId="6907CA77">
            <w:r>
              <w:t>36</w:t>
            </w:r>
          </w:p>
        </w:tc>
      </w:tr>
      <w:tr w14:paraId="1F38C80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5C24B7F7">
            <w:pPr>
              <w:spacing w:after="0"/>
              <w:jc w:val="left"/>
            </w:pPr>
            <w:r>
              <w:rPr>
                <w:rFonts w:ascii="Times New Roman" w:hAnsi="Times New Roman"/>
                <w:sz w:val="22"/>
              </w:rPr>
              <w:t>Table 3.10</w:t>
            </w:r>
          </w:p>
        </w:tc>
        <w:tc>
          <w:tcPr>
            <w:tcW w:w="6236" w:type="dxa"/>
          </w:tcPr>
          <w:p w14:paraId="3D993A9B">
            <w:pPr>
              <w:spacing w:after="0"/>
              <w:jc w:val="left"/>
            </w:pPr>
            <w:r>
              <w:rPr>
                <w:rFonts w:ascii="Times New Roman" w:hAnsi="Times New Roman"/>
                <w:sz w:val="22"/>
              </w:rPr>
              <w:t>Backend folder structure (Clean Architecture)</w:t>
            </w:r>
          </w:p>
        </w:tc>
        <w:tc>
          <w:tcPr>
            <w:tcW w:w="1417" w:type="dxa"/>
          </w:tcPr>
          <w:p w14:paraId="5C839074">
            <w:r>
              <w:t>40</w:t>
            </w:r>
          </w:p>
        </w:tc>
      </w:tr>
      <w:tr w14:paraId="40D7F89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1586A600">
            <w:pPr>
              <w:spacing w:after="0"/>
              <w:jc w:val="left"/>
            </w:pPr>
            <w:r>
              <w:rPr>
                <w:rFonts w:ascii="Times New Roman" w:hAnsi="Times New Roman"/>
                <w:sz w:val="22"/>
              </w:rPr>
              <w:t>Table 3.11</w:t>
            </w:r>
          </w:p>
        </w:tc>
        <w:tc>
          <w:tcPr>
            <w:tcW w:w="6236" w:type="dxa"/>
          </w:tcPr>
          <w:p w14:paraId="41917290">
            <w:pPr>
              <w:spacing w:after="0"/>
              <w:jc w:val="left"/>
            </w:pPr>
            <w:r>
              <w:rPr>
                <w:rFonts w:ascii="Times New Roman" w:hAnsi="Times New Roman"/>
                <w:sz w:val="22"/>
              </w:rPr>
              <w:t>Endpoints exposed by the FastAPI backend</w:t>
            </w:r>
          </w:p>
        </w:tc>
        <w:tc>
          <w:tcPr>
            <w:tcW w:w="1417" w:type="dxa"/>
          </w:tcPr>
          <w:p w14:paraId="70A9E2C0">
            <w:r>
              <w:t>41</w:t>
            </w:r>
          </w:p>
        </w:tc>
      </w:tr>
      <w:tr w14:paraId="19E7B8A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09FACB53">
            <w:pPr>
              <w:spacing w:after="0"/>
              <w:jc w:val="left"/>
            </w:pPr>
            <w:r>
              <w:rPr>
                <w:rFonts w:ascii="Times New Roman" w:hAnsi="Times New Roman"/>
                <w:sz w:val="22"/>
              </w:rPr>
              <w:t>Table 3.12</w:t>
            </w:r>
          </w:p>
        </w:tc>
        <w:tc>
          <w:tcPr>
            <w:tcW w:w="6236" w:type="dxa"/>
          </w:tcPr>
          <w:p w14:paraId="1E7CFDA4">
            <w:pPr>
              <w:spacing w:after="0"/>
              <w:jc w:val="left"/>
            </w:pPr>
            <w:r>
              <w:rPr>
                <w:rFonts w:ascii="Times New Roman" w:hAnsi="Times New Roman"/>
                <w:sz w:val="22"/>
              </w:rPr>
              <w:t>Frontend route structure</w:t>
            </w:r>
          </w:p>
        </w:tc>
        <w:tc>
          <w:tcPr>
            <w:tcW w:w="1417" w:type="dxa"/>
          </w:tcPr>
          <w:p w14:paraId="0BA447DD">
            <w:r>
              <w:t>42</w:t>
            </w:r>
          </w:p>
        </w:tc>
      </w:tr>
      <w:tr w14:paraId="7607F28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20CFCF90">
            <w:pPr>
              <w:spacing w:after="0"/>
              <w:jc w:val="left"/>
            </w:pPr>
            <w:r>
              <w:rPr>
                <w:rFonts w:ascii="Times New Roman" w:hAnsi="Times New Roman"/>
                <w:sz w:val="22"/>
              </w:rPr>
              <w:t>Table 3.13</w:t>
            </w:r>
          </w:p>
        </w:tc>
        <w:tc>
          <w:tcPr>
            <w:tcW w:w="6236" w:type="dxa"/>
          </w:tcPr>
          <w:p w14:paraId="0265F75F">
            <w:pPr>
              <w:spacing w:after="0"/>
              <w:jc w:val="left"/>
            </w:pPr>
            <w:r>
              <w:rPr>
                <w:rFonts w:ascii="Times New Roman" w:hAnsi="Times New Roman"/>
                <w:sz w:val="22"/>
              </w:rPr>
              <w:t>Mapping of test layers to test scope and tools</w:t>
            </w:r>
          </w:p>
        </w:tc>
        <w:tc>
          <w:tcPr>
            <w:tcW w:w="1417" w:type="dxa"/>
          </w:tcPr>
          <w:p w14:paraId="070241DE">
            <w:r>
              <w:t>45</w:t>
            </w:r>
          </w:p>
        </w:tc>
      </w:tr>
      <w:tr w14:paraId="44C3253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3C299556">
            <w:pPr>
              <w:spacing w:after="0"/>
              <w:jc w:val="left"/>
            </w:pPr>
            <w:r>
              <w:rPr>
                <w:rFonts w:ascii="Times New Roman" w:hAnsi="Times New Roman"/>
                <w:sz w:val="22"/>
              </w:rPr>
              <w:t>Table 3.14</w:t>
            </w:r>
          </w:p>
        </w:tc>
        <w:tc>
          <w:tcPr>
            <w:tcW w:w="6236" w:type="dxa"/>
          </w:tcPr>
          <w:p w14:paraId="5988C69A">
            <w:pPr>
              <w:spacing w:after="0"/>
              <w:jc w:val="left"/>
            </w:pPr>
            <w:r>
              <w:rPr>
                <w:rFonts w:ascii="Times New Roman" w:hAnsi="Times New Roman"/>
                <w:sz w:val="22"/>
              </w:rPr>
              <w:t>Summary of automated test counts</w:t>
            </w:r>
          </w:p>
        </w:tc>
        <w:tc>
          <w:tcPr>
            <w:tcW w:w="1417" w:type="dxa"/>
          </w:tcPr>
          <w:p w14:paraId="2EBC0673">
            <w:r>
              <w:t>46</w:t>
            </w:r>
          </w:p>
        </w:tc>
      </w:tr>
    </w:tbl>
    <w:p w14:paraId="3B43E613">
      <w:r>
        <w:br w:type="page"/>
      </w:r>
    </w:p>
    <w:p w14:paraId="7B6A9084">
      <w:pPr>
        <w:pStyle w:val="2"/>
        <w:keepNext/>
        <w:spacing w:before="360" w:after="240"/>
        <w:jc w:val="left"/>
      </w:pPr>
      <w:r>
        <w:rPr>
          <w:rFonts w:ascii="Times New Roman" w:hAnsi="Times New Roman"/>
          <w:b/>
          <w:color w:val="000000"/>
          <w:sz w:val="32"/>
        </w:rPr>
        <w:t>List of Acronyms</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984"/>
        <w:gridCol w:w="7087"/>
      </w:tblGrid>
      <w:tr w14:paraId="23EF092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84" w:type="dxa"/>
          </w:tcPr>
          <w:p w14:paraId="68E22D7A">
            <w:pPr>
              <w:spacing w:after="0"/>
              <w:jc w:val="center"/>
            </w:pPr>
            <w:r>
              <w:rPr>
                <w:rFonts w:ascii="Times New Roman" w:hAnsi="Times New Roman"/>
                <w:b/>
                <w:sz w:val="22"/>
              </w:rPr>
              <w:t>Acronym</w:t>
            </w:r>
          </w:p>
        </w:tc>
        <w:tc>
          <w:tcPr>
            <w:tcW w:w="7087" w:type="dxa"/>
          </w:tcPr>
          <w:p w14:paraId="6FCC855A">
            <w:pPr>
              <w:spacing w:after="0"/>
              <w:jc w:val="center"/>
            </w:pPr>
            <w:r>
              <w:rPr>
                <w:rFonts w:ascii="Times New Roman" w:hAnsi="Times New Roman"/>
                <w:b/>
                <w:sz w:val="22"/>
              </w:rPr>
              <w:t>Meaning</w:t>
            </w:r>
          </w:p>
        </w:tc>
      </w:tr>
      <w:tr w14:paraId="123E912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84" w:type="dxa"/>
          </w:tcPr>
          <w:p w14:paraId="0D2CD260">
            <w:pPr>
              <w:spacing w:after="0"/>
              <w:jc w:val="left"/>
            </w:pPr>
            <w:r>
              <w:rPr>
                <w:rFonts w:ascii="Times New Roman" w:hAnsi="Times New Roman"/>
                <w:sz w:val="22"/>
              </w:rPr>
              <w:t>AI</w:t>
            </w:r>
          </w:p>
        </w:tc>
        <w:tc>
          <w:tcPr>
            <w:tcW w:w="7087" w:type="dxa"/>
          </w:tcPr>
          <w:p w14:paraId="5843D9C9">
            <w:pPr>
              <w:spacing w:after="0"/>
              <w:jc w:val="left"/>
            </w:pPr>
            <w:r>
              <w:rPr>
                <w:rFonts w:ascii="Times New Roman" w:hAnsi="Times New Roman"/>
                <w:sz w:val="22"/>
              </w:rPr>
              <w:t>Artificial Intelligence</w:t>
            </w:r>
          </w:p>
        </w:tc>
      </w:tr>
      <w:tr w14:paraId="3BCDA28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84" w:type="dxa"/>
          </w:tcPr>
          <w:p w14:paraId="7624303B">
            <w:pPr>
              <w:spacing w:after="0"/>
              <w:jc w:val="left"/>
            </w:pPr>
            <w:r>
              <w:rPr>
                <w:rFonts w:ascii="Times New Roman" w:hAnsi="Times New Roman"/>
                <w:sz w:val="22"/>
              </w:rPr>
              <w:t>API</w:t>
            </w:r>
          </w:p>
        </w:tc>
        <w:tc>
          <w:tcPr>
            <w:tcW w:w="7087" w:type="dxa"/>
          </w:tcPr>
          <w:p w14:paraId="594DCA21">
            <w:pPr>
              <w:spacing w:after="0"/>
              <w:jc w:val="left"/>
            </w:pPr>
            <w:r>
              <w:rPr>
                <w:rFonts w:ascii="Times New Roman" w:hAnsi="Times New Roman"/>
                <w:sz w:val="22"/>
              </w:rPr>
              <w:t>Application Programming Interface</w:t>
            </w:r>
          </w:p>
        </w:tc>
      </w:tr>
      <w:tr w14:paraId="4AF04F3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84" w:type="dxa"/>
          </w:tcPr>
          <w:p w14:paraId="6BF5B517">
            <w:pPr>
              <w:spacing w:after="0"/>
              <w:jc w:val="left"/>
            </w:pPr>
            <w:r>
              <w:rPr>
                <w:rFonts w:ascii="Times New Roman" w:hAnsi="Times New Roman"/>
                <w:sz w:val="22"/>
              </w:rPr>
              <w:t>CORS</w:t>
            </w:r>
          </w:p>
        </w:tc>
        <w:tc>
          <w:tcPr>
            <w:tcW w:w="7087" w:type="dxa"/>
          </w:tcPr>
          <w:p w14:paraId="69D5CFB9">
            <w:pPr>
              <w:spacing w:after="0"/>
              <w:jc w:val="left"/>
            </w:pPr>
            <w:r>
              <w:rPr>
                <w:rFonts w:ascii="Times New Roman" w:hAnsi="Times New Roman"/>
                <w:sz w:val="22"/>
              </w:rPr>
              <w:t>Cross-Origin Resource Sharing</w:t>
            </w:r>
          </w:p>
        </w:tc>
      </w:tr>
      <w:tr w14:paraId="312BD10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84" w:type="dxa"/>
          </w:tcPr>
          <w:p w14:paraId="1789246B">
            <w:pPr>
              <w:spacing w:after="0"/>
              <w:jc w:val="left"/>
            </w:pPr>
            <w:r>
              <w:rPr>
                <w:rFonts w:ascii="Times New Roman" w:hAnsi="Times New Roman"/>
                <w:sz w:val="22"/>
              </w:rPr>
              <w:t>CXR</w:t>
            </w:r>
          </w:p>
        </w:tc>
        <w:tc>
          <w:tcPr>
            <w:tcW w:w="7087" w:type="dxa"/>
          </w:tcPr>
          <w:p w14:paraId="2A10CCE7">
            <w:pPr>
              <w:spacing w:after="0"/>
              <w:jc w:val="left"/>
            </w:pPr>
            <w:r>
              <w:rPr>
                <w:rFonts w:ascii="Times New Roman" w:hAnsi="Times New Roman"/>
                <w:sz w:val="22"/>
              </w:rPr>
              <w:t>Chest X-ray</w:t>
            </w:r>
          </w:p>
        </w:tc>
      </w:tr>
      <w:tr w14:paraId="478DB63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84" w:type="dxa"/>
          </w:tcPr>
          <w:p w14:paraId="517DE4F2">
            <w:pPr>
              <w:spacing w:after="0"/>
              <w:jc w:val="left"/>
            </w:pPr>
            <w:r>
              <w:rPr>
                <w:rFonts w:ascii="Times New Roman" w:hAnsi="Times New Roman"/>
                <w:sz w:val="22"/>
              </w:rPr>
              <w:t>DFD</w:t>
            </w:r>
          </w:p>
        </w:tc>
        <w:tc>
          <w:tcPr>
            <w:tcW w:w="7087" w:type="dxa"/>
          </w:tcPr>
          <w:p w14:paraId="0040283E">
            <w:pPr>
              <w:spacing w:after="0"/>
              <w:jc w:val="left"/>
            </w:pPr>
            <w:r>
              <w:rPr>
                <w:rFonts w:ascii="Times New Roman" w:hAnsi="Times New Roman"/>
                <w:sz w:val="22"/>
              </w:rPr>
              <w:t>Data Flow Diagram</w:t>
            </w:r>
          </w:p>
        </w:tc>
      </w:tr>
      <w:tr w14:paraId="2D65BC9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84" w:type="dxa"/>
          </w:tcPr>
          <w:p w14:paraId="1434E934">
            <w:pPr>
              <w:spacing w:after="0"/>
              <w:jc w:val="left"/>
            </w:pPr>
            <w:r>
              <w:rPr>
                <w:rFonts w:ascii="Times New Roman" w:hAnsi="Times New Roman"/>
                <w:sz w:val="22"/>
              </w:rPr>
              <w:t>ERD</w:t>
            </w:r>
          </w:p>
        </w:tc>
        <w:tc>
          <w:tcPr>
            <w:tcW w:w="7087" w:type="dxa"/>
          </w:tcPr>
          <w:p w14:paraId="784D55AD">
            <w:pPr>
              <w:spacing w:after="0"/>
              <w:jc w:val="left"/>
            </w:pPr>
            <w:r>
              <w:rPr>
                <w:rFonts w:ascii="Times New Roman" w:hAnsi="Times New Roman"/>
                <w:sz w:val="22"/>
              </w:rPr>
              <w:t>Entity-Relationship Diagram</w:t>
            </w:r>
          </w:p>
        </w:tc>
      </w:tr>
      <w:tr w14:paraId="6C7B1FC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84" w:type="dxa"/>
          </w:tcPr>
          <w:p w14:paraId="10F26258">
            <w:pPr>
              <w:spacing w:after="0"/>
              <w:jc w:val="left"/>
            </w:pPr>
            <w:r>
              <w:rPr>
                <w:rFonts w:ascii="Times New Roman" w:hAnsi="Times New Roman"/>
                <w:sz w:val="22"/>
              </w:rPr>
              <w:t>FE</w:t>
            </w:r>
          </w:p>
        </w:tc>
        <w:tc>
          <w:tcPr>
            <w:tcW w:w="7087" w:type="dxa"/>
          </w:tcPr>
          <w:p w14:paraId="18AD3901">
            <w:pPr>
              <w:spacing w:after="0"/>
              <w:jc w:val="left"/>
            </w:pPr>
            <w:r>
              <w:rPr>
                <w:rFonts w:ascii="Times New Roman" w:hAnsi="Times New Roman"/>
                <w:sz w:val="22"/>
              </w:rPr>
              <w:t>Front End</w:t>
            </w:r>
          </w:p>
        </w:tc>
      </w:tr>
      <w:tr w14:paraId="0E90C97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84" w:type="dxa"/>
          </w:tcPr>
          <w:p w14:paraId="27144526">
            <w:pPr>
              <w:spacing w:after="0"/>
              <w:jc w:val="left"/>
            </w:pPr>
            <w:r>
              <w:rPr>
                <w:rFonts w:ascii="Times New Roman" w:hAnsi="Times New Roman"/>
                <w:sz w:val="22"/>
              </w:rPr>
              <w:t>GDPR</w:t>
            </w:r>
          </w:p>
        </w:tc>
        <w:tc>
          <w:tcPr>
            <w:tcW w:w="7087" w:type="dxa"/>
          </w:tcPr>
          <w:p w14:paraId="373B7832">
            <w:pPr>
              <w:spacing w:after="0"/>
              <w:jc w:val="left"/>
            </w:pPr>
            <w:r>
              <w:rPr>
                <w:rFonts w:ascii="Times New Roman" w:hAnsi="Times New Roman"/>
                <w:sz w:val="22"/>
              </w:rPr>
              <w:t>General Data Protection Regulation</w:t>
            </w:r>
          </w:p>
        </w:tc>
      </w:tr>
      <w:tr w14:paraId="5774D2D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84" w:type="dxa"/>
          </w:tcPr>
          <w:p w14:paraId="24991408">
            <w:pPr>
              <w:spacing w:after="0"/>
              <w:jc w:val="left"/>
            </w:pPr>
            <w:r>
              <w:rPr>
                <w:rFonts w:ascii="Times New Roman" w:hAnsi="Times New Roman"/>
                <w:sz w:val="22"/>
              </w:rPr>
              <w:t>GPU</w:t>
            </w:r>
          </w:p>
        </w:tc>
        <w:tc>
          <w:tcPr>
            <w:tcW w:w="7087" w:type="dxa"/>
          </w:tcPr>
          <w:p w14:paraId="25E93BD8">
            <w:pPr>
              <w:spacing w:after="0"/>
              <w:jc w:val="left"/>
            </w:pPr>
            <w:r>
              <w:rPr>
                <w:rFonts w:ascii="Times New Roman" w:hAnsi="Times New Roman"/>
                <w:sz w:val="22"/>
              </w:rPr>
              <w:t>Graphics Processing Unit</w:t>
            </w:r>
          </w:p>
        </w:tc>
      </w:tr>
      <w:tr w14:paraId="5C800D8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84" w:type="dxa"/>
          </w:tcPr>
          <w:p w14:paraId="5698E094">
            <w:pPr>
              <w:spacing w:after="0"/>
              <w:jc w:val="left"/>
            </w:pPr>
            <w:r>
              <w:rPr>
                <w:rFonts w:ascii="Times New Roman" w:hAnsi="Times New Roman"/>
                <w:sz w:val="22"/>
              </w:rPr>
              <w:t>HTTP / HTTPS</w:t>
            </w:r>
          </w:p>
        </w:tc>
        <w:tc>
          <w:tcPr>
            <w:tcW w:w="7087" w:type="dxa"/>
          </w:tcPr>
          <w:p w14:paraId="441AF7DB">
            <w:pPr>
              <w:spacing w:after="0"/>
              <w:jc w:val="left"/>
            </w:pPr>
            <w:r>
              <w:rPr>
                <w:rFonts w:ascii="Times New Roman" w:hAnsi="Times New Roman"/>
                <w:sz w:val="22"/>
              </w:rPr>
              <w:t>Hypertext Transfer Protocol (Secure)</w:t>
            </w:r>
          </w:p>
        </w:tc>
      </w:tr>
      <w:tr w14:paraId="7BA0CAA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84" w:type="dxa"/>
          </w:tcPr>
          <w:p w14:paraId="19ABFABE">
            <w:pPr>
              <w:spacing w:after="0"/>
              <w:jc w:val="left"/>
            </w:pPr>
            <w:r>
              <w:rPr>
                <w:rFonts w:ascii="Times New Roman" w:hAnsi="Times New Roman"/>
                <w:sz w:val="22"/>
              </w:rPr>
              <w:t>IDE</w:t>
            </w:r>
          </w:p>
        </w:tc>
        <w:tc>
          <w:tcPr>
            <w:tcW w:w="7087" w:type="dxa"/>
          </w:tcPr>
          <w:p w14:paraId="131F630D">
            <w:pPr>
              <w:spacing w:after="0"/>
              <w:jc w:val="left"/>
            </w:pPr>
            <w:r>
              <w:rPr>
                <w:rFonts w:ascii="Times New Roman" w:hAnsi="Times New Roman"/>
                <w:sz w:val="22"/>
              </w:rPr>
              <w:t>Integrated Development Environment</w:t>
            </w:r>
          </w:p>
        </w:tc>
      </w:tr>
      <w:tr w14:paraId="5186EAF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84" w:type="dxa"/>
          </w:tcPr>
          <w:p w14:paraId="36888D13">
            <w:pPr>
              <w:spacing w:after="0"/>
              <w:jc w:val="left"/>
            </w:pPr>
            <w:r>
              <w:rPr>
                <w:rFonts w:ascii="Times New Roman" w:hAnsi="Times New Roman"/>
                <w:sz w:val="22"/>
              </w:rPr>
              <w:t>JSON</w:t>
            </w:r>
          </w:p>
        </w:tc>
        <w:tc>
          <w:tcPr>
            <w:tcW w:w="7087" w:type="dxa"/>
          </w:tcPr>
          <w:p w14:paraId="2B196FDD">
            <w:pPr>
              <w:spacing w:after="0"/>
              <w:jc w:val="left"/>
            </w:pPr>
            <w:r>
              <w:rPr>
                <w:rFonts w:ascii="Times New Roman" w:hAnsi="Times New Roman"/>
                <w:sz w:val="22"/>
              </w:rPr>
              <w:t>JavaScript Object Notation</w:t>
            </w:r>
          </w:p>
        </w:tc>
      </w:tr>
      <w:tr w14:paraId="50D707A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84" w:type="dxa"/>
          </w:tcPr>
          <w:p w14:paraId="3EA204F1">
            <w:pPr>
              <w:spacing w:after="0"/>
              <w:jc w:val="left"/>
            </w:pPr>
            <w:r>
              <w:rPr>
                <w:rFonts w:ascii="Times New Roman" w:hAnsi="Times New Roman"/>
                <w:sz w:val="22"/>
              </w:rPr>
              <w:t>JWT</w:t>
            </w:r>
          </w:p>
        </w:tc>
        <w:tc>
          <w:tcPr>
            <w:tcW w:w="7087" w:type="dxa"/>
          </w:tcPr>
          <w:p w14:paraId="1C7B11CE">
            <w:pPr>
              <w:spacing w:after="0"/>
              <w:jc w:val="left"/>
            </w:pPr>
            <w:r>
              <w:rPr>
                <w:rFonts w:ascii="Times New Roman" w:hAnsi="Times New Roman"/>
                <w:sz w:val="22"/>
              </w:rPr>
              <w:t>JSON Web Token</w:t>
            </w:r>
          </w:p>
        </w:tc>
      </w:tr>
      <w:tr w14:paraId="262D992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84" w:type="dxa"/>
          </w:tcPr>
          <w:p w14:paraId="660482CF">
            <w:pPr>
              <w:spacing w:after="0"/>
              <w:jc w:val="left"/>
            </w:pPr>
            <w:r>
              <w:rPr>
                <w:rFonts w:ascii="Times New Roman" w:hAnsi="Times New Roman"/>
                <w:sz w:val="22"/>
              </w:rPr>
              <w:t>LLM</w:t>
            </w:r>
          </w:p>
        </w:tc>
        <w:tc>
          <w:tcPr>
            <w:tcW w:w="7087" w:type="dxa"/>
          </w:tcPr>
          <w:p w14:paraId="7793588E">
            <w:pPr>
              <w:spacing w:after="0"/>
              <w:jc w:val="left"/>
            </w:pPr>
            <w:r>
              <w:rPr>
                <w:rFonts w:ascii="Times New Roman" w:hAnsi="Times New Roman"/>
                <w:sz w:val="22"/>
              </w:rPr>
              <w:t>Large Language Model</w:t>
            </w:r>
          </w:p>
        </w:tc>
      </w:tr>
      <w:tr w14:paraId="55DBDDB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84" w:type="dxa"/>
          </w:tcPr>
          <w:p w14:paraId="448CB93B">
            <w:pPr>
              <w:spacing w:after="0"/>
              <w:jc w:val="left"/>
            </w:pPr>
            <w:r>
              <w:rPr>
                <w:rFonts w:ascii="Times New Roman" w:hAnsi="Times New Roman"/>
                <w:sz w:val="22"/>
              </w:rPr>
              <w:t>MIMIC-CXR</w:t>
            </w:r>
          </w:p>
        </w:tc>
        <w:tc>
          <w:tcPr>
            <w:tcW w:w="7087" w:type="dxa"/>
          </w:tcPr>
          <w:p w14:paraId="2F33F634">
            <w:pPr>
              <w:spacing w:after="0"/>
              <w:jc w:val="left"/>
            </w:pPr>
            <w:r>
              <w:rPr>
                <w:rFonts w:ascii="Times New Roman" w:hAnsi="Times New Roman"/>
                <w:sz w:val="22"/>
              </w:rPr>
              <w:t>Medical Information Mart for Intensive Care - Chest X-ray</w:t>
            </w:r>
          </w:p>
        </w:tc>
      </w:tr>
      <w:tr w14:paraId="4AE9AFA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84" w:type="dxa"/>
          </w:tcPr>
          <w:p w14:paraId="788D3F42">
            <w:pPr>
              <w:spacing w:after="0"/>
              <w:jc w:val="left"/>
            </w:pPr>
            <w:r>
              <w:rPr>
                <w:rFonts w:ascii="Times New Roman" w:hAnsi="Times New Roman"/>
                <w:sz w:val="22"/>
              </w:rPr>
              <w:t>MVP</w:t>
            </w:r>
          </w:p>
        </w:tc>
        <w:tc>
          <w:tcPr>
            <w:tcW w:w="7087" w:type="dxa"/>
          </w:tcPr>
          <w:p w14:paraId="6F5C9A9D">
            <w:pPr>
              <w:spacing w:after="0"/>
              <w:jc w:val="left"/>
            </w:pPr>
            <w:r>
              <w:rPr>
                <w:rFonts w:ascii="Times New Roman" w:hAnsi="Times New Roman"/>
                <w:sz w:val="22"/>
              </w:rPr>
              <w:t>Minimum Viable Product</w:t>
            </w:r>
          </w:p>
        </w:tc>
      </w:tr>
      <w:tr w14:paraId="614D0FE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84" w:type="dxa"/>
          </w:tcPr>
          <w:p w14:paraId="026A3BBA">
            <w:pPr>
              <w:spacing w:after="0"/>
              <w:jc w:val="left"/>
            </w:pPr>
            <w:r>
              <w:rPr>
                <w:rFonts w:ascii="Times New Roman" w:hAnsi="Times New Roman"/>
                <w:sz w:val="22"/>
              </w:rPr>
              <w:t>NIH</w:t>
            </w:r>
          </w:p>
        </w:tc>
        <w:tc>
          <w:tcPr>
            <w:tcW w:w="7087" w:type="dxa"/>
          </w:tcPr>
          <w:p w14:paraId="41B0DD4E">
            <w:pPr>
              <w:spacing w:after="0"/>
              <w:jc w:val="left"/>
            </w:pPr>
            <w:r>
              <w:rPr>
                <w:rFonts w:ascii="Times New Roman" w:hAnsi="Times New Roman"/>
                <w:sz w:val="22"/>
              </w:rPr>
              <w:t>National Institutes of Health</w:t>
            </w:r>
          </w:p>
        </w:tc>
      </w:tr>
      <w:tr w14:paraId="7936183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84" w:type="dxa"/>
          </w:tcPr>
          <w:p w14:paraId="0F40F431">
            <w:pPr>
              <w:spacing w:after="0"/>
              <w:jc w:val="left"/>
            </w:pPr>
            <w:r>
              <w:rPr>
                <w:rFonts w:ascii="Times New Roman" w:hAnsi="Times New Roman"/>
                <w:sz w:val="22"/>
              </w:rPr>
              <w:t>NIHCC</w:t>
            </w:r>
          </w:p>
        </w:tc>
        <w:tc>
          <w:tcPr>
            <w:tcW w:w="7087" w:type="dxa"/>
          </w:tcPr>
          <w:p w14:paraId="729DD275">
            <w:pPr>
              <w:spacing w:after="0"/>
              <w:jc w:val="left"/>
            </w:pPr>
            <w:r>
              <w:rPr>
                <w:rFonts w:ascii="Times New Roman" w:hAnsi="Times New Roman"/>
                <w:sz w:val="22"/>
              </w:rPr>
              <w:t>NIH Clinical Center Chest X-ray dataset</w:t>
            </w:r>
          </w:p>
        </w:tc>
      </w:tr>
      <w:tr w14:paraId="1960406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84" w:type="dxa"/>
          </w:tcPr>
          <w:p w14:paraId="408DBCE0">
            <w:pPr>
              <w:spacing w:after="0"/>
              <w:jc w:val="left"/>
            </w:pPr>
            <w:r>
              <w:rPr>
                <w:rFonts w:ascii="Times New Roman" w:hAnsi="Times New Roman"/>
                <w:sz w:val="22"/>
              </w:rPr>
              <w:t>NIST</w:t>
            </w:r>
          </w:p>
        </w:tc>
        <w:tc>
          <w:tcPr>
            <w:tcW w:w="7087" w:type="dxa"/>
          </w:tcPr>
          <w:p w14:paraId="2171138F">
            <w:pPr>
              <w:spacing w:after="0"/>
              <w:jc w:val="left"/>
            </w:pPr>
            <w:r>
              <w:rPr>
                <w:rFonts w:ascii="Times New Roman" w:hAnsi="Times New Roman"/>
                <w:sz w:val="22"/>
              </w:rPr>
              <w:t>National Institute of Standards and Technology</w:t>
            </w:r>
          </w:p>
        </w:tc>
      </w:tr>
      <w:tr w14:paraId="59C6600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84" w:type="dxa"/>
          </w:tcPr>
          <w:p w14:paraId="23C641AA">
            <w:pPr>
              <w:spacing w:after="0"/>
              <w:jc w:val="left"/>
            </w:pPr>
            <w:r>
              <w:rPr>
                <w:rFonts w:ascii="Times New Roman" w:hAnsi="Times New Roman"/>
                <w:sz w:val="22"/>
              </w:rPr>
              <w:t>NLP</w:t>
            </w:r>
          </w:p>
        </w:tc>
        <w:tc>
          <w:tcPr>
            <w:tcW w:w="7087" w:type="dxa"/>
          </w:tcPr>
          <w:p w14:paraId="2F86D3F1">
            <w:pPr>
              <w:spacing w:after="0"/>
              <w:jc w:val="left"/>
            </w:pPr>
            <w:r>
              <w:rPr>
                <w:rFonts w:ascii="Times New Roman" w:hAnsi="Times New Roman"/>
                <w:sz w:val="22"/>
              </w:rPr>
              <w:t>Natural Language Processing</w:t>
            </w:r>
          </w:p>
        </w:tc>
      </w:tr>
      <w:tr w14:paraId="713B22F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84" w:type="dxa"/>
          </w:tcPr>
          <w:p w14:paraId="6BD9A6F7">
            <w:pPr>
              <w:spacing w:after="0"/>
              <w:jc w:val="left"/>
            </w:pPr>
            <w:r>
              <w:rPr>
                <w:rFonts w:ascii="Times New Roman" w:hAnsi="Times New Roman"/>
                <w:sz w:val="22"/>
              </w:rPr>
              <w:t>ORM</w:t>
            </w:r>
          </w:p>
        </w:tc>
        <w:tc>
          <w:tcPr>
            <w:tcW w:w="7087" w:type="dxa"/>
          </w:tcPr>
          <w:p w14:paraId="2B24686F">
            <w:pPr>
              <w:spacing w:after="0"/>
              <w:jc w:val="left"/>
            </w:pPr>
            <w:r>
              <w:rPr>
                <w:rFonts w:ascii="Times New Roman" w:hAnsi="Times New Roman"/>
                <w:sz w:val="22"/>
              </w:rPr>
              <w:t>Object-Relational Mapper</w:t>
            </w:r>
          </w:p>
        </w:tc>
      </w:tr>
      <w:tr w14:paraId="77A5105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84" w:type="dxa"/>
          </w:tcPr>
          <w:p w14:paraId="44C8C295">
            <w:pPr>
              <w:spacing w:after="0"/>
              <w:jc w:val="left"/>
            </w:pPr>
            <w:r>
              <w:rPr>
                <w:rFonts w:ascii="Times New Roman" w:hAnsi="Times New Roman"/>
                <w:sz w:val="22"/>
              </w:rPr>
              <w:t>OWASP</w:t>
            </w:r>
          </w:p>
        </w:tc>
        <w:tc>
          <w:tcPr>
            <w:tcW w:w="7087" w:type="dxa"/>
          </w:tcPr>
          <w:p w14:paraId="6C8410C9">
            <w:pPr>
              <w:spacing w:after="0"/>
              <w:jc w:val="left"/>
            </w:pPr>
            <w:r>
              <w:rPr>
                <w:rFonts w:ascii="Times New Roman" w:hAnsi="Times New Roman"/>
                <w:sz w:val="22"/>
              </w:rPr>
              <w:t>Open Worldwide Application Security Project</w:t>
            </w:r>
          </w:p>
        </w:tc>
      </w:tr>
      <w:tr w14:paraId="675FD63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84" w:type="dxa"/>
          </w:tcPr>
          <w:p w14:paraId="5DC0BABB">
            <w:pPr>
              <w:spacing w:after="0"/>
              <w:jc w:val="left"/>
            </w:pPr>
            <w:r>
              <w:rPr>
                <w:rFonts w:ascii="Times New Roman" w:hAnsi="Times New Roman"/>
                <w:sz w:val="22"/>
              </w:rPr>
              <w:t>PACS</w:t>
            </w:r>
          </w:p>
        </w:tc>
        <w:tc>
          <w:tcPr>
            <w:tcW w:w="7087" w:type="dxa"/>
          </w:tcPr>
          <w:p w14:paraId="36689A26">
            <w:pPr>
              <w:spacing w:after="0"/>
              <w:jc w:val="left"/>
            </w:pPr>
            <w:r>
              <w:rPr>
                <w:rFonts w:ascii="Times New Roman" w:hAnsi="Times New Roman"/>
                <w:sz w:val="22"/>
              </w:rPr>
              <w:t>Picture Archiving and Communication System</w:t>
            </w:r>
          </w:p>
        </w:tc>
      </w:tr>
      <w:tr w14:paraId="2B08458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84" w:type="dxa"/>
          </w:tcPr>
          <w:p w14:paraId="3B52CB41">
            <w:pPr>
              <w:spacing w:after="0"/>
              <w:jc w:val="left"/>
            </w:pPr>
            <w:r>
              <w:rPr>
                <w:rFonts w:ascii="Times New Roman" w:hAnsi="Times New Roman"/>
                <w:sz w:val="22"/>
              </w:rPr>
              <w:t>PDPA</w:t>
            </w:r>
          </w:p>
        </w:tc>
        <w:tc>
          <w:tcPr>
            <w:tcW w:w="7087" w:type="dxa"/>
          </w:tcPr>
          <w:p w14:paraId="25425146">
            <w:pPr>
              <w:spacing w:after="0"/>
              <w:jc w:val="left"/>
            </w:pPr>
            <w:r>
              <w:rPr>
                <w:rFonts w:ascii="Times New Roman" w:hAnsi="Times New Roman"/>
                <w:sz w:val="22"/>
              </w:rPr>
              <w:t>Personal Data Protection Act (Sri Lanka)</w:t>
            </w:r>
          </w:p>
        </w:tc>
      </w:tr>
      <w:tr w14:paraId="7E9CA71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84" w:type="dxa"/>
          </w:tcPr>
          <w:p w14:paraId="5A070555">
            <w:pPr>
              <w:spacing w:after="0"/>
              <w:jc w:val="left"/>
            </w:pPr>
            <w:r>
              <w:rPr>
                <w:rFonts w:ascii="Times New Roman" w:hAnsi="Times New Roman"/>
                <w:sz w:val="22"/>
              </w:rPr>
              <w:t>PEFT</w:t>
            </w:r>
          </w:p>
        </w:tc>
        <w:tc>
          <w:tcPr>
            <w:tcW w:w="7087" w:type="dxa"/>
          </w:tcPr>
          <w:p w14:paraId="471AE661">
            <w:pPr>
              <w:spacing w:after="0"/>
              <w:jc w:val="left"/>
            </w:pPr>
            <w:r>
              <w:rPr>
                <w:rFonts w:ascii="Times New Roman" w:hAnsi="Times New Roman"/>
                <w:sz w:val="22"/>
              </w:rPr>
              <w:t>Parameter-Efficient Fine-Tuning</w:t>
            </w:r>
          </w:p>
        </w:tc>
      </w:tr>
      <w:tr w14:paraId="6BDF757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84" w:type="dxa"/>
          </w:tcPr>
          <w:p w14:paraId="631F2280">
            <w:pPr>
              <w:spacing w:after="0"/>
              <w:jc w:val="left"/>
            </w:pPr>
            <w:r>
              <w:rPr>
                <w:rFonts w:ascii="Times New Roman" w:hAnsi="Times New Roman"/>
                <w:sz w:val="22"/>
              </w:rPr>
              <w:t>QA</w:t>
            </w:r>
          </w:p>
        </w:tc>
        <w:tc>
          <w:tcPr>
            <w:tcW w:w="7087" w:type="dxa"/>
          </w:tcPr>
          <w:p w14:paraId="365822C9">
            <w:pPr>
              <w:spacing w:after="0"/>
              <w:jc w:val="left"/>
            </w:pPr>
            <w:r>
              <w:rPr>
                <w:rFonts w:ascii="Times New Roman" w:hAnsi="Times New Roman"/>
                <w:sz w:val="22"/>
              </w:rPr>
              <w:t>Quality Assurance</w:t>
            </w:r>
          </w:p>
        </w:tc>
      </w:tr>
      <w:tr w14:paraId="0F5D6C7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84" w:type="dxa"/>
          </w:tcPr>
          <w:p w14:paraId="597740B0">
            <w:pPr>
              <w:spacing w:after="0"/>
              <w:jc w:val="left"/>
            </w:pPr>
            <w:r>
              <w:rPr>
                <w:rFonts w:ascii="Times New Roman" w:hAnsi="Times New Roman"/>
                <w:sz w:val="22"/>
              </w:rPr>
              <w:t>RAG</w:t>
            </w:r>
          </w:p>
        </w:tc>
        <w:tc>
          <w:tcPr>
            <w:tcW w:w="7087" w:type="dxa"/>
          </w:tcPr>
          <w:p w14:paraId="636D68BC">
            <w:pPr>
              <w:spacing w:after="0"/>
              <w:jc w:val="left"/>
            </w:pPr>
            <w:r>
              <w:rPr>
                <w:rFonts w:ascii="Times New Roman" w:hAnsi="Times New Roman"/>
                <w:sz w:val="22"/>
              </w:rPr>
              <w:t>Retrieval-Augmented Generation</w:t>
            </w:r>
          </w:p>
        </w:tc>
      </w:tr>
      <w:tr w14:paraId="4B2687B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84" w:type="dxa"/>
          </w:tcPr>
          <w:p w14:paraId="158D07FA">
            <w:pPr>
              <w:spacing w:after="0"/>
              <w:jc w:val="left"/>
            </w:pPr>
            <w:r>
              <w:rPr>
                <w:rFonts w:ascii="Times New Roman" w:hAnsi="Times New Roman"/>
                <w:sz w:val="22"/>
              </w:rPr>
              <w:t>RBAC</w:t>
            </w:r>
          </w:p>
        </w:tc>
        <w:tc>
          <w:tcPr>
            <w:tcW w:w="7087" w:type="dxa"/>
          </w:tcPr>
          <w:p w14:paraId="59084D58">
            <w:pPr>
              <w:spacing w:after="0"/>
              <w:jc w:val="left"/>
            </w:pPr>
            <w:r>
              <w:rPr>
                <w:rFonts w:ascii="Times New Roman" w:hAnsi="Times New Roman"/>
                <w:sz w:val="22"/>
              </w:rPr>
              <w:t>Role-Based Access Control</w:t>
            </w:r>
          </w:p>
        </w:tc>
      </w:tr>
      <w:tr w14:paraId="65D7CA7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84" w:type="dxa"/>
          </w:tcPr>
          <w:p w14:paraId="1CBAF709">
            <w:pPr>
              <w:spacing w:after="0"/>
              <w:jc w:val="left"/>
            </w:pPr>
            <w:r>
              <w:rPr>
                <w:rFonts w:ascii="Times New Roman" w:hAnsi="Times New Roman"/>
                <w:sz w:val="22"/>
              </w:rPr>
              <w:t>REST</w:t>
            </w:r>
          </w:p>
        </w:tc>
        <w:tc>
          <w:tcPr>
            <w:tcW w:w="7087" w:type="dxa"/>
          </w:tcPr>
          <w:p w14:paraId="54AA54E9">
            <w:pPr>
              <w:spacing w:after="0"/>
              <w:jc w:val="left"/>
            </w:pPr>
            <w:r>
              <w:rPr>
                <w:rFonts w:ascii="Times New Roman" w:hAnsi="Times New Roman"/>
                <w:sz w:val="22"/>
              </w:rPr>
              <w:t>Representational State Transfer</w:t>
            </w:r>
          </w:p>
        </w:tc>
      </w:tr>
      <w:tr w14:paraId="6EC7E7B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84" w:type="dxa"/>
          </w:tcPr>
          <w:p w14:paraId="77136DA1">
            <w:pPr>
              <w:spacing w:after="0"/>
              <w:jc w:val="left"/>
            </w:pPr>
            <w:r>
              <w:rPr>
                <w:rFonts w:ascii="Times New Roman" w:hAnsi="Times New Roman"/>
                <w:sz w:val="22"/>
              </w:rPr>
              <w:t>SPA</w:t>
            </w:r>
          </w:p>
        </w:tc>
        <w:tc>
          <w:tcPr>
            <w:tcW w:w="7087" w:type="dxa"/>
          </w:tcPr>
          <w:p w14:paraId="7D53874C">
            <w:pPr>
              <w:spacing w:after="0"/>
              <w:jc w:val="left"/>
            </w:pPr>
            <w:r>
              <w:rPr>
                <w:rFonts w:ascii="Times New Roman" w:hAnsi="Times New Roman"/>
                <w:sz w:val="22"/>
              </w:rPr>
              <w:t>Single-Page Application</w:t>
            </w:r>
          </w:p>
        </w:tc>
      </w:tr>
      <w:tr w14:paraId="08C11C6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84" w:type="dxa"/>
          </w:tcPr>
          <w:p w14:paraId="4F8B8983">
            <w:pPr>
              <w:spacing w:after="0"/>
              <w:jc w:val="left"/>
            </w:pPr>
            <w:r>
              <w:rPr>
                <w:rFonts w:ascii="Times New Roman" w:hAnsi="Times New Roman"/>
                <w:sz w:val="22"/>
              </w:rPr>
              <w:t>SQL</w:t>
            </w:r>
          </w:p>
        </w:tc>
        <w:tc>
          <w:tcPr>
            <w:tcW w:w="7087" w:type="dxa"/>
          </w:tcPr>
          <w:p w14:paraId="1D368FBC">
            <w:pPr>
              <w:spacing w:after="0"/>
              <w:jc w:val="left"/>
            </w:pPr>
            <w:r>
              <w:rPr>
                <w:rFonts w:ascii="Times New Roman" w:hAnsi="Times New Roman"/>
                <w:sz w:val="22"/>
              </w:rPr>
              <w:t>Structured Query Language</w:t>
            </w:r>
          </w:p>
        </w:tc>
      </w:tr>
      <w:tr w14:paraId="61FB408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84" w:type="dxa"/>
          </w:tcPr>
          <w:p w14:paraId="6633BF7E">
            <w:pPr>
              <w:spacing w:after="0"/>
              <w:jc w:val="left"/>
            </w:pPr>
            <w:r>
              <w:rPr>
                <w:rFonts w:ascii="Times New Roman" w:hAnsi="Times New Roman"/>
                <w:sz w:val="22"/>
              </w:rPr>
              <w:t>UI / UX</w:t>
            </w:r>
          </w:p>
        </w:tc>
        <w:tc>
          <w:tcPr>
            <w:tcW w:w="7087" w:type="dxa"/>
          </w:tcPr>
          <w:p w14:paraId="086EBE01">
            <w:pPr>
              <w:spacing w:after="0"/>
              <w:jc w:val="left"/>
            </w:pPr>
            <w:r>
              <w:rPr>
                <w:rFonts w:ascii="Times New Roman" w:hAnsi="Times New Roman"/>
                <w:sz w:val="22"/>
              </w:rPr>
              <w:t>User Interface / User Experience</w:t>
            </w:r>
          </w:p>
        </w:tc>
      </w:tr>
      <w:tr w14:paraId="10D857D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84" w:type="dxa"/>
          </w:tcPr>
          <w:p w14:paraId="21B9D633">
            <w:pPr>
              <w:spacing w:after="0"/>
              <w:jc w:val="left"/>
            </w:pPr>
            <w:r>
              <w:rPr>
                <w:rFonts w:ascii="Times New Roman" w:hAnsi="Times New Roman"/>
                <w:sz w:val="22"/>
              </w:rPr>
              <w:t>URL</w:t>
            </w:r>
          </w:p>
        </w:tc>
        <w:tc>
          <w:tcPr>
            <w:tcW w:w="7087" w:type="dxa"/>
          </w:tcPr>
          <w:p w14:paraId="5BDA9EA1">
            <w:pPr>
              <w:spacing w:after="0"/>
              <w:jc w:val="left"/>
            </w:pPr>
            <w:r>
              <w:rPr>
                <w:rFonts w:ascii="Times New Roman" w:hAnsi="Times New Roman"/>
                <w:sz w:val="22"/>
              </w:rPr>
              <w:t>Uniform Resource Locator</w:t>
            </w:r>
          </w:p>
        </w:tc>
      </w:tr>
      <w:tr w14:paraId="2AFAFBC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84" w:type="dxa"/>
          </w:tcPr>
          <w:p w14:paraId="44AF3C43">
            <w:pPr>
              <w:spacing w:after="0"/>
              <w:jc w:val="left"/>
            </w:pPr>
            <w:r>
              <w:rPr>
                <w:rFonts w:ascii="Times New Roman" w:hAnsi="Times New Roman"/>
                <w:sz w:val="22"/>
              </w:rPr>
              <w:t>VLM</w:t>
            </w:r>
          </w:p>
        </w:tc>
        <w:tc>
          <w:tcPr>
            <w:tcW w:w="7087" w:type="dxa"/>
          </w:tcPr>
          <w:p w14:paraId="3FDC3BBA">
            <w:pPr>
              <w:spacing w:after="0"/>
              <w:jc w:val="left"/>
            </w:pPr>
            <w:r>
              <w:rPr>
                <w:rFonts w:ascii="Times New Roman" w:hAnsi="Times New Roman"/>
                <w:sz w:val="22"/>
              </w:rPr>
              <w:t>Vision-Language Model</w:t>
            </w:r>
          </w:p>
        </w:tc>
      </w:tr>
      <w:tr w14:paraId="0D44DF2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84" w:type="dxa"/>
          </w:tcPr>
          <w:p w14:paraId="36836649">
            <w:pPr>
              <w:spacing w:after="0"/>
              <w:jc w:val="left"/>
            </w:pPr>
            <w:r>
              <w:rPr>
                <w:rFonts w:ascii="Times New Roman" w:hAnsi="Times New Roman"/>
                <w:sz w:val="22"/>
              </w:rPr>
              <w:t>VQA</w:t>
            </w:r>
          </w:p>
        </w:tc>
        <w:tc>
          <w:tcPr>
            <w:tcW w:w="7087" w:type="dxa"/>
          </w:tcPr>
          <w:p w14:paraId="130C6CBF">
            <w:pPr>
              <w:spacing w:after="0"/>
              <w:jc w:val="left"/>
            </w:pPr>
            <w:r>
              <w:rPr>
                <w:rFonts w:ascii="Times New Roman" w:hAnsi="Times New Roman"/>
                <w:sz w:val="22"/>
              </w:rPr>
              <w:t>Visual Question Answering</w:t>
            </w:r>
          </w:p>
        </w:tc>
      </w:tr>
      <w:tr w14:paraId="424B1E0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84" w:type="dxa"/>
          </w:tcPr>
          <w:p w14:paraId="3CDCBEA3">
            <w:pPr>
              <w:spacing w:after="0"/>
              <w:jc w:val="left"/>
            </w:pPr>
            <w:r>
              <w:rPr>
                <w:rFonts w:ascii="Times New Roman" w:hAnsi="Times New Roman"/>
                <w:sz w:val="22"/>
              </w:rPr>
              <w:t>WBS</w:t>
            </w:r>
          </w:p>
        </w:tc>
        <w:tc>
          <w:tcPr>
            <w:tcW w:w="7087" w:type="dxa"/>
          </w:tcPr>
          <w:p w14:paraId="3C4FDEFD">
            <w:pPr>
              <w:spacing w:after="0"/>
              <w:jc w:val="left"/>
            </w:pPr>
            <w:r>
              <w:rPr>
                <w:rFonts w:ascii="Times New Roman" w:hAnsi="Times New Roman"/>
                <w:sz w:val="22"/>
              </w:rPr>
              <w:t>Work Breakdown Structure</w:t>
            </w:r>
          </w:p>
        </w:tc>
      </w:tr>
      <w:tr w14:paraId="569B829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84" w:type="dxa"/>
          </w:tcPr>
          <w:p w14:paraId="10EBA9E6">
            <w:pPr>
              <w:spacing w:after="0"/>
              <w:jc w:val="left"/>
            </w:pPr>
            <w:r>
              <w:rPr>
                <w:rFonts w:ascii="Times New Roman" w:hAnsi="Times New Roman"/>
                <w:sz w:val="22"/>
              </w:rPr>
              <w:t>WHO</w:t>
            </w:r>
          </w:p>
        </w:tc>
        <w:tc>
          <w:tcPr>
            <w:tcW w:w="7087" w:type="dxa"/>
          </w:tcPr>
          <w:p w14:paraId="0BA9E450">
            <w:pPr>
              <w:spacing w:after="0"/>
              <w:jc w:val="left"/>
            </w:pPr>
            <w:r>
              <w:rPr>
                <w:rFonts w:ascii="Times New Roman" w:hAnsi="Times New Roman"/>
                <w:sz w:val="22"/>
              </w:rPr>
              <w:t>World Health Organization</w:t>
            </w:r>
          </w:p>
        </w:tc>
      </w:tr>
    </w:tbl>
    <w:p w14:paraId="069AA1E7">
      <w:r>
        <w:br w:type="page"/>
      </w:r>
    </w:p>
    <w:p w14:paraId="0200862A">
      <w:pPr>
        <w:pStyle w:val="2"/>
        <w:keepNext/>
        <w:spacing w:before="360" w:after="240"/>
        <w:jc w:val="left"/>
      </w:pPr>
      <w:r>
        <w:rPr>
          <w:rFonts w:ascii="Times New Roman" w:hAnsi="Times New Roman"/>
          <w:b/>
          <w:color w:val="000000"/>
          <w:sz w:val="32"/>
        </w:rPr>
        <w:t>List of Equations</w:t>
      </w:r>
    </w:p>
    <w:p w14:paraId="1FBDC568">
      <w:pPr>
        <w:spacing w:before="0" w:after="120" w:line="360" w:lineRule="auto"/>
        <w:jc w:val="both"/>
      </w:pPr>
      <w:r>
        <w:rPr>
          <w:rFonts w:ascii="Times New Roman" w:hAnsi="Times New Roman"/>
          <w:sz w:val="22"/>
        </w:rPr>
        <w:t>Only one formal equation is used in the first three chapters of this report. Equation 3.1 in Chapter 3 (Methodology) is the cardiothoracic ratio used in the cardiomegaly prompt template, and it is reproduced here for completeness.</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417"/>
        <w:gridCol w:w="6236"/>
        <w:gridCol w:w="1417"/>
      </w:tblGrid>
      <w:tr w14:paraId="67D705D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6AC74E55">
            <w:pPr>
              <w:spacing w:after="0"/>
              <w:jc w:val="center"/>
            </w:pPr>
            <w:r>
              <w:rPr>
                <w:rFonts w:ascii="Times New Roman" w:hAnsi="Times New Roman"/>
                <w:b/>
                <w:sz w:val="22"/>
              </w:rPr>
              <w:t>Equation</w:t>
            </w:r>
          </w:p>
        </w:tc>
        <w:tc>
          <w:tcPr>
            <w:tcW w:w="6236" w:type="dxa"/>
          </w:tcPr>
          <w:p w14:paraId="002ADD36">
            <w:pPr>
              <w:spacing w:after="0"/>
              <w:jc w:val="center"/>
            </w:pPr>
            <w:r>
              <w:rPr>
                <w:rFonts w:ascii="Times New Roman" w:hAnsi="Times New Roman"/>
                <w:b/>
                <w:sz w:val="22"/>
              </w:rPr>
              <w:t>Title</w:t>
            </w:r>
          </w:p>
        </w:tc>
        <w:tc>
          <w:tcPr>
            <w:tcW w:w="1417" w:type="dxa"/>
          </w:tcPr>
          <w:p w14:paraId="46381479">
            <w:pPr>
              <w:spacing w:after="0"/>
              <w:jc w:val="center"/>
            </w:pPr>
            <w:r>
              <w:rPr>
                <w:rFonts w:ascii="Times New Roman" w:hAnsi="Times New Roman"/>
                <w:b/>
                <w:sz w:val="22"/>
              </w:rPr>
              <w:t>Page</w:t>
            </w:r>
          </w:p>
        </w:tc>
      </w:tr>
      <w:tr w14:paraId="0567EDB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5E3A92FA">
            <w:pPr>
              <w:spacing w:after="0"/>
              <w:jc w:val="left"/>
            </w:pPr>
            <w:r>
              <w:rPr>
                <w:rFonts w:ascii="Times New Roman" w:hAnsi="Times New Roman"/>
                <w:sz w:val="22"/>
              </w:rPr>
              <w:t>Equation 3.1</w:t>
            </w:r>
          </w:p>
        </w:tc>
        <w:tc>
          <w:tcPr>
            <w:tcW w:w="6236" w:type="dxa"/>
          </w:tcPr>
          <w:p w14:paraId="4A38207F">
            <w:pPr>
              <w:spacing w:after="0"/>
              <w:jc w:val="left"/>
            </w:pPr>
            <w:r>
              <w:rPr>
                <w:rFonts w:ascii="Times New Roman" w:hAnsi="Times New Roman"/>
                <w:sz w:val="22"/>
              </w:rPr>
              <w:t>Cardiothoracic ratio (CTR) used in the cardiomegaly prompt template</w:t>
            </w:r>
          </w:p>
        </w:tc>
        <w:tc>
          <w:tcPr>
            <w:tcW w:w="1417" w:type="dxa"/>
          </w:tcPr>
          <w:p w14:paraId="0B0DAFDF">
            <w:pPr>
              <w:spacing w:after="0"/>
              <w:jc w:val="left"/>
            </w:pPr>
            <w:r>
              <w:rPr>
                <w:rFonts w:ascii="Times New Roman" w:hAnsi="Times New Roman"/>
                <w:sz w:val="22"/>
              </w:rPr>
              <w:t>17</w:t>
            </w:r>
          </w:p>
        </w:tc>
      </w:tr>
    </w:tbl>
    <w:p w14:paraId="28DAFA34">
      <w:r>
        <w:br w:type="page"/>
      </w:r>
    </w:p>
    <w:p w14:paraId="022C9E8D">
      <w:pPr>
        <w:pStyle w:val="2"/>
        <w:keepNext/>
        <w:spacing w:before="360" w:after="240"/>
        <w:jc w:val="left"/>
      </w:pPr>
      <w:r>
        <w:rPr>
          <w:rFonts w:ascii="Times New Roman" w:hAnsi="Times New Roman"/>
          <w:b/>
          <w:color w:val="000000"/>
          <w:sz w:val="32"/>
        </w:rPr>
        <w:t>Chapter 01 - Introduction</w:t>
      </w:r>
    </w:p>
    <w:p w14:paraId="14ACE419">
      <w:pPr>
        <w:spacing w:before="0" w:after="120" w:line="360" w:lineRule="auto"/>
        <w:ind w:firstLine="720"/>
        <w:jc w:val="both"/>
      </w:pPr>
      <w:r>
        <w:rPr>
          <w:rFonts w:ascii="Times New Roman" w:hAnsi="Times New Roman"/>
          <w:sz w:val="22"/>
        </w:rPr>
        <w:t>This chapter introduces the project. Section 1.1 gives the background, Section 1.2 lists the aims, Section 1.3 sets out the academic questions and the objectives, Section 1.4 describes the scope, and Section 1.5 outlines the structure of the rest of the report.</w:t>
      </w:r>
    </w:p>
    <w:p w14:paraId="0AEE0BE8">
      <w:pPr>
        <w:pStyle w:val="3"/>
        <w:keepNext/>
        <w:spacing w:before="280" w:after="160"/>
        <w:jc w:val="left"/>
      </w:pPr>
      <w:r>
        <w:rPr>
          <w:rFonts w:ascii="Times New Roman" w:hAnsi="Times New Roman"/>
          <w:b/>
          <w:color w:val="000000"/>
          <w:sz w:val="28"/>
        </w:rPr>
        <w:t>1.1 Background</w:t>
      </w:r>
    </w:p>
    <w:p w14:paraId="4FC6089E">
      <w:pPr>
        <w:spacing w:before="0" w:after="120" w:line="360" w:lineRule="auto"/>
        <w:ind w:firstLine="720"/>
        <w:jc w:val="both"/>
      </w:pPr>
      <w:r>
        <w:rPr>
          <w:rFonts w:ascii="Times New Roman" w:hAnsi="Times New Roman"/>
          <w:sz w:val="22"/>
        </w:rPr>
        <w:t>Medical imaging is central to modern hospital care, and the chest X-ray (CXR) is one of the most frequently performed radiological examinations worldwide. Interpreting a CXR is a foundational skill for radiologists, but it develops slowly through repeated exposure to varied cases and through structured feedback from supervisors. Training therefore depends on expert time and on access to good teaching cases (World Health Organization, 2021; Karunaratne, 2023).</w:t>
      </w:r>
    </w:p>
    <w:p w14:paraId="2B6244DD">
      <w:pPr>
        <w:spacing w:before="0" w:after="120" w:line="360" w:lineRule="auto"/>
        <w:ind w:firstLine="720"/>
        <w:jc w:val="both"/>
      </w:pPr>
      <w:r>
        <w:rPr>
          <w:rFonts w:ascii="Times New Roman" w:hAnsi="Times New Roman"/>
          <w:sz w:val="22"/>
        </w:rPr>
        <w:t>At the same time, artificial intelligence has advanced quickly in medical imaging. Medical vision-language models (VLMs) such as MedGemma can reason jointly over an image and its associated text, and Retrieval-Augmented Generation (RAG) lets a language model ground its output in external, verifiable knowledge sources (Google Developers, 2026; Sellergren et al., 2025; Liu, McCoy and Wright, 2025). Most published systems are aimed at clinical diagnosis, automated report generation or clinical decision support. Far less attention has been paid to using these technologies to support students who are still learning to interpret images. This project looks at that under-explored space: a student-facing CXR training companion that helps learners practise interpretation and receive evidence-grounded feedback, while remaining clearly separated from clinical use.</w:t>
      </w:r>
    </w:p>
    <w:p w14:paraId="3E773752">
      <w:pPr>
        <w:spacing w:before="0" w:after="120" w:line="360" w:lineRule="auto"/>
        <w:ind w:firstLine="720"/>
        <w:jc w:val="both"/>
      </w:pPr>
      <w:r>
        <w:rPr>
          <w:rFonts w:ascii="Times New Roman" w:hAnsi="Times New Roman"/>
          <w:sz w:val="22"/>
        </w:rPr>
        <w:t>The training-pipeline problem is especially acute in low- and middle-income settings. Sri Lanka, for example, has only around 0.78 radiologists per 100,000 population, compared with approximately 13 per 100,000 in Europe and 8.5 per 100,000 in the United Kingdom (Karunaratne, 2023). The shortage is made worse by the cost of training, by trainees staying abroad after overseas training, by rising demand from an ageing population, and by ageing imaging equipment that constrains hands-on training. Because radiology training takes several years, the shortage cannot be fixed quickly, and the training pipeline itself becomes a bottleneck.</w:t>
      </w:r>
    </w:p>
    <w:p w14:paraId="765AC8EA">
      <w:pPr>
        <w:spacing w:before="0" w:after="120" w:line="360" w:lineRule="auto"/>
        <w:ind w:firstLine="720"/>
        <w:jc w:val="both"/>
      </w:pPr>
      <w:r>
        <w:rPr>
          <w:rFonts w:ascii="Times New Roman" w:hAnsi="Times New Roman"/>
          <w:sz w:val="22"/>
        </w:rPr>
        <w:t>Student radiologists need repeated case exposure and structured feedback, but individual supervised feedback on every practice case is rarely available. At the same time, no widely established student-facing training companion combines CXR image understanding with evidence-grounded explanations and feedback designed for learning. Existing AI radiology systems focus on clinical support rather than on student practice, and there is little evidence on how a medical VLM and RAG can be combined to produce reliable, useful educational feedback. This project addresses that gap.</w:t>
      </w:r>
    </w:p>
    <w:p w14:paraId="79B70002">
      <w:pPr>
        <w:pStyle w:val="3"/>
        <w:keepNext/>
        <w:spacing w:before="280" w:after="160"/>
        <w:jc w:val="left"/>
      </w:pPr>
      <w:r>
        <w:rPr>
          <w:rFonts w:ascii="Times New Roman" w:hAnsi="Times New Roman"/>
          <w:b/>
          <w:color w:val="000000"/>
          <w:sz w:val="28"/>
        </w:rPr>
        <w:t>1.2 Aims of the Project</w:t>
      </w:r>
    </w:p>
    <w:p w14:paraId="2D11317A">
      <w:pPr>
        <w:spacing w:before="0" w:after="120" w:line="360" w:lineRule="auto"/>
        <w:ind w:firstLine="720"/>
        <w:jc w:val="both"/>
      </w:pPr>
      <w:r>
        <w:rPr>
          <w:rFonts w:ascii="Times New Roman" w:hAnsi="Times New Roman"/>
          <w:sz w:val="22"/>
        </w:rPr>
        <w:t>The aim of this project is to design, implement and evaluate a student-in-the-loop chest X-ray training companion that uses MedGemma and Retrieval-Augmented Generation to provide structured, evidence-grounded educational feedback on a small set of common CXR findings.</w:t>
      </w:r>
    </w:p>
    <w:p w14:paraId="4B1CABC2">
      <w:pPr>
        <w:spacing w:before="0" w:after="120" w:line="360" w:lineRule="auto"/>
        <w:ind w:firstLine="720"/>
        <w:jc w:val="both"/>
      </w:pPr>
      <w:r>
        <w:rPr>
          <w:rFonts w:ascii="Times New Roman" w:hAnsi="Times New Roman"/>
          <w:sz w:val="22"/>
        </w:rPr>
        <w:t>The project is guided by these specific aims:</w:t>
      </w:r>
    </w:p>
    <w:p w14:paraId="26FF9169">
      <w:pPr>
        <w:pStyle w:val="23"/>
        <w:spacing w:after="40" w:line="360" w:lineRule="auto"/>
        <w:jc w:val="both"/>
      </w:pPr>
      <w:r>
        <w:rPr>
          <w:rFonts w:ascii="Times New Roman" w:hAnsi="Times New Roman"/>
          <w:sz w:val="22"/>
        </w:rPr>
        <w:t>To design an architecture that separates the model, the retriever and the dataset behind narrow interfaces, so each can be replaced without changing the application code.</w:t>
      </w:r>
    </w:p>
    <w:p w14:paraId="6DC9A8D4">
      <w:pPr>
        <w:pStyle w:val="23"/>
        <w:spacing w:after="40" w:line="360" w:lineRule="auto"/>
        <w:jc w:val="both"/>
      </w:pPr>
      <w:r>
        <w:rPr>
          <w:rFonts w:ascii="Times New Roman" w:hAnsi="Times New Roman"/>
          <w:sz w:val="22"/>
        </w:rPr>
        <w:t>To implement a working prototype that realises the student-attempt-then-AI-feedback workflow using MedGemma and a pluggable RAG layer over a curated corpus.</w:t>
      </w:r>
    </w:p>
    <w:p w14:paraId="016E51D2">
      <w:pPr>
        <w:pStyle w:val="23"/>
        <w:spacing w:after="40" w:line="360" w:lineRule="auto"/>
        <w:jc w:val="both"/>
      </w:pPr>
      <w:r>
        <w:rPr>
          <w:rFonts w:ascii="Times New Roman" w:hAnsi="Times New Roman"/>
          <w:sz w:val="22"/>
        </w:rPr>
        <w:t>To set up a reproducible evaluation harness that measures technical performance (structure validity, finding recognition, latency, token usage) as well as educational quality (clarity, evidence grounding, usefulness for learning).</w:t>
      </w:r>
    </w:p>
    <w:p w14:paraId="31C67DA9">
      <w:pPr>
        <w:pStyle w:val="23"/>
        <w:spacing w:after="40" w:line="360" w:lineRule="auto"/>
        <w:jc w:val="both"/>
      </w:pPr>
      <w:r>
        <w:rPr>
          <w:rFonts w:ascii="Times New Roman" w:hAnsi="Times New Roman"/>
          <w:sz w:val="22"/>
        </w:rPr>
        <w:t>To position the system as a formative learning aid, not as a clinical decision-support or diagnostic tool, and to document the ethical, legal and security considerations that follow from that positioning.</w:t>
      </w:r>
    </w:p>
    <w:p w14:paraId="12C6CDAD">
      <w:pPr>
        <w:pStyle w:val="3"/>
        <w:keepNext/>
        <w:spacing w:before="280" w:after="160"/>
        <w:jc w:val="left"/>
      </w:pPr>
      <w:r>
        <w:rPr>
          <w:rFonts w:ascii="Times New Roman" w:hAnsi="Times New Roman"/>
          <w:b/>
          <w:color w:val="000000"/>
          <w:sz w:val="28"/>
        </w:rPr>
        <w:t>1.3 Academic Questions and Objectives</w:t>
      </w:r>
    </w:p>
    <w:p w14:paraId="1B7797EA">
      <w:pPr>
        <w:pStyle w:val="4"/>
        <w:keepNext/>
        <w:spacing w:before="200" w:after="120"/>
        <w:jc w:val="left"/>
      </w:pPr>
      <w:r>
        <w:rPr>
          <w:rFonts w:ascii="Times New Roman" w:hAnsi="Times New Roman"/>
          <w:b/>
          <w:color w:val="000000"/>
          <w:sz w:val="24"/>
        </w:rPr>
        <w:t>1.3.1 Academic Questions</w:t>
      </w:r>
    </w:p>
    <w:p w14:paraId="23A8F8A6">
      <w:pPr>
        <w:spacing w:before="0" w:after="120" w:line="360" w:lineRule="auto"/>
        <w:ind w:firstLine="720"/>
        <w:jc w:val="both"/>
      </w:pPr>
      <w:r>
        <w:rPr>
          <w:rFonts w:ascii="Times New Roman" w:hAnsi="Times New Roman"/>
          <w:sz w:val="22"/>
        </w:rPr>
        <w:t>The project is framed by one main academic question and four sub-questions. They follow directly from the problem statement and the aims and define what the evaluation must be able to answer.</w:t>
      </w:r>
    </w:p>
    <w:p w14:paraId="0D387B99">
      <w:pPr>
        <w:spacing w:before="0" w:after="120" w:line="360" w:lineRule="auto"/>
        <w:ind w:firstLine="720"/>
        <w:jc w:val="both"/>
      </w:pPr>
      <w:r>
        <w:rPr>
          <w:rFonts w:ascii="Times New Roman" w:hAnsi="Times New Roman"/>
          <w:sz w:val="22"/>
        </w:rPr>
        <w:t>Main academic question: How can a medical vision-language model and Retrieval-Augmented Generation be combined to provide reliable, evidence-grounded feedback that supports student radiologists in practising chest X-ray interpretation?</w:t>
      </w:r>
    </w:p>
    <w:p w14:paraId="23B89AB3">
      <w:pPr>
        <w:spacing w:before="0" w:after="120" w:line="360" w:lineRule="auto"/>
        <w:ind w:firstLine="720"/>
        <w:jc w:val="both"/>
      </w:pPr>
      <w:r>
        <w:rPr>
          <w:rFonts w:ascii="Times New Roman" w:hAnsi="Times New Roman"/>
          <w:sz w:val="22"/>
        </w:rPr>
        <w:t>Sub-questions:</w:t>
      </w:r>
    </w:p>
    <w:p w14:paraId="2C42FD5B">
      <w:pPr>
        <w:pStyle w:val="23"/>
        <w:spacing w:after="40" w:line="360" w:lineRule="auto"/>
        <w:jc w:val="both"/>
      </w:pPr>
      <w:r>
        <w:rPr>
          <w:rFonts w:ascii="Times New Roman" w:hAnsi="Times New Roman"/>
          <w:sz w:val="22"/>
        </w:rPr>
        <w:t>AQ1: What limitations do current AI systems for CXR interpretation have when they are used as tools for student learning rather than clinical diagnosis?</w:t>
      </w:r>
    </w:p>
    <w:p w14:paraId="3254BD06">
      <w:pPr>
        <w:pStyle w:val="23"/>
        <w:spacing w:after="40" w:line="360" w:lineRule="auto"/>
        <w:jc w:val="both"/>
      </w:pPr>
      <w:r>
        <w:rPr>
          <w:rFonts w:ascii="Times New Roman" w:hAnsi="Times New Roman"/>
          <w:sz w:val="22"/>
        </w:rPr>
        <w:t>AQ2: How can MedGemma be adapted or prompted to support students in practising interpretation of selected chest X-ray findings?</w:t>
      </w:r>
    </w:p>
    <w:p w14:paraId="2DBC389C">
      <w:pPr>
        <w:pStyle w:val="23"/>
        <w:spacing w:after="40" w:line="360" w:lineRule="auto"/>
        <w:jc w:val="both"/>
      </w:pPr>
      <w:r>
        <w:rPr>
          <w:rFonts w:ascii="Times New Roman" w:hAnsi="Times New Roman"/>
          <w:sz w:val="22"/>
        </w:rPr>
        <w:t>AQ3: Does Retrieval-Augmented Generation improve the grounding, clarity and educational usefulness of the feedback generated for chest X-ray training?</w:t>
      </w:r>
    </w:p>
    <w:p w14:paraId="2BD4B4C6">
      <w:pPr>
        <w:pStyle w:val="23"/>
        <w:spacing w:after="40" w:line="360" w:lineRule="auto"/>
        <w:jc w:val="both"/>
      </w:pPr>
      <w:r>
        <w:rPr>
          <w:rFonts w:ascii="Times New Roman" w:hAnsi="Times New Roman"/>
          <w:sz w:val="22"/>
        </w:rPr>
        <w:t>AQ4: Which configuration - MedGemma only, MedGemma + RAG, or fine-tuned MedGemma + RAG - provides the best balance between finding recognition, evidence grounding and feedback quality, when evaluated against a defined rubric?</w:t>
      </w:r>
    </w:p>
    <w:p w14:paraId="0A90E0EB">
      <w:pPr>
        <w:pStyle w:val="4"/>
        <w:keepNext/>
        <w:spacing w:before="200" w:after="120"/>
        <w:jc w:val="left"/>
      </w:pPr>
      <w:r>
        <w:rPr>
          <w:rFonts w:ascii="Times New Roman" w:hAnsi="Times New Roman"/>
          <w:b/>
          <w:color w:val="000000"/>
          <w:sz w:val="24"/>
        </w:rPr>
        <w:t>1.3.2 Objectives</w:t>
      </w:r>
    </w:p>
    <w:p w14:paraId="22E4584B">
      <w:pPr>
        <w:spacing w:before="0" w:after="120" w:line="360" w:lineRule="auto"/>
        <w:ind w:firstLine="720"/>
        <w:jc w:val="both"/>
      </w:pPr>
      <w:r>
        <w:rPr>
          <w:rFonts w:ascii="Times New Roman" w:hAnsi="Times New Roman"/>
          <w:sz w:val="22"/>
        </w:rPr>
        <w:t>The following SMART objectives will collectively achieve the aim and answer the academic questions:</w:t>
      </w:r>
    </w:p>
    <w:p w14:paraId="1F612A7B">
      <w:pPr>
        <w:pStyle w:val="23"/>
        <w:spacing w:after="40" w:line="360" w:lineRule="auto"/>
        <w:jc w:val="both"/>
      </w:pPr>
      <w:r>
        <w:rPr>
          <w:rFonts w:ascii="Times New Roman" w:hAnsi="Times New Roman"/>
          <w:sz w:val="22"/>
        </w:rPr>
        <w:t>O1: To review existing literature, models and systems related to AI-assisted chest X-ray interpretation and RAG, and to identify their limitations for educational use.</w:t>
      </w:r>
    </w:p>
    <w:p w14:paraId="000E49B6">
      <w:pPr>
        <w:pStyle w:val="23"/>
        <w:spacing w:after="40" w:line="360" w:lineRule="auto"/>
        <w:jc w:val="both"/>
      </w:pPr>
      <w:r>
        <w:rPr>
          <w:rFonts w:ascii="Times New Roman" w:hAnsi="Times New Roman"/>
          <w:sz w:val="22"/>
        </w:rPr>
        <w:t>O2: To select a narrow set of common CXR findings and to gather suitable public image data and labels for those findings.</w:t>
      </w:r>
    </w:p>
    <w:p w14:paraId="5A05196D">
      <w:pPr>
        <w:pStyle w:val="23"/>
        <w:spacing w:after="40" w:line="360" w:lineRule="auto"/>
        <w:jc w:val="both"/>
      </w:pPr>
      <w:r>
        <w:rPr>
          <w:rFonts w:ascii="Times New Roman" w:hAnsi="Times New Roman"/>
          <w:sz w:val="22"/>
        </w:rPr>
        <w:t>O3: To gather and analyse the functional and non-functional requirements of a student-facing training companion, including the required feedback components.</w:t>
      </w:r>
    </w:p>
    <w:p w14:paraId="58C070A0">
      <w:pPr>
        <w:pStyle w:val="23"/>
        <w:spacing w:after="40" w:line="360" w:lineRule="auto"/>
        <w:jc w:val="both"/>
      </w:pPr>
      <w:r>
        <w:rPr>
          <w:rFonts w:ascii="Times New Roman" w:hAnsi="Times New Roman"/>
          <w:sz w:val="22"/>
        </w:rPr>
        <w:t>O4: To design the architecture, data flow and a curated educational RAG corpus for the proposed system.</w:t>
      </w:r>
    </w:p>
    <w:p w14:paraId="22052C13">
      <w:pPr>
        <w:pStyle w:val="23"/>
        <w:spacing w:after="40" w:line="360" w:lineRule="auto"/>
        <w:jc w:val="both"/>
      </w:pPr>
      <w:r>
        <w:rPr>
          <w:rFonts w:ascii="Times New Roman" w:hAnsi="Times New Roman"/>
          <w:sz w:val="22"/>
        </w:rPr>
        <w:t>O5: To implement a working prototype that realises the student-attempt-then-AI-feedback workflow using MedGemma and RAG.</w:t>
      </w:r>
    </w:p>
    <w:p w14:paraId="738BC35F">
      <w:pPr>
        <w:pStyle w:val="23"/>
        <w:spacing w:after="40" w:line="360" w:lineRule="auto"/>
        <w:jc w:val="both"/>
      </w:pPr>
      <w:r>
        <w:rPr>
          <w:rFonts w:ascii="Times New Roman" w:hAnsi="Times New Roman"/>
          <w:sz w:val="22"/>
        </w:rPr>
        <w:t>O6: To test and evaluate the prototype against defined success criteria, comparing MedGemma only, MedGemma + RAG and (if time allows) fine-tuned MedGemma + RAG, and to document the process and findings.</w:t>
      </w:r>
    </w:p>
    <w:p w14:paraId="71D0A28C">
      <w:pPr>
        <w:spacing w:before="0" w:after="120" w:line="360" w:lineRule="auto"/>
        <w:ind w:firstLine="720"/>
        <w:jc w:val="both"/>
      </w:pPr>
      <w:r>
        <w:rPr>
          <w:rFonts w:ascii="Times New Roman" w:hAnsi="Times New Roman"/>
          <w:sz w:val="22"/>
        </w:rPr>
        <w:t>Table 1.1 maps the academic questions to the objectives, so the traceability between the research questions and the work is explicit.</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3118"/>
        <w:gridCol w:w="2268"/>
        <w:gridCol w:w="3685"/>
      </w:tblGrid>
      <w:tr w14:paraId="067742C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18" w:type="dxa"/>
          </w:tcPr>
          <w:p w14:paraId="52BC72C4">
            <w:pPr>
              <w:spacing w:after="0"/>
              <w:jc w:val="center"/>
            </w:pPr>
            <w:r>
              <w:rPr>
                <w:rFonts w:ascii="Times New Roman" w:hAnsi="Times New Roman"/>
                <w:b/>
                <w:sz w:val="22"/>
              </w:rPr>
              <w:t>Academic question</w:t>
            </w:r>
          </w:p>
        </w:tc>
        <w:tc>
          <w:tcPr>
            <w:tcW w:w="2268" w:type="dxa"/>
          </w:tcPr>
          <w:p w14:paraId="1E26B171">
            <w:pPr>
              <w:spacing w:after="0"/>
              <w:jc w:val="center"/>
            </w:pPr>
            <w:r>
              <w:rPr>
                <w:rFonts w:ascii="Times New Roman" w:hAnsi="Times New Roman"/>
                <w:b/>
                <w:sz w:val="22"/>
              </w:rPr>
              <w:t>Objectives that address it</w:t>
            </w:r>
          </w:p>
        </w:tc>
        <w:tc>
          <w:tcPr>
            <w:tcW w:w="3685" w:type="dxa"/>
          </w:tcPr>
          <w:p w14:paraId="783CCAB7">
            <w:pPr>
              <w:spacing w:after="0"/>
              <w:jc w:val="center"/>
            </w:pPr>
            <w:r>
              <w:rPr>
                <w:rFonts w:ascii="Times New Roman" w:hAnsi="Times New Roman"/>
                <w:b/>
                <w:sz w:val="22"/>
              </w:rPr>
              <w:t>Chapter / Section</w:t>
            </w:r>
          </w:p>
        </w:tc>
      </w:tr>
      <w:tr w14:paraId="194EE58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18" w:type="dxa"/>
          </w:tcPr>
          <w:p w14:paraId="0EA3F9AC">
            <w:pPr>
              <w:spacing w:after="0"/>
              <w:jc w:val="left"/>
            </w:pPr>
            <w:r>
              <w:rPr>
                <w:rFonts w:ascii="Times New Roman" w:hAnsi="Times New Roman"/>
                <w:sz w:val="22"/>
              </w:rPr>
              <w:t>AQ1 - limitations of existing CXR AI systems for educational use</w:t>
            </w:r>
          </w:p>
        </w:tc>
        <w:tc>
          <w:tcPr>
            <w:tcW w:w="2268" w:type="dxa"/>
          </w:tcPr>
          <w:p w14:paraId="2F5E91BC">
            <w:pPr>
              <w:spacing w:after="0"/>
              <w:jc w:val="left"/>
            </w:pPr>
            <w:r>
              <w:rPr>
                <w:rFonts w:ascii="Times New Roman" w:hAnsi="Times New Roman"/>
                <w:sz w:val="22"/>
              </w:rPr>
              <w:t>O1, O3</w:t>
            </w:r>
          </w:p>
        </w:tc>
        <w:tc>
          <w:tcPr>
            <w:tcW w:w="3685" w:type="dxa"/>
          </w:tcPr>
          <w:p w14:paraId="653313D2">
            <w:pPr>
              <w:spacing w:after="0"/>
              <w:jc w:val="left"/>
            </w:pPr>
            <w:r>
              <w:rPr>
                <w:rFonts w:ascii="Times New Roman" w:hAnsi="Times New Roman"/>
                <w:sz w:val="22"/>
              </w:rPr>
              <w:t>Chapter 2 (Sections 2.1, 2.2)</w:t>
            </w:r>
          </w:p>
        </w:tc>
      </w:tr>
      <w:tr w14:paraId="1D0EFA6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18" w:type="dxa"/>
          </w:tcPr>
          <w:p w14:paraId="5C1BDB7C">
            <w:pPr>
              <w:spacing w:after="0"/>
              <w:jc w:val="left"/>
            </w:pPr>
            <w:r>
              <w:rPr>
                <w:rFonts w:ascii="Times New Roman" w:hAnsi="Times New Roman"/>
                <w:sz w:val="22"/>
              </w:rPr>
              <w:t>AQ2 - adapting MedGemma for student-facing interpretation</w:t>
            </w:r>
          </w:p>
        </w:tc>
        <w:tc>
          <w:tcPr>
            <w:tcW w:w="2268" w:type="dxa"/>
          </w:tcPr>
          <w:p w14:paraId="136DA0BB">
            <w:pPr>
              <w:spacing w:after="0"/>
              <w:jc w:val="left"/>
            </w:pPr>
            <w:r>
              <w:rPr>
                <w:rFonts w:ascii="Times New Roman" w:hAnsi="Times New Roman"/>
                <w:sz w:val="22"/>
              </w:rPr>
              <w:t>O4, O5</w:t>
            </w:r>
          </w:p>
        </w:tc>
        <w:tc>
          <w:tcPr>
            <w:tcW w:w="3685" w:type="dxa"/>
          </w:tcPr>
          <w:p w14:paraId="7518BF77">
            <w:pPr>
              <w:spacing w:after="0"/>
              <w:jc w:val="left"/>
            </w:pPr>
            <w:r>
              <w:rPr>
                <w:rFonts w:ascii="Times New Roman" w:hAnsi="Times New Roman"/>
                <w:sz w:val="22"/>
              </w:rPr>
              <w:t>Chapter 3 (Sections 3.3, 3.4)</w:t>
            </w:r>
          </w:p>
        </w:tc>
      </w:tr>
      <w:tr w14:paraId="64CE155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18" w:type="dxa"/>
          </w:tcPr>
          <w:p w14:paraId="14777E76">
            <w:pPr>
              <w:spacing w:after="0"/>
              <w:jc w:val="left"/>
            </w:pPr>
            <w:r>
              <w:rPr>
                <w:rFonts w:ascii="Times New Roman" w:hAnsi="Times New Roman"/>
                <w:sz w:val="22"/>
              </w:rPr>
              <w:t>AQ3 - whether RAG improves grounding, clarity and learning usefulness</w:t>
            </w:r>
          </w:p>
        </w:tc>
        <w:tc>
          <w:tcPr>
            <w:tcW w:w="2268" w:type="dxa"/>
          </w:tcPr>
          <w:p w14:paraId="49492102">
            <w:pPr>
              <w:spacing w:after="0"/>
              <w:jc w:val="left"/>
            </w:pPr>
            <w:r>
              <w:rPr>
                <w:rFonts w:ascii="Times New Roman" w:hAnsi="Times New Roman"/>
                <w:sz w:val="22"/>
              </w:rPr>
              <w:t>O4, O5, O6</w:t>
            </w:r>
          </w:p>
        </w:tc>
        <w:tc>
          <w:tcPr>
            <w:tcW w:w="3685" w:type="dxa"/>
          </w:tcPr>
          <w:p w14:paraId="445AEAC2">
            <w:pPr>
              <w:spacing w:after="0"/>
              <w:jc w:val="left"/>
            </w:pPr>
            <w:r>
              <w:rPr>
                <w:rFonts w:ascii="Times New Roman" w:hAnsi="Times New Roman"/>
                <w:sz w:val="22"/>
              </w:rPr>
              <w:t>Chapter 3 (Sections 3.4, 3.5)</w:t>
            </w:r>
          </w:p>
        </w:tc>
      </w:tr>
      <w:tr w14:paraId="28D08EC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18" w:type="dxa"/>
          </w:tcPr>
          <w:p w14:paraId="57B1B7DC">
            <w:pPr>
              <w:spacing w:after="0"/>
              <w:jc w:val="left"/>
            </w:pPr>
            <w:r>
              <w:rPr>
                <w:rFonts w:ascii="Times New Roman" w:hAnsi="Times New Roman"/>
                <w:sz w:val="22"/>
              </w:rPr>
              <w:t>AQ4 - best configuration across MedGemma only, MedGemma + RAG, and fine-tuned MedGemma + RAG</w:t>
            </w:r>
          </w:p>
        </w:tc>
        <w:tc>
          <w:tcPr>
            <w:tcW w:w="2268" w:type="dxa"/>
          </w:tcPr>
          <w:p w14:paraId="7B268ED2">
            <w:pPr>
              <w:spacing w:after="0"/>
              <w:jc w:val="left"/>
            </w:pPr>
            <w:r>
              <w:rPr>
                <w:rFonts w:ascii="Times New Roman" w:hAnsi="Times New Roman"/>
                <w:sz w:val="22"/>
              </w:rPr>
              <w:t>O5, O6</w:t>
            </w:r>
          </w:p>
        </w:tc>
        <w:tc>
          <w:tcPr>
            <w:tcW w:w="3685" w:type="dxa"/>
          </w:tcPr>
          <w:p w14:paraId="1BDF4396">
            <w:pPr>
              <w:spacing w:after="0"/>
              <w:jc w:val="left"/>
            </w:pPr>
            <w:r>
              <w:rPr>
                <w:rFonts w:ascii="Times New Roman" w:hAnsi="Times New Roman"/>
                <w:sz w:val="22"/>
              </w:rPr>
              <w:t>Chapter 4 - out of scope of this submission</w:t>
            </w:r>
          </w:p>
        </w:tc>
      </w:tr>
      <w:tr w14:paraId="035EC93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18" w:type="dxa"/>
          </w:tcPr>
          <w:p w14:paraId="47ADB2B1">
            <w:pPr>
              <w:spacing w:after="0"/>
              <w:jc w:val="left"/>
            </w:pPr>
            <w:r>
              <w:rPr>
                <w:rFonts w:ascii="Times New Roman" w:hAnsi="Times New Roman"/>
                <w:sz w:val="22"/>
              </w:rPr>
              <w:t>Main AQ - combining a medical VLM and RAG for student-facing CXR training</w:t>
            </w:r>
          </w:p>
        </w:tc>
        <w:tc>
          <w:tcPr>
            <w:tcW w:w="2268" w:type="dxa"/>
          </w:tcPr>
          <w:p w14:paraId="7272AD50">
            <w:pPr>
              <w:spacing w:after="0"/>
              <w:jc w:val="left"/>
            </w:pPr>
            <w:r>
              <w:rPr>
                <w:rFonts w:ascii="Times New Roman" w:hAnsi="Times New Roman"/>
                <w:sz w:val="22"/>
              </w:rPr>
              <w:t>O1 - O6</w:t>
            </w:r>
          </w:p>
        </w:tc>
        <w:tc>
          <w:tcPr>
            <w:tcW w:w="3685" w:type="dxa"/>
          </w:tcPr>
          <w:p w14:paraId="2FBCEFD0">
            <w:pPr>
              <w:spacing w:after="0"/>
              <w:jc w:val="left"/>
            </w:pPr>
            <w:r>
              <w:rPr>
                <w:rFonts w:ascii="Times New Roman" w:hAnsi="Times New Roman"/>
                <w:sz w:val="22"/>
              </w:rPr>
              <w:t>Chapters 1-3 (and 4, 5 later)</w:t>
            </w:r>
          </w:p>
        </w:tc>
      </w:tr>
    </w:tbl>
    <w:p w14:paraId="736F9B43">
      <w:pPr>
        <w:keepNext w:val="0"/>
        <w:spacing w:before="120" w:after="120"/>
        <w:jc w:val="center"/>
      </w:pPr>
      <w:r>
        <w:rPr>
          <w:rFonts w:ascii="Times New Roman" w:hAnsi="Times New Roman"/>
          <w:b/>
          <w:sz w:val="20"/>
        </w:rPr>
        <w:t xml:space="preserve">Table 1.1: </w:t>
      </w:r>
      <w:r>
        <w:rPr>
          <w:rFonts w:ascii="Times New Roman" w:hAnsi="Times New Roman"/>
          <w:sz w:val="20"/>
        </w:rPr>
        <w:t>Mapping of academic questions to project objectives</w:t>
      </w:r>
    </w:p>
    <w:p w14:paraId="0F08EB94">
      <w:pPr>
        <w:pStyle w:val="3"/>
        <w:keepNext/>
        <w:spacing w:before="280" w:after="160"/>
        <w:jc w:val="left"/>
      </w:pPr>
      <w:r>
        <w:rPr>
          <w:rFonts w:ascii="Times New Roman" w:hAnsi="Times New Roman"/>
          <w:b/>
          <w:color w:val="000000"/>
          <w:sz w:val="28"/>
        </w:rPr>
        <w:t>1.4 Scope</w:t>
      </w:r>
    </w:p>
    <w:p w14:paraId="18529D27">
      <w:pPr>
        <w:spacing w:before="0" w:after="120" w:line="360" w:lineRule="auto"/>
        <w:ind w:firstLine="720"/>
        <w:jc w:val="both"/>
      </w:pPr>
      <w:r>
        <w:rPr>
          <w:rFonts w:ascii="Times New Roman" w:hAnsi="Times New Roman"/>
          <w:sz w:val="22"/>
        </w:rPr>
        <w:t>The scope of the work is described in two parts: what is in scope and what is out of scope.</w:t>
      </w:r>
    </w:p>
    <w:p w14:paraId="76B0ACF9">
      <w:pPr>
        <w:pStyle w:val="4"/>
        <w:keepNext/>
        <w:spacing w:before="200" w:after="120"/>
        <w:jc w:val="left"/>
      </w:pPr>
      <w:r>
        <w:rPr>
          <w:rFonts w:ascii="Times New Roman" w:hAnsi="Times New Roman"/>
          <w:b/>
          <w:color w:val="000000"/>
          <w:sz w:val="24"/>
        </w:rPr>
        <w:t>1.4.1 In-Scope</w:t>
      </w:r>
    </w:p>
    <w:p w14:paraId="1C57A738">
      <w:pPr>
        <w:pStyle w:val="23"/>
        <w:spacing w:after="40" w:line="360" w:lineRule="auto"/>
        <w:jc w:val="both"/>
      </w:pPr>
      <w:r>
        <w:rPr>
          <w:rFonts w:ascii="Times New Roman" w:hAnsi="Times New Roman"/>
          <w:sz w:val="22"/>
        </w:rPr>
        <w:t>Selected findings: a small set of common chest X-ray findings suitable for student training. The candidate set is pneumothorax, pleural effusion, cardiomegaly, consolidation / airspace opacity, nodule or mass, and a no-finding category. The final subset is fixed by dataset label quality and availability.</w:t>
      </w:r>
    </w:p>
    <w:p w14:paraId="3523D966">
      <w:pPr>
        <w:pStyle w:val="23"/>
        <w:spacing w:after="40" w:line="360" w:lineRule="auto"/>
        <w:jc w:val="both"/>
      </w:pPr>
      <w:r>
        <w:rPr>
          <w:rFonts w:ascii="Times New Roman" w:hAnsi="Times New Roman"/>
          <w:sz w:val="22"/>
        </w:rPr>
        <w:t>Core workflow: the student-in-the-loop workflow in which a learner first records their own interpretation, then receives MedGemma-based image analysis and RAG-retrieved evidence, and finally an educational feedback note.</w:t>
      </w:r>
    </w:p>
    <w:p w14:paraId="126BC538">
      <w:pPr>
        <w:pStyle w:val="23"/>
        <w:spacing w:after="40" w:line="360" w:lineRule="auto"/>
        <w:jc w:val="both"/>
      </w:pPr>
      <w:r>
        <w:rPr>
          <w:rFonts w:ascii="Times New Roman" w:hAnsi="Times New Roman"/>
          <w:sz w:val="22"/>
        </w:rPr>
        <w:t>Platform: a prototype web application accessible via desktop browsers, using de-identified public CXR images only.</w:t>
      </w:r>
    </w:p>
    <w:p w14:paraId="236F91DE">
      <w:pPr>
        <w:pStyle w:val="23"/>
        <w:spacing w:after="40" w:line="360" w:lineRule="auto"/>
        <w:jc w:val="both"/>
      </w:pPr>
      <w:r>
        <w:rPr>
          <w:rFonts w:ascii="Times New Roman" w:hAnsi="Times New Roman"/>
          <w:sz w:val="22"/>
        </w:rPr>
        <w:t>Evaluation: a comparative evaluation of MedGemma only against MedGemma + RAG (and fine-tuned MedGemma + RAG if time allows), covering both technical performance and educational feedback quality.</w:t>
      </w:r>
    </w:p>
    <w:p w14:paraId="793A42AF">
      <w:pPr>
        <w:pStyle w:val="4"/>
        <w:keepNext/>
        <w:spacing w:before="200" w:after="120"/>
        <w:jc w:val="left"/>
      </w:pPr>
      <w:r>
        <w:rPr>
          <w:rFonts w:ascii="Times New Roman" w:hAnsi="Times New Roman"/>
          <w:b/>
          <w:color w:val="000000"/>
          <w:sz w:val="24"/>
        </w:rPr>
        <w:t>1.4.2 Out-of-Scope</w:t>
      </w:r>
    </w:p>
    <w:p w14:paraId="4F4B2C0B">
      <w:pPr>
        <w:pStyle w:val="23"/>
        <w:spacing w:after="40" w:line="360" w:lineRule="auto"/>
        <w:jc w:val="both"/>
      </w:pPr>
      <w:r>
        <w:rPr>
          <w:rFonts w:ascii="Times New Roman" w:hAnsi="Times New Roman"/>
          <w:sz w:val="22"/>
        </w:rPr>
        <w:t>Clinical diagnosis, treatment or patient-management decisions - excluded because the system is an educational tool, and clinical deployment is beyond the project's academic scope.</w:t>
      </w:r>
    </w:p>
    <w:p w14:paraId="62ACEE45">
      <w:pPr>
        <w:pStyle w:val="23"/>
        <w:spacing w:after="40" w:line="360" w:lineRule="auto"/>
        <w:jc w:val="both"/>
      </w:pPr>
      <w:r>
        <w:rPr>
          <w:rFonts w:ascii="Times New Roman" w:hAnsi="Times New Roman"/>
          <w:sz w:val="22"/>
        </w:rPr>
        <w:t>Use of real, identifiable patient data or live hospital images - excluded due to data-protection, ethical-approval and licensing constraints.</w:t>
      </w:r>
    </w:p>
    <w:p w14:paraId="44419DC5">
      <w:pPr>
        <w:pStyle w:val="23"/>
        <w:spacing w:after="40" w:line="360" w:lineRule="auto"/>
        <w:jc w:val="both"/>
      </w:pPr>
      <w:r>
        <w:rPr>
          <w:rFonts w:ascii="Times New Roman" w:hAnsi="Times New Roman"/>
          <w:sz w:val="22"/>
        </w:rPr>
        <w:t>Coverage of all thoracic diseases or all CXR abnormalities - excluded to keep the corpus, evaluation and timeline feasible for a final-year project.</w:t>
      </w:r>
    </w:p>
    <w:p w14:paraId="40DF36A7">
      <w:pPr>
        <w:pStyle w:val="23"/>
        <w:spacing w:after="40" w:line="360" w:lineRule="auto"/>
        <w:jc w:val="both"/>
      </w:pPr>
      <w:r>
        <w:rPr>
          <w:rFonts w:ascii="Times New Roman" w:hAnsi="Times New Roman"/>
          <w:sz w:val="22"/>
        </w:rPr>
        <w:t>A native mobile application - excluded due to time constraints; the prototype targets desktop browsers only.</w:t>
      </w:r>
    </w:p>
    <w:p w14:paraId="22666750">
      <w:pPr>
        <w:pStyle w:val="23"/>
        <w:spacing w:after="40" w:line="360" w:lineRule="auto"/>
        <w:jc w:val="both"/>
      </w:pPr>
      <w:r>
        <w:rPr>
          <w:rFonts w:ascii="Times New Roman" w:hAnsi="Times New Roman"/>
          <w:sz w:val="22"/>
        </w:rPr>
        <w:t>Integration with hospital information systems or PACS - excluded as outside the educational scope and not available within the project constraints.</w:t>
      </w:r>
    </w:p>
    <w:p w14:paraId="1599EC05">
      <w:pPr>
        <w:pStyle w:val="3"/>
        <w:keepNext/>
        <w:spacing w:before="280" w:after="160"/>
        <w:jc w:val="left"/>
      </w:pPr>
      <w:r>
        <w:rPr>
          <w:rFonts w:ascii="Times New Roman" w:hAnsi="Times New Roman"/>
          <w:b/>
          <w:color w:val="000000"/>
          <w:sz w:val="28"/>
        </w:rPr>
        <w:t>1.5 Structure of the Report</w:t>
      </w:r>
    </w:p>
    <w:p w14:paraId="066840CC">
      <w:pPr>
        <w:spacing w:before="0" w:after="120" w:line="360" w:lineRule="auto"/>
        <w:ind w:firstLine="720"/>
        <w:jc w:val="both"/>
      </w:pPr>
      <w:r>
        <w:rPr>
          <w:rFonts w:ascii="Times New Roman" w:hAnsi="Times New Roman"/>
          <w:sz w:val="22"/>
        </w:rPr>
        <w:t xml:space="preserve">The rest of this report is </w:t>
      </w:r>
      <w:r>
        <w:rPr>
          <w:sz w:val="22"/>
          <w:lang w:val="en-US"/>
        </w:rPr>
        <w:t>organized</w:t>
      </w:r>
      <w:r>
        <w:rPr>
          <w:rFonts w:ascii="Times New Roman" w:hAnsi="Times New Roman"/>
          <w:sz w:val="22"/>
        </w:rPr>
        <w:t xml:space="preserve"> as follows. Chapter 2 presents a critical review of related academic work, existing systems and the core concepts behind the project, and identifies the research gap. Chapter 3 describes the methodology used to develop the artefact, including the planning phase, the feasibility analysis, requirement gathering, the architectural and interface design, the implementation decisions and the testing strategy. Chapter 4 (the artefact chapter) and Chapter 5 (the conclusion) are delivered as separate companion documents to keep this volume focused on the planning and methodology. The report ends with the reference list.</w:t>
      </w:r>
    </w:p>
    <w:p w14:paraId="227E55F8">
      <w:pPr>
        <w:spacing w:before="0" w:after="120" w:line="360" w:lineRule="auto"/>
        <w:ind w:firstLine="720"/>
        <w:jc w:val="both"/>
      </w:pPr>
      <w:r>
        <w:rPr>
          <w:rFonts w:ascii="Times New Roman" w:hAnsi="Times New Roman"/>
          <w:sz w:val="22"/>
        </w:rPr>
        <w:t xml:space="preserve">Figure 1.1 </w:t>
      </w:r>
      <w:r>
        <w:rPr>
          <w:sz w:val="22"/>
          <w:lang w:val="en-US"/>
        </w:rPr>
        <w:t>summarizes</w:t>
      </w:r>
      <w:r>
        <w:rPr>
          <w:rFonts w:ascii="Times New Roman" w:hAnsi="Times New Roman"/>
          <w:sz w:val="22"/>
        </w:rPr>
        <w:t xml:space="preserve"> the chapter flow and the expected traceability between each chapter and the academic questions in Section 1.3.</w:t>
      </w:r>
    </w:p>
    <w:p w14:paraId="4C728E31">
      <w:pPr>
        <w:keepNext/>
        <w:spacing w:before="120" w:after="120"/>
        <w:jc w:val="center"/>
      </w:pPr>
      <w:r>
        <w:rPr>
          <w:rFonts w:ascii="Times New Roman" w:hAnsi="Times New Roman"/>
          <w:b/>
          <w:sz w:val="20"/>
        </w:rPr>
        <w:t xml:space="preserve">Figure 1.1: </w:t>
      </w:r>
      <w:r>
        <w:rPr>
          <w:rFonts w:ascii="Times New Roman" w:hAnsi="Times New Roman"/>
          <w:sz w:val="20"/>
        </w:rPr>
        <w:t>Structure of the report (chapter flow diagram).</w:t>
      </w:r>
    </w:p>
    <w:p w14:paraId="7283926C">
      <w:pPr>
        <w:spacing w:before="0" w:after="0"/>
        <w:jc w:val="center"/>
      </w:pPr>
      <w:r>
        <w:drawing>
          <wp:inline distT="0" distB="0" distL="114300" distR="114300">
            <wp:extent cx="5669280" cy="3098800"/>
            <wp:effectExtent l="0" t="0" r="0"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669280" cy="3099206"/>
                    </a:xfrm>
                    <a:prstGeom prst="rect">
                      <a:avLst/>
                    </a:prstGeom>
                  </pic:spPr>
                </pic:pic>
              </a:graphicData>
            </a:graphic>
          </wp:inline>
        </w:drawing>
      </w:r>
    </w:p>
    <w:p w14:paraId="79D816F9">
      <w:r>
        <w:br w:type="page"/>
      </w:r>
    </w:p>
    <w:p w14:paraId="768372A3">
      <w:pPr>
        <w:pStyle w:val="2"/>
        <w:keepNext/>
        <w:spacing w:before="360" w:after="240"/>
        <w:jc w:val="left"/>
      </w:pPr>
      <w:r>
        <w:rPr>
          <w:rFonts w:ascii="Times New Roman" w:hAnsi="Times New Roman"/>
          <w:b/>
          <w:color w:val="000000"/>
          <w:sz w:val="32"/>
        </w:rPr>
        <w:t>Chapter 02 - Literature Review</w:t>
      </w:r>
    </w:p>
    <w:p w14:paraId="06510D4D">
      <w:pPr>
        <w:pStyle w:val="3"/>
        <w:keepNext/>
        <w:spacing w:before="280" w:after="160"/>
        <w:jc w:val="left"/>
      </w:pPr>
      <w:r>
        <w:rPr>
          <w:rFonts w:ascii="Times New Roman" w:hAnsi="Times New Roman"/>
          <w:b/>
          <w:color w:val="000000"/>
          <w:sz w:val="28"/>
        </w:rPr>
        <w:t>2.1 Introduction</w:t>
      </w:r>
    </w:p>
    <w:p w14:paraId="4558C78F">
      <w:pPr>
        <w:spacing w:before="0" w:after="120" w:line="360" w:lineRule="auto"/>
        <w:ind w:firstLine="720"/>
        <w:jc w:val="both"/>
      </w:pPr>
      <w:r>
        <w:rPr>
          <w:rFonts w:ascii="Times New Roman" w:hAnsi="Times New Roman"/>
          <w:sz w:val="22"/>
        </w:rPr>
        <w:t xml:space="preserve">This chapter reviews existing academic work, models and systems relevant to AI-assisted chest X-ray interpretation and to Retrieval-Augmented Generation in healthcare. The purpose is to position the proposed training companion against what already exists, to identify the strengths and limitations of current approaches, and to set up the gap that this project addresses. The review draws on recent peer-reviewed articles, technical reports and preprints on medical vision-language models, RAG for </w:t>
      </w:r>
      <w:r>
        <w:rPr>
          <w:sz w:val="22"/>
          <w:lang w:val="en-US"/>
        </w:rPr>
        <w:t>bio medicine</w:t>
      </w:r>
      <w:r>
        <w:rPr>
          <w:rFonts w:ascii="Times New Roman" w:hAnsi="Times New Roman"/>
          <w:sz w:val="22"/>
        </w:rPr>
        <w:t>, and chest X-ray interpretation systems, supplemented by the public CXR datasets, the standard benchmarks and the existing e-learning platforms that the artefact has to interoperate with.</w:t>
      </w:r>
    </w:p>
    <w:p w14:paraId="31C14983">
      <w:pPr>
        <w:spacing w:before="0" w:after="120" w:line="360" w:lineRule="auto"/>
        <w:ind w:firstLine="720"/>
        <w:jc w:val="both"/>
      </w:pPr>
      <w:r>
        <w:rPr>
          <w:rFonts w:ascii="Times New Roman" w:hAnsi="Times New Roman"/>
          <w:sz w:val="22"/>
        </w:rPr>
        <w:t xml:space="preserve">Section 2.2 reviews the existing systems and similar work. It is </w:t>
      </w:r>
      <w:r>
        <w:rPr>
          <w:sz w:val="22"/>
          <w:lang w:val="en-US"/>
        </w:rPr>
        <w:t>organized</w:t>
      </w:r>
      <w:r>
        <w:rPr>
          <w:rFonts w:ascii="Times New Roman" w:hAnsi="Times New Roman"/>
          <w:sz w:val="22"/>
        </w:rPr>
        <w:t xml:space="preserve"> in seven thematic groups - CXR-specific vision-language models, general medical / biomedical VLMs, agentic and multi-agent systems, RAG frameworks, the public CXR datasets, the CXR benchmarks, and the existing e-learning platforms - and ends with a summary of the research gap and how the findings shape the artefact design.</w:t>
      </w:r>
    </w:p>
    <w:p w14:paraId="26600D6F">
      <w:pPr>
        <w:pStyle w:val="3"/>
        <w:keepNext/>
        <w:spacing w:before="280" w:after="160"/>
        <w:jc w:val="left"/>
      </w:pPr>
      <w:r>
        <w:rPr>
          <w:rFonts w:ascii="Times New Roman" w:hAnsi="Times New Roman"/>
          <w:b/>
          <w:color w:val="000000"/>
          <w:sz w:val="28"/>
        </w:rPr>
        <w:t>2.2 Similar Projects</w:t>
      </w:r>
    </w:p>
    <w:p w14:paraId="5CC5F201">
      <w:pPr>
        <w:spacing w:before="0" w:after="120" w:line="360" w:lineRule="auto"/>
        <w:ind w:firstLine="720"/>
        <w:jc w:val="both"/>
      </w:pPr>
      <w:r>
        <w:rPr>
          <w:rFonts w:ascii="Times New Roman" w:hAnsi="Times New Roman"/>
          <w:sz w:val="22"/>
        </w:rPr>
        <w:t>This section reviews the systems, datasets, benchmarks and e-learning platforms most relevant to the proposed training companion. The review is deliberately broad - more than 30 systems and resources are discussed - so that the gap addressed by the project is positioned against the full landscape rather than a single thread.</w:t>
      </w:r>
    </w:p>
    <w:p w14:paraId="387FD2B9">
      <w:pPr>
        <w:pStyle w:val="4"/>
        <w:keepNext/>
        <w:spacing w:before="200" w:after="120"/>
        <w:jc w:val="left"/>
      </w:pPr>
      <w:r>
        <w:rPr>
          <w:rFonts w:ascii="Times New Roman" w:hAnsi="Times New Roman"/>
          <w:b/>
          <w:color w:val="000000"/>
          <w:sz w:val="24"/>
        </w:rPr>
        <w:t>2.2.1 CXR-Specific Vision-Language Models</w:t>
      </w:r>
    </w:p>
    <w:p w14:paraId="2ABF2C20">
      <w:pPr>
        <w:spacing w:before="0" w:after="120" w:line="360" w:lineRule="auto"/>
        <w:jc w:val="both"/>
      </w:pPr>
      <w:r>
        <w:rPr>
          <w:rFonts w:ascii="Times New Roman" w:hAnsi="Times New Roman"/>
          <w:b w:val="0"/>
          <w:i w:val="0"/>
          <w:sz w:val="22"/>
        </w:rPr>
        <w:t>CXR-LLaVA (Lee et al., 2025).</w:t>
      </w:r>
    </w:p>
    <w:p w14:paraId="7E05E039">
      <w:pPr>
        <w:spacing w:before="0" w:after="160" w:line="360" w:lineRule="auto"/>
        <w:ind w:firstLine="340"/>
      </w:pPr>
      <w:r>
        <w:rPr>
          <w:rFonts w:ascii="Times New Roman" w:hAnsi="Times New Roman"/>
          <w:b w:val="0"/>
          <w:i w:val="0"/>
          <w:sz w:val="22"/>
        </w:rPr>
        <w:t>A multimodal LLM fine-tuned for chest X-ray interpretation that adapts a general vision-language assistant to radiology images and links them to explanatory text. Evaluation focuses on report-generation metrics (BLEU, CIDEr). It is designed for clinical reporting, not for student learning, and does not ground its explanations in retrievable teaching evidence.</w:t>
      </w:r>
    </w:p>
    <w:p w14:paraId="7E4AEEDF">
      <w:pPr>
        <w:spacing w:before="0" w:after="120" w:line="360" w:lineRule="auto"/>
        <w:jc w:val="both"/>
      </w:pPr>
      <w:r>
        <w:rPr>
          <w:rFonts w:ascii="Times New Roman" w:hAnsi="Times New Roman"/>
          <w:b w:val="0"/>
          <w:i w:val="0"/>
          <w:sz w:val="22"/>
        </w:rPr>
        <w:t>CheXagent (Chen et al., 2024).</w:t>
      </w:r>
    </w:p>
    <w:p w14:paraId="7BC62E8A">
      <w:pPr>
        <w:spacing w:before="0" w:after="160" w:line="360" w:lineRule="auto"/>
        <w:ind w:firstLine="340"/>
      </w:pPr>
      <w:r>
        <w:rPr>
          <w:rFonts w:ascii="Times New Roman" w:hAnsi="Times New Roman"/>
          <w:b w:val="0"/>
          <w:i w:val="0"/>
          <w:sz w:val="22"/>
        </w:rPr>
        <w:t xml:space="preserve">A foundation model for chest X-ray interpretation, trained on a large corpus of CXR-report pairs and </w:t>
      </w:r>
      <w:r>
        <w:rPr>
          <w:b w:val="0"/>
          <w:i w:val="0"/>
          <w:sz w:val="22"/>
          <w:lang w:val="en-US"/>
        </w:rPr>
        <w:t>bench-marked</w:t>
      </w:r>
      <w:r>
        <w:rPr>
          <w:rFonts w:ascii="Times New Roman" w:hAnsi="Times New Roman"/>
          <w:b w:val="0"/>
          <w:i w:val="0"/>
          <w:sz w:val="22"/>
        </w:rPr>
        <w:t xml:space="preserve"> against several standard CXR tasks. It is diagnostic in orientation and produces a report-style output rather than a structured learning note keyed to a student's attempt.</w:t>
      </w:r>
    </w:p>
    <w:p w14:paraId="29558CD5">
      <w:pPr>
        <w:spacing w:before="0" w:after="120" w:line="360" w:lineRule="auto"/>
        <w:jc w:val="both"/>
      </w:pPr>
      <w:r>
        <w:rPr>
          <w:rFonts w:ascii="Times New Roman" w:hAnsi="Times New Roman"/>
          <w:b w:val="0"/>
          <w:i w:val="0"/>
          <w:sz w:val="22"/>
        </w:rPr>
        <w:t>MedGemma (Sellergren et al., 2025).</w:t>
      </w:r>
    </w:p>
    <w:p w14:paraId="5ECC4167">
      <w:pPr>
        <w:spacing w:before="0" w:after="160" w:line="360" w:lineRule="auto"/>
        <w:ind w:firstLine="340"/>
      </w:pPr>
      <w:r>
        <w:rPr>
          <w:rFonts w:ascii="Times New Roman" w:hAnsi="Times New Roman"/>
          <w:b w:val="0"/>
          <w:i w:val="0"/>
          <w:sz w:val="22"/>
        </w:rPr>
        <w:t>A medical vision-language model released by Google Health AI Developer Foundations with competitive performance on a range of medical image and text tasks at a model size that runs on a single accelerator. It is a foundation model whose baseline behaviour is general, and adapting it to an educational workflow needs deliberate prompting, retrieval support and a clear feedback schema.</w:t>
      </w:r>
    </w:p>
    <w:p w14:paraId="269C22E1">
      <w:pPr>
        <w:spacing w:before="0" w:after="120" w:line="360" w:lineRule="auto"/>
        <w:jc w:val="both"/>
      </w:pPr>
      <w:r>
        <w:rPr>
          <w:rFonts w:ascii="Times New Roman" w:hAnsi="Times New Roman"/>
          <w:b w:val="0"/>
          <w:i w:val="0"/>
          <w:sz w:val="22"/>
        </w:rPr>
        <w:t>LLaVA-Med (Li et al., 2023).</w:t>
      </w:r>
    </w:p>
    <w:p w14:paraId="3F4A9A8B">
      <w:pPr>
        <w:spacing w:before="0" w:after="160" w:line="360" w:lineRule="auto"/>
        <w:ind w:firstLine="340"/>
      </w:pPr>
      <w:r>
        <w:rPr>
          <w:rFonts w:ascii="Times New Roman" w:hAnsi="Times New Roman"/>
          <w:b w:val="0"/>
          <w:i w:val="0"/>
          <w:sz w:val="22"/>
        </w:rPr>
        <w:t xml:space="preserve">Extends a general-purpose assistant to the biomedical domain efficiently through a one-day instruction-tuning process over a curated biomedical instruction dataset. It is broad rather than </w:t>
      </w:r>
      <w:r>
        <w:rPr>
          <w:b w:val="0"/>
          <w:i w:val="0"/>
          <w:sz w:val="22"/>
          <w:lang w:val="en-US"/>
        </w:rPr>
        <w:t>specialized</w:t>
      </w:r>
      <w:r>
        <w:rPr>
          <w:rFonts w:ascii="Times New Roman" w:hAnsi="Times New Roman"/>
          <w:b w:val="0"/>
          <w:i w:val="0"/>
          <w:sz w:val="22"/>
        </w:rPr>
        <w:t xml:space="preserve"> for CXR education, and the output is free-form question answering rather than structured educational feedback.</w:t>
      </w:r>
    </w:p>
    <w:p w14:paraId="23A692FC">
      <w:pPr>
        <w:spacing w:before="0" w:after="120" w:line="360" w:lineRule="auto"/>
        <w:jc w:val="both"/>
      </w:pPr>
      <w:r>
        <w:rPr>
          <w:rFonts w:ascii="Times New Roman" w:hAnsi="Times New Roman"/>
          <w:b w:val="0"/>
          <w:i w:val="0"/>
          <w:sz w:val="22"/>
        </w:rPr>
        <w:t>LLaVA-Rad (Zambrano Chaves et al., 2025).</w:t>
      </w:r>
    </w:p>
    <w:p w14:paraId="012FDD3F">
      <w:pPr>
        <w:spacing w:before="0" w:after="160" w:line="360" w:lineRule="auto"/>
        <w:ind w:firstLine="340"/>
      </w:pPr>
      <w:r>
        <w:rPr>
          <w:rFonts w:ascii="Times New Roman" w:hAnsi="Times New Roman"/>
          <w:b w:val="0"/>
          <w:i w:val="0"/>
          <w:sz w:val="22"/>
        </w:rPr>
        <w:t xml:space="preserve">A small </w:t>
      </w:r>
      <w:r>
        <w:rPr>
          <w:b w:val="0"/>
          <w:i w:val="0"/>
          <w:sz w:val="22"/>
          <w:lang w:val="en-US"/>
        </w:rPr>
        <w:t>multi-modal</w:t>
      </w:r>
      <w:r>
        <w:rPr>
          <w:rFonts w:ascii="Times New Roman" w:hAnsi="Times New Roman"/>
          <w:b w:val="0"/>
          <w:i w:val="0"/>
          <w:sz w:val="22"/>
        </w:rPr>
        <w:t xml:space="preserve"> radiology model with a clinically grounded evaluation metric, showing that small VLMs can be competitive on standard CXR tasks when paired with task-specific evaluation. It focuses on clinical grounding, not on educational feedback design.</w:t>
      </w:r>
    </w:p>
    <w:p w14:paraId="440A6270">
      <w:pPr>
        <w:pStyle w:val="4"/>
        <w:keepNext/>
        <w:spacing w:before="200" w:after="120"/>
        <w:jc w:val="left"/>
      </w:pPr>
      <w:r>
        <w:rPr>
          <w:rFonts w:ascii="Times New Roman" w:hAnsi="Times New Roman"/>
          <w:b/>
          <w:color w:val="000000"/>
          <w:sz w:val="24"/>
        </w:rPr>
        <w:t>2.2.2 General Medical and Biomedical VLMs and Adjacent Models</w:t>
      </w:r>
    </w:p>
    <w:p w14:paraId="70F0EA87">
      <w:pPr>
        <w:spacing w:before="0" w:after="120" w:line="360" w:lineRule="auto"/>
        <w:jc w:val="both"/>
      </w:pPr>
      <w:r>
        <w:rPr>
          <w:rFonts w:ascii="Times New Roman" w:hAnsi="Times New Roman"/>
          <w:b w:val="0"/>
          <w:i w:val="0"/>
          <w:sz w:val="22"/>
        </w:rPr>
        <w:t>LLaVA-Med as a general biomedical multimodal assistant (Li et al., 2023).</w:t>
      </w:r>
    </w:p>
    <w:p w14:paraId="2374EABC">
      <w:pPr>
        <w:spacing w:before="0" w:after="160" w:line="360" w:lineRule="auto"/>
        <w:ind w:firstLine="340"/>
      </w:pPr>
      <w:r>
        <w:rPr>
          <w:rFonts w:ascii="Times New Roman" w:hAnsi="Times New Roman"/>
          <w:b w:val="0"/>
          <w:i w:val="0"/>
          <w:sz w:val="22"/>
        </w:rPr>
        <w:t xml:space="preserve">A one-day instruction-tuning process over a curated biomedical instruction </w:t>
      </w:r>
      <w:r>
        <w:rPr>
          <w:b w:val="0"/>
          <w:i w:val="0"/>
          <w:sz w:val="22"/>
          <w:lang w:val="en-US"/>
        </w:rPr>
        <w:t>datasets</w:t>
      </w:r>
      <w:r>
        <w:rPr>
          <w:rFonts w:ascii="Times New Roman" w:hAnsi="Times New Roman"/>
          <w:b w:val="0"/>
          <w:i w:val="0"/>
          <w:sz w:val="22"/>
        </w:rPr>
        <w:t xml:space="preserve"> adapts a general-purpose assistant to the biomedical domain. The </w:t>
      </w:r>
      <w:r>
        <w:rPr>
          <w:b w:val="0"/>
          <w:i w:val="0"/>
          <w:sz w:val="22"/>
          <w:lang w:val="en-US"/>
        </w:rPr>
        <w:t>multi-modal</w:t>
      </w:r>
      <w:r>
        <w:rPr>
          <w:rFonts w:ascii="Times New Roman" w:hAnsi="Times New Roman"/>
          <w:b w:val="0"/>
          <w:i w:val="0"/>
          <w:sz w:val="22"/>
        </w:rPr>
        <w:t xml:space="preserve"> coverage is wider than a single CXR student companion needs, and the output is free-form question answering rather than structured educational feedback.</w:t>
      </w:r>
    </w:p>
    <w:p w14:paraId="190F2FBD">
      <w:pPr>
        <w:spacing w:before="0" w:after="120" w:line="360" w:lineRule="auto"/>
        <w:jc w:val="both"/>
      </w:pPr>
      <w:r>
        <w:rPr>
          <w:rFonts w:ascii="Times New Roman" w:hAnsi="Times New Roman"/>
          <w:b w:val="0"/>
          <w:i w:val="0"/>
          <w:sz w:val="22"/>
        </w:rPr>
        <w:t>MedGemma as a multimodal medical VLM (Sellergren et al., 2025).</w:t>
      </w:r>
    </w:p>
    <w:p w14:paraId="53824BA5">
      <w:pPr>
        <w:spacing w:before="0" w:after="160" w:line="360" w:lineRule="auto"/>
        <w:ind w:firstLine="340"/>
      </w:pPr>
      <w:r>
        <w:rPr>
          <w:rFonts w:ascii="Times New Roman" w:hAnsi="Times New Roman"/>
          <w:b w:val="0"/>
          <w:i w:val="0"/>
          <w:sz w:val="22"/>
        </w:rPr>
        <w:t>A medical vision-language model released by Google Health AI Developer Foundations. It is intended as a foundation model; adapting it to a particular educational workflow needs deliberate prompting, retrieval support and a clear feedback schema.</w:t>
      </w:r>
    </w:p>
    <w:p w14:paraId="1B6C5013">
      <w:pPr>
        <w:spacing w:before="0" w:after="120" w:line="360" w:lineRule="auto"/>
        <w:jc w:val="both"/>
      </w:pPr>
      <w:r>
        <w:rPr>
          <w:rFonts w:ascii="Times New Roman" w:hAnsi="Times New Roman"/>
          <w:b w:val="0"/>
          <w:i w:val="0"/>
          <w:sz w:val="22"/>
        </w:rPr>
        <w:t>Explainable foundation models for medical diagnosis (Lin et al., 2025).</w:t>
      </w:r>
    </w:p>
    <w:p w14:paraId="694CDD8F">
      <w:pPr>
        <w:spacing w:before="0" w:after="160" w:line="360" w:lineRule="auto"/>
        <w:ind w:firstLine="340"/>
      </w:pPr>
      <w:r>
        <w:rPr>
          <w:rFonts w:ascii="Times New Roman" w:hAnsi="Times New Roman"/>
          <w:b w:val="0"/>
          <w:i w:val="0"/>
          <w:sz w:val="22"/>
        </w:rPr>
        <w:t>A foundation model with human-compatible reasoning via reinforcement learning, with clinical explainability as an explicit design goal. Clinical explainability is a useful direction but the model is large and the training setup is not feasible in a free-tier notebook.</w:t>
      </w:r>
    </w:p>
    <w:p w14:paraId="37992E90">
      <w:pPr>
        <w:pStyle w:val="4"/>
        <w:keepNext/>
        <w:spacing w:before="200" w:after="120"/>
        <w:jc w:val="left"/>
      </w:pPr>
      <w:r>
        <w:rPr>
          <w:rFonts w:ascii="Times New Roman" w:hAnsi="Times New Roman"/>
          <w:b/>
          <w:color w:val="000000"/>
          <w:sz w:val="24"/>
        </w:rPr>
        <w:t>2.2.3 Agentic and Multi-Agent CXR / Imaging Systems</w:t>
      </w:r>
    </w:p>
    <w:p w14:paraId="4A08822D">
      <w:pPr>
        <w:spacing w:before="0" w:after="120" w:line="360" w:lineRule="auto"/>
        <w:jc w:val="both"/>
      </w:pPr>
      <w:r>
        <w:rPr>
          <w:rFonts w:ascii="Times New Roman" w:hAnsi="Times New Roman"/>
          <w:b w:val="0"/>
          <w:i w:val="0"/>
          <w:sz w:val="22"/>
        </w:rPr>
        <w:t>CXRAgent (Lou et al., 2025).</w:t>
      </w:r>
    </w:p>
    <w:p w14:paraId="38F883A5">
      <w:pPr>
        <w:spacing w:before="0" w:after="160" w:line="360" w:lineRule="auto"/>
        <w:ind w:firstLine="340"/>
      </w:pPr>
      <w:r>
        <w:rPr>
          <w:rFonts w:ascii="Times New Roman" w:hAnsi="Times New Roman"/>
          <w:b w:val="0"/>
          <w:i w:val="0"/>
          <w:sz w:val="22"/>
        </w:rPr>
        <w:t>A director-orchestrated multi-stage reasoning system for chest X-ray interpretation that coordinates a director model with several specialist stages to produce a structured CXR report. The orchestration complexity is hard to justify in an undergraduate prototype and the system is not framed for student feedback.</w:t>
      </w:r>
    </w:p>
    <w:p w14:paraId="08D236AB">
      <w:pPr>
        <w:spacing w:before="0" w:after="120" w:line="360" w:lineRule="auto"/>
        <w:jc w:val="both"/>
      </w:pPr>
      <w:r>
        <w:rPr>
          <w:rFonts w:ascii="Times New Roman" w:hAnsi="Times New Roman"/>
          <w:b w:val="0"/>
          <w:i w:val="0"/>
          <w:sz w:val="22"/>
        </w:rPr>
        <w:t>MedRAX.</w:t>
      </w:r>
    </w:p>
    <w:p w14:paraId="39DE4F02">
      <w:pPr>
        <w:spacing w:before="0" w:after="160" w:line="360" w:lineRule="auto"/>
        <w:ind w:firstLine="340"/>
      </w:pPr>
      <w:r>
        <w:rPr>
          <w:rFonts w:ascii="Times New Roman" w:hAnsi="Times New Roman"/>
          <w:b w:val="0"/>
          <w:i w:val="0"/>
          <w:sz w:val="22"/>
        </w:rPr>
        <w:t>An agentic CXR analysis system that uses tools to perform retrieval, classification and grounding in a single workflow. It is a tool-use architecture aimed at clinical decision support, not learning-oriented, and the runtime cost is high.</w:t>
      </w:r>
    </w:p>
    <w:p w14:paraId="277D6EB8">
      <w:pPr>
        <w:spacing w:before="0" w:after="120" w:line="360" w:lineRule="auto"/>
        <w:jc w:val="both"/>
      </w:pPr>
      <w:r>
        <w:rPr>
          <w:rFonts w:ascii="Times New Roman" w:hAnsi="Times New Roman"/>
          <w:b w:val="0"/>
          <w:i w:val="0"/>
          <w:sz w:val="22"/>
        </w:rPr>
        <w:t>Multi-agent RAG for clinical decision support (Mugambiwa and Ndlovu, 2026).</w:t>
      </w:r>
    </w:p>
    <w:p w14:paraId="262B2FF4">
      <w:pPr>
        <w:spacing w:before="0" w:after="160" w:line="360" w:lineRule="auto"/>
        <w:ind w:firstLine="340"/>
      </w:pPr>
      <w:r>
        <w:rPr>
          <w:rFonts w:ascii="Times New Roman" w:hAnsi="Times New Roman"/>
          <w:b w:val="0"/>
          <w:i w:val="0"/>
          <w:sz w:val="22"/>
        </w:rPr>
        <w:t>A systematic review and integrative framework for multi-agent RAG systems in clinical decision support. Useful as conceptual background but does not by itself provide a student-facing feedback loop.</w:t>
      </w:r>
    </w:p>
    <w:p w14:paraId="23AA6674">
      <w:pPr>
        <w:spacing w:before="0" w:after="120" w:line="360" w:lineRule="auto"/>
        <w:jc w:val="both"/>
      </w:pPr>
      <w:r>
        <w:rPr>
          <w:rFonts w:ascii="Times New Roman" w:hAnsi="Times New Roman"/>
          <w:b w:val="0"/>
          <w:i w:val="0"/>
          <w:sz w:val="22"/>
        </w:rPr>
        <w:t>ACR Appropriateness multi-agent RAG (Pambudi and Menolascina, 2025).</w:t>
      </w:r>
    </w:p>
    <w:p w14:paraId="68796768">
      <w:pPr>
        <w:spacing w:before="0" w:after="160" w:line="360" w:lineRule="auto"/>
        <w:ind w:firstLine="340"/>
      </w:pPr>
      <w:r>
        <w:rPr>
          <w:rFonts w:ascii="Times New Roman" w:hAnsi="Times New Roman"/>
          <w:b w:val="0"/>
          <w:i w:val="0"/>
          <w:sz w:val="22"/>
        </w:rPr>
        <w:t>A multi-agent RAG system that bridges clinical narratives and ACR Appropriateness Guidelines to support medical imaging decisions. It is clinical-decision-support focused, and the retrieval is over clinical appropriateness criteria rather than teaching material.</w:t>
      </w:r>
    </w:p>
    <w:p w14:paraId="0E6FC74D">
      <w:pPr>
        <w:spacing w:before="0" w:after="120" w:line="360" w:lineRule="auto"/>
        <w:jc w:val="both"/>
      </w:pPr>
      <w:r>
        <w:rPr>
          <w:rFonts w:ascii="Times New Roman" w:hAnsi="Times New Roman"/>
          <w:b w:val="0"/>
          <w:i w:val="0"/>
          <w:sz w:val="22"/>
        </w:rPr>
        <w:t>LLM for DRG and clinical decision support (Papageorgiou et al., 2025).</w:t>
      </w:r>
    </w:p>
    <w:p w14:paraId="6B22E03D">
      <w:pPr>
        <w:spacing w:before="0" w:after="160" w:line="360" w:lineRule="auto"/>
        <w:ind w:firstLine="340"/>
      </w:pPr>
      <w:r>
        <w:rPr>
          <w:rFonts w:ascii="Times New Roman" w:hAnsi="Times New Roman"/>
          <w:b w:val="0"/>
          <w:i w:val="0"/>
          <w:sz w:val="22"/>
        </w:rPr>
        <w:t>A study of the role of large language models in improving diagnostic-related groups (DRG) assignment and clinical decision support in radiology and nuclear medicine. It shows the breadth of clinical AI but is operational / administrative and does not address student feedback.</w:t>
      </w:r>
    </w:p>
    <w:p w14:paraId="49A49CAE">
      <w:pPr>
        <w:pStyle w:val="4"/>
        <w:keepNext/>
        <w:spacing w:before="200" w:after="120"/>
        <w:jc w:val="left"/>
      </w:pPr>
      <w:r>
        <w:rPr>
          <w:rFonts w:ascii="Times New Roman" w:hAnsi="Times New Roman"/>
          <w:b/>
          <w:color w:val="000000"/>
          <w:sz w:val="24"/>
        </w:rPr>
        <w:t>2.2.4 RAG Frameworks in Healthcare and Biomedicine</w:t>
      </w:r>
    </w:p>
    <w:p w14:paraId="50EF4596">
      <w:pPr>
        <w:spacing w:before="0" w:after="120" w:line="360" w:lineRule="auto"/>
        <w:jc w:val="both"/>
      </w:pPr>
      <w:r>
        <w:rPr>
          <w:rFonts w:ascii="Times New Roman" w:hAnsi="Times New Roman"/>
          <w:b w:val="0"/>
          <w:i w:val="0"/>
          <w:sz w:val="22"/>
        </w:rPr>
        <w:t>Abo El-Enen, Saad and Nazmy (2025) - RAG in healthcare survey.</w:t>
      </w:r>
    </w:p>
    <w:p w14:paraId="1E3C2C16">
      <w:pPr>
        <w:spacing w:before="0" w:after="160" w:line="360" w:lineRule="auto"/>
        <w:ind w:firstLine="340"/>
      </w:pPr>
      <w:r>
        <w:rPr>
          <w:rFonts w:ascii="Times New Roman" w:hAnsi="Times New Roman"/>
          <w:b w:val="0"/>
          <w:i w:val="0"/>
          <w:sz w:val="22"/>
        </w:rPr>
        <w:t>A survey of RAG models for healthcare applications covering architectures, datasets, evaluation and open challenges. It identifies retrieval quality and corpus curation as decisive factors but does not provide a CXR-specific implementation.</w:t>
      </w:r>
    </w:p>
    <w:p w14:paraId="7ABFEF5D">
      <w:pPr>
        <w:spacing w:before="0" w:after="120" w:line="360" w:lineRule="auto"/>
        <w:jc w:val="both"/>
      </w:pPr>
      <w:r>
        <w:rPr>
          <w:rFonts w:ascii="Times New Roman" w:hAnsi="Times New Roman"/>
          <w:b w:val="0"/>
          <w:i w:val="0"/>
          <w:sz w:val="22"/>
        </w:rPr>
        <w:t>Amugongo et al. (2025) - RAG systematic review for LLMs in healthcare.</w:t>
      </w:r>
    </w:p>
    <w:p w14:paraId="227637A6">
      <w:pPr>
        <w:spacing w:before="0" w:after="160" w:line="360" w:lineRule="auto"/>
        <w:ind w:firstLine="340"/>
      </w:pPr>
      <w:r>
        <w:rPr>
          <w:rFonts w:ascii="Times New Roman" w:hAnsi="Times New Roman"/>
          <w:b w:val="0"/>
          <w:i w:val="0"/>
          <w:sz w:val="22"/>
        </w:rPr>
        <w:t>A PLOS Digital Health systematic review of retrieval-augmented generation for LLMs in healthcare, summarising evidence on grounding and reduced hallucination. The evidence base is still thin on education-specific outcomes.</w:t>
      </w:r>
    </w:p>
    <w:p w14:paraId="7ACEAF1C">
      <w:pPr>
        <w:spacing w:before="0" w:after="120" w:line="360" w:lineRule="auto"/>
        <w:jc w:val="both"/>
      </w:pPr>
      <w:r>
        <w:rPr>
          <w:rFonts w:ascii="Times New Roman" w:hAnsi="Times New Roman"/>
          <w:b w:val="0"/>
          <w:i w:val="0"/>
          <w:sz w:val="22"/>
        </w:rPr>
        <w:t>Liu, McCoy and Wright (2025) - RAG in biomedicine.</w:t>
      </w:r>
    </w:p>
    <w:p w14:paraId="50808C3A">
      <w:pPr>
        <w:spacing w:before="0" w:after="160" w:line="360" w:lineRule="auto"/>
        <w:ind w:firstLine="340"/>
      </w:pPr>
      <w:r>
        <w:rPr>
          <w:rFonts w:ascii="Times New Roman" w:hAnsi="Times New Roman"/>
          <w:b w:val="0"/>
          <w:i w:val="0"/>
          <w:sz w:val="22"/>
        </w:rPr>
        <w:t>A JAMIA systematic review, meta-analysis and clinical development guidelines for RAG in biomedical LLM applications, with practical guidance for clinical development. The 'clinical development guidelines' emphasis assumes deployment in a regulated environment, which is out of scope here.</w:t>
      </w:r>
    </w:p>
    <w:p w14:paraId="4282406D">
      <w:pPr>
        <w:spacing w:before="0" w:after="120" w:line="360" w:lineRule="auto"/>
        <w:jc w:val="both"/>
      </w:pPr>
      <w:r>
        <w:rPr>
          <w:rFonts w:ascii="Times New Roman" w:hAnsi="Times New Roman"/>
          <w:b w:val="0"/>
          <w:i w:val="0"/>
          <w:sz w:val="22"/>
        </w:rPr>
        <w:t>Collaco et al. (2026) - fine-tuning and RAG scoping review.</w:t>
      </w:r>
    </w:p>
    <w:p w14:paraId="0DF6EA6F">
      <w:pPr>
        <w:spacing w:before="0" w:after="160" w:line="360" w:lineRule="auto"/>
        <w:ind w:firstLine="340"/>
      </w:pPr>
      <w:r>
        <w:rPr>
          <w:rFonts w:ascii="Times New Roman" w:hAnsi="Times New Roman"/>
          <w:b w:val="0"/>
          <w:i w:val="0"/>
          <w:sz w:val="22"/>
        </w:rPr>
        <w:t>A Bioengineering scoping review of how PEFT / fine-tuning and RAG can be integrated in healthcare AI systems. Useful to position the future fine-tuning step of this project.</w:t>
      </w:r>
    </w:p>
    <w:p w14:paraId="1C881FD8">
      <w:pPr>
        <w:spacing w:before="0" w:after="120" w:line="360" w:lineRule="auto"/>
        <w:jc w:val="both"/>
      </w:pPr>
      <w:r>
        <w:rPr>
          <w:rFonts w:ascii="Times New Roman" w:hAnsi="Times New Roman"/>
          <w:b w:val="0"/>
          <w:i w:val="0"/>
          <w:sz w:val="22"/>
        </w:rPr>
        <w:t>Lin et al. (2025) - explainable foundation model for medical diagnosis.</w:t>
      </w:r>
    </w:p>
    <w:p w14:paraId="6E6BBB95">
      <w:pPr>
        <w:spacing w:before="0" w:after="160" w:line="360" w:lineRule="auto"/>
        <w:ind w:firstLine="340"/>
      </w:pPr>
      <w:r>
        <w:rPr>
          <w:rFonts w:ascii="Times New Roman" w:hAnsi="Times New Roman"/>
          <w:b w:val="0"/>
          <w:i w:val="0"/>
          <w:sz w:val="22"/>
        </w:rPr>
        <w:t>A foundation model with human-compatible reasoning via reinforcement learning. Clinical explainability is a useful direction but the model is large and the training setup is not feasible in a free-tier notebook.</w:t>
      </w:r>
    </w:p>
    <w:p w14:paraId="578FB79A">
      <w:pPr>
        <w:pStyle w:val="4"/>
        <w:keepNext/>
        <w:spacing w:before="200" w:after="120"/>
        <w:jc w:val="left"/>
      </w:pPr>
      <w:r>
        <w:rPr>
          <w:rFonts w:ascii="Times New Roman" w:hAnsi="Times New Roman"/>
          <w:b/>
          <w:color w:val="000000"/>
          <w:sz w:val="24"/>
        </w:rPr>
        <w:t>2.2.5 Public CXR Datasets</w:t>
      </w:r>
    </w:p>
    <w:p w14:paraId="39B97759">
      <w:pPr>
        <w:spacing w:before="0" w:after="120" w:line="360" w:lineRule="auto"/>
        <w:jc w:val="both"/>
      </w:pPr>
      <w:r>
        <w:rPr>
          <w:rFonts w:ascii="Times New Roman" w:hAnsi="Times New Roman"/>
          <w:b w:val="0"/>
          <w:i w:val="0"/>
          <w:sz w:val="22"/>
        </w:rPr>
        <w:t>NIH ChestX-ray8 (Wang et al., 2017).</w:t>
      </w:r>
    </w:p>
    <w:p w14:paraId="48726031">
      <w:pPr>
        <w:spacing w:before="0" w:after="160" w:line="360" w:lineRule="auto"/>
        <w:ind w:firstLine="340"/>
      </w:pPr>
      <w:r>
        <w:rPr>
          <w:rFonts w:ascii="Times New Roman" w:hAnsi="Times New Roman"/>
          <w:b w:val="0"/>
          <w:i w:val="0"/>
          <w:sz w:val="22"/>
        </w:rPr>
        <w:t>112,120 frontal-view CXR images from 30,805 unique patients, with 14 pathology labels mined from associated radiology reports by an NLP pipeline. The de-facto Phase 1 corpus for this project; labels are noisy, with multi-label accuracy against radiologist adjudication in the 70-90% range depending on the label.</w:t>
      </w:r>
    </w:p>
    <w:p w14:paraId="111184CA">
      <w:pPr>
        <w:spacing w:before="0" w:after="120" w:line="360" w:lineRule="auto"/>
        <w:jc w:val="both"/>
      </w:pPr>
      <w:r>
        <w:rPr>
          <w:rFonts w:ascii="Times New Roman" w:hAnsi="Times New Roman"/>
          <w:b w:val="0"/>
          <w:i w:val="0"/>
          <w:sz w:val="22"/>
        </w:rPr>
        <w:t>MIMIC-CXR (Johnson et al., 2019).</w:t>
      </w:r>
    </w:p>
    <w:p w14:paraId="397C8ADA">
      <w:pPr>
        <w:spacing w:before="0" w:after="160" w:line="360" w:lineRule="auto"/>
        <w:ind w:firstLine="340"/>
      </w:pPr>
      <w:r>
        <w:rPr>
          <w:rFonts w:ascii="Times New Roman" w:hAnsi="Times New Roman"/>
          <w:b w:val="0"/>
          <w:i w:val="0"/>
          <w:sz w:val="22"/>
        </w:rPr>
        <w:t>A large de-identified database of chest radiographs paired with free-text reports. The Phase 1.5 fallback; requires PhysioNet credentialing, and reports are richer but not designed for educational use.</w:t>
      </w:r>
    </w:p>
    <w:p w14:paraId="65CB2886">
      <w:pPr>
        <w:spacing w:before="0" w:after="120" w:line="360" w:lineRule="auto"/>
        <w:jc w:val="both"/>
      </w:pPr>
      <w:r>
        <w:rPr>
          <w:rFonts w:ascii="Times New Roman" w:hAnsi="Times New Roman"/>
          <w:b w:val="0"/>
          <w:i w:val="0"/>
          <w:sz w:val="22"/>
        </w:rPr>
        <w:t>MIMIC-CXR-JPG.</w:t>
      </w:r>
    </w:p>
    <w:p w14:paraId="68A8D7A2">
      <w:pPr>
        <w:spacing w:before="0" w:after="160" w:line="360" w:lineRule="auto"/>
        <w:ind w:firstLine="340"/>
      </w:pPr>
      <w:r>
        <w:rPr>
          <w:rFonts w:ascii="Times New Roman" w:hAnsi="Times New Roman"/>
          <w:b w:val="0"/>
          <w:i w:val="0"/>
          <w:sz w:val="22"/>
        </w:rPr>
        <w:t>A JPG-derivative of MIMIC-CXR with pre-extracted image metadata, released to make the corpus easier to consume at scale. Same credentialing requirements as MIMIC-CXR; considered for Phase 1.5.</w:t>
      </w:r>
    </w:p>
    <w:p w14:paraId="208BA5CC">
      <w:pPr>
        <w:spacing w:before="0" w:after="120" w:line="360" w:lineRule="auto"/>
        <w:jc w:val="both"/>
      </w:pPr>
      <w:r>
        <w:rPr>
          <w:rFonts w:ascii="Times New Roman" w:hAnsi="Times New Roman"/>
          <w:b w:val="0"/>
          <w:i w:val="0"/>
          <w:sz w:val="22"/>
        </w:rPr>
        <w:t>Additional large CXR corpora (CheXpert, Padchest, VinDr-CXR).</w:t>
      </w:r>
    </w:p>
    <w:p w14:paraId="2BE04668">
      <w:pPr>
        <w:spacing w:before="0" w:after="160" w:line="360" w:lineRule="auto"/>
        <w:ind w:firstLine="340"/>
      </w:pPr>
      <w:r>
        <w:rPr>
          <w:rFonts w:ascii="Times New Roman" w:hAnsi="Times New Roman"/>
          <w:b w:val="0"/>
          <w:i w:val="0"/>
          <w:sz w:val="22"/>
        </w:rPr>
        <w:t>CheXpert adds uncertainty labels for 14 observations; Padchest is a large Spanish CXR dataset with structured labels and free-text reports; VinDr-CXR provides bounding-box labels for 28 findings. Each is larger or more specialised than NIH ChestX-ray8 but has label structures that are not the focus of Phase 1; all are candidates for the Phase 1.5 corpus swap.</w:t>
      </w:r>
    </w:p>
    <w:p w14:paraId="26E81B7E">
      <w:pPr>
        <w:spacing w:before="0" w:after="120" w:line="360" w:lineRule="auto"/>
        <w:jc w:val="both"/>
      </w:pPr>
      <w:r>
        <w:rPr>
          <w:rFonts w:ascii="Times New Roman" w:hAnsi="Times New Roman"/>
          <w:b w:val="0"/>
          <w:i w:val="0"/>
          <w:sz w:val="22"/>
        </w:rPr>
        <w:t>Specialised CXR corpora (RSNA Pneumonia, Open-i, TBX11k, SIIM-ACR PTX).</w:t>
      </w:r>
    </w:p>
    <w:p w14:paraId="6D8153B3">
      <w:pPr>
        <w:spacing w:before="0" w:after="160" w:line="360" w:lineRule="auto"/>
        <w:ind w:firstLine="340"/>
      </w:pPr>
      <w:r>
        <w:rPr>
          <w:rFonts w:ascii="Times New Roman" w:hAnsi="Times New Roman"/>
          <w:b w:val="0"/>
          <w:i w:val="0"/>
          <w:sz w:val="22"/>
        </w:rPr>
        <w:t>A radiologist-labelled subset of NIH ChestX-ray8 used for the 2018 RSNA challenge (RSNA Pneumonia); an open-access corpus of around 7,000 CXR images from the Indiana University hospital network (Open-i); a tuberculosis-specific dataset of around 11,000 images (TBX11k); and a pneumothorax-specific subset of NIH ChestX-ray8 with segmentation masks from the 2019 SIIM-ACR challenge. Each is single-finding or otherwise narrowly scoped, so they are useful as additional evaluation material or for follow-up work but not as the primary training source for a multi-finding training companion.</w:t>
      </w:r>
    </w:p>
    <w:p w14:paraId="26DDEE7C">
      <w:pPr>
        <w:pStyle w:val="4"/>
        <w:keepNext/>
        <w:spacing w:before="200" w:after="120"/>
        <w:jc w:val="left"/>
      </w:pPr>
      <w:r>
        <w:rPr>
          <w:rFonts w:ascii="Times New Roman" w:hAnsi="Times New Roman"/>
          <w:b/>
          <w:color w:val="000000"/>
          <w:sz w:val="24"/>
        </w:rPr>
        <w:t>2.2.6 CXR Benchmarks and Evaluation Frameworks</w:t>
      </w:r>
    </w:p>
    <w:p w14:paraId="18DA86A3">
      <w:pPr>
        <w:spacing w:before="0" w:after="120" w:line="360" w:lineRule="auto"/>
        <w:jc w:val="both"/>
      </w:pPr>
      <w:r>
        <w:rPr>
          <w:rFonts w:ascii="Times New Roman" w:hAnsi="Times New Roman"/>
          <w:b w:val="0"/>
          <w:i w:val="0"/>
          <w:sz w:val="22"/>
        </w:rPr>
        <w:t>ReXVQA (Pal et al., 2025).</w:t>
      </w:r>
    </w:p>
    <w:p w14:paraId="2744E226">
      <w:pPr>
        <w:spacing w:before="0" w:after="160" w:line="360" w:lineRule="auto"/>
        <w:ind w:firstLine="340"/>
      </w:pPr>
      <w:r>
        <w:rPr>
          <w:rFonts w:ascii="Times New Roman" w:hAnsi="Times New Roman"/>
          <w:b w:val="0"/>
          <w:i w:val="0"/>
          <w:sz w:val="22"/>
        </w:rPr>
        <w:t>A large-scale visual-question-answering benchmark for generalist chest X-ray understanding. It is a benchmark, not a training system, and the QA-style evaluation does not measure the educational quality of free-text feedback.</w:t>
      </w:r>
    </w:p>
    <w:p w14:paraId="1C5D60FC">
      <w:pPr>
        <w:spacing w:before="0" w:after="120" w:line="360" w:lineRule="auto"/>
        <w:jc w:val="both"/>
      </w:pPr>
      <w:r>
        <w:rPr>
          <w:rFonts w:ascii="Times New Roman" w:hAnsi="Times New Roman"/>
          <w:b w:val="0"/>
          <w:i w:val="0"/>
          <w:sz w:val="22"/>
        </w:rPr>
        <w:t>Pathology localisation benchmark (Gosai et al., 2025).</w:t>
      </w:r>
    </w:p>
    <w:p w14:paraId="403B66E1">
      <w:pPr>
        <w:spacing w:before="0" w:after="160" w:line="360" w:lineRule="auto"/>
        <w:ind w:firstLine="340"/>
      </w:pPr>
      <w:r>
        <w:rPr>
          <w:rFonts w:ascii="Times New Roman" w:hAnsi="Times New Roman"/>
          <w:b w:val="0"/>
          <w:i w:val="0"/>
          <w:sz w:val="22"/>
        </w:rPr>
        <w:t>An evaluation of multimodal LLMs for pathology localisation in chest radiographs, moving beyond naming a disease towards identifying the abnormal region. A localisation metric only; does not capture whether the model's explanation helps a learner understand their reasoning error.</w:t>
      </w:r>
    </w:p>
    <w:p w14:paraId="1DDCF3A1">
      <w:pPr>
        <w:spacing w:before="0" w:after="120" w:line="360" w:lineRule="auto"/>
        <w:jc w:val="both"/>
      </w:pPr>
      <w:r>
        <w:rPr>
          <w:rFonts w:ascii="Times New Roman" w:hAnsi="Times New Roman"/>
          <w:b w:val="0"/>
          <w:i w:val="0"/>
          <w:sz w:val="22"/>
        </w:rPr>
        <w:t>Additional CXR benchmarks (CheXlocalize, RadImageNet, RadGraph, MS-CXR).</w:t>
      </w:r>
    </w:p>
    <w:p w14:paraId="5DB07A8A">
      <w:pPr>
        <w:spacing w:before="0" w:after="160" w:line="360" w:lineRule="auto"/>
        <w:ind w:firstLine="340"/>
      </w:pPr>
      <w:r>
        <w:rPr>
          <w:rFonts w:ascii="Times New Roman" w:hAnsi="Times New Roman"/>
          <w:b w:val="0"/>
          <w:i w:val="0"/>
          <w:sz w:val="22"/>
        </w:rPr>
        <w:t>A weakly-supervised CXR localisation benchmark (CheXlocalize), a large pre-trained radiology model and dataset (RadImageNet), a graph representation of radiology report entities and relations (RadGraph), and a paired image-text dataset with sentence-level phrase grounding (MS-CXR). Each addresses one slice of the evaluation surface but none measures the educational quality of free-text feedback in the way the rubric in Section 3.3 does.</w:t>
      </w:r>
    </w:p>
    <w:p w14:paraId="44CA90D8">
      <w:pPr>
        <w:pStyle w:val="4"/>
        <w:keepNext/>
        <w:spacing w:before="200" w:after="120"/>
        <w:jc w:val="left"/>
      </w:pPr>
      <w:r>
        <w:rPr>
          <w:rFonts w:ascii="Times New Roman" w:hAnsi="Times New Roman"/>
          <w:b/>
          <w:color w:val="000000"/>
          <w:sz w:val="24"/>
        </w:rPr>
        <w:t>2.2.7 Existing Radiology E-Learning Platforms</w:t>
      </w:r>
    </w:p>
    <w:p w14:paraId="61409B9C">
      <w:pPr>
        <w:spacing w:before="0" w:after="120" w:line="360" w:lineRule="auto"/>
        <w:jc w:val="both"/>
      </w:pPr>
      <w:r>
        <w:rPr>
          <w:rFonts w:ascii="Times New Roman" w:hAnsi="Times New Roman"/>
          <w:b w:val="0"/>
          <w:i w:val="0"/>
          <w:sz w:val="22"/>
        </w:rPr>
        <w:t>Radiopaedia.</w:t>
      </w:r>
    </w:p>
    <w:p w14:paraId="5E4DA394">
      <w:pPr>
        <w:spacing w:before="0" w:after="160" w:line="360" w:lineRule="auto"/>
        <w:ind w:firstLine="340"/>
      </w:pPr>
      <w:r>
        <w:rPr>
          <w:rFonts w:ascii="Times New Roman" w:hAnsi="Times New Roman"/>
          <w:b w:val="0"/>
          <w:i w:val="0"/>
          <w:sz w:val="22"/>
        </w:rPr>
        <w:t>A free online radiology encyclopedia with thousands of cases, served as articles with embedded images and curated differential diagnoses. Excellent for browsing but is a static reference rather than a feedback loop; there is no student-attempt workflow.</w:t>
      </w:r>
    </w:p>
    <w:p w14:paraId="3D61FB3D">
      <w:pPr>
        <w:spacing w:before="0" w:after="120" w:line="360" w:lineRule="auto"/>
        <w:jc w:val="both"/>
      </w:pPr>
      <w:r>
        <w:rPr>
          <w:rFonts w:ascii="Times New Roman" w:hAnsi="Times New Roman"/>
          <w:b w:val="0"/>
          <w:i w:val="0"/>
          <w:sz w:val="22"/>
        </w:rPr>
        <w:t>Radiology Masterclass.</w:t>
      </w:r>
    </w:p>
    <w:p w14:paraId="7974D416">
      <w:pPr>
        <w:spacing w:before="0" w:after="160" w:line="360" w:lineRule="auto"/>
        <w:ind w:firstLine="340"/>
      </w:pPr>
      <w:r>
        <w:rPr>
          <w:rFonts w:ascii="Times New Roman" w:hAnsi="Times New Roman"/>
          <w:b w:val="0"/>
          <w:i w:val="0"/>
          <w:sz w:val="22"/>
        </w:rPr>
        <w:t>A subscription-based radiology e-learning platform with courses and case libraries aimed at trainees preparing for the FRCR. Course-based; provides good teaching material but not an AI-assisted feedback loop.</w:t>
      </w:r>
    </w:p>
    <w:p w14:paraId="0C06985A">
      <w:pPr>
        <w:spacing w:before="0" w:after="120" w:line="360" w:lineRule="auto"/>
        <w:jc w:val="both"/>
      </w:pPr>
      <w:r>
        <w:rPr>
          <w:rFonts w:ascii="Times New Roman" w:hAnsi="Times New Roman"/>
          <w:b w:val="0"/>
          <w:i w:val="0"/>
          <w:sz w:val="22"/>
        </w:rPr>
        <w:t>RadiologyAssistant.</w:t>
      </w:r>
    </w:p>
    <w:p w14:paraId="78B8E789">
      <w:pPr>
        <w:spacing w:before="0" w:after="160" w:line="360" w:lineRule="auto"/>
        <w:ind w:firstLine="340"/>
      </w:pPr>
      <w:r>
        <w:rPr>
          <w:rFonts w:ascii="Times New Roman" w:hAnsi="Times New Roman"/>
          <w:b w:val="0"/>
          <w:i w:val="0"/>
          <w:sz w:val="22"/>
        </w:rPr>
        <w:t>A free, peer-reviewed radiology teaching site organised by body region, with structured articles and image galleries. Reference material rather than an interactive trainer; the workflow is read-then-look.</w:t>
      </w:r>
    </w:p>
    <w:p w14:paraId="58C9101E">
      <w:pPr>
        <w:spacing w:before="0" w:after="120" w:line="360" w:lineRule="auto"/>
        <w:jc w:val="both"/>
      </w:pPr>
      <w:r>
        <w:rPr>
          <w:rFonts w:ascii="Times New Roman" w:hAnsi="Times New Roman"/>
          <w:b w:val="0"/>
          <w:i w:val="0"/>
          <w:sz w:val="22"/>
        </w:rPr>
        <w:t>Statdx and RADPrimer.</w:t>
      </w:r>
    </w:p>
    <w:p w14:paraId="49B8F9A7">
      <w:pPr>
        <w:spacing w:before="0" w:after="160" w:line="360" w:lineRule="auto"/>
        <w:ind w:firstLine="340"/>
      </w:pPr>
      <w:r>
        <w:rPr>
          <w:rFonts w:ascii="Times New Roman" w:hAnsi="Times New Roman"/>
          <w:b w:val="0"/>
          <w:i w:val="0"/>
          <w:sz w:val="22"/>
        </w:rPr>
        <w:t>Commercial diagnostic decision-support and e-learning platforms used by radiology trainees worldwide. They pair cases with structured differential diagnoses and curated image libraries, but they are commercial and closed with no student-facing API, so they cannot be integrated into a free-tier prototype.</w:t>
      </w:r>
    </w:p>
    <w:p w14:paraId="69EEE9A2">
      <w:pPr>
        <w:spacing w:before="0" w:after="120" w:line="360" w:lineRule="auto"/>
        <w:jc w:val="both"/>
      </w:pPr>
      <w:r>
        <w:rPr>
          <w:rFonts w:ascii="Times New Roman" w:hAnsi="Times New Roman"/>
          <w:b w:val="0"/>
          <w:i w:val="0"/>
          <w:sz w:val="22"/>
        </w:rPr>
        <w:t>Khanmigo and AI tutors in general education.</w:t>
      </w:r>
    </w:p>
    <w:p w14:paraId="3F2223F6">
      <w:pPr>
        <w:spacing w:before="0" w:after="160" w:line="360" w:lineRule="auto"/>
        <w:ind w:firstLine="340"/>
      </w:pPr>
      <w:r>
        <w:rPr>
          <w:rFonts w:ascii="Times New Roman" w:hAnsi="Times New Roman"/>
          <w:b w:val="0"/>
          <w:i w:val="0"/>
          <w:sz w:val="22"/>
        </w:rPr>
        <w:t>AI tutors used in K-12 and higher education, including Khan Academy's Khanmigo, that show the pattern of student-first-then-feedback tutoring. Domain-agnostic; they do not reason over medical images, so they are useful as a UX reference rather than a content reference.</w:t>
      </w:r>
    </w:p>
    <w:p w14:paraId="7D4D3968">
      <w:pPr>
        <w:spacing w:before="0" w:after="120" w:line="360" w:lineRule="auto"/>
        <w:jc w:val="both"/>
      </w:pPr>
      <w:r>
        <w:rPr>
          <w:rFonts w:ascii="Times New Roman" w:hAnsi="Times New Roman"/>
          <w:b w:val="0"/>
          <w:i w:val="0"/>
          <w:sz w:val="22"/>
        </w:rPr>
        <w:t>PathXL and virtual-slide platforms.</w:t>
      </w:r>
    </w:p>
    <w:p w14:paraId="41C65B78">
      <w:pPr>
        <w:spacing w:before="0" w:after="160" w:line="360" w:lineRule="auto"/>
        <w:ind w:firstLine="340"/>
      </w:pPr>
      <w:r>
        <w:rPr>
          <w:rFonts w:ascii="Times New Roman" w:hAnsi="Times New Roman"/>
          <w:b w:val="0"/>
          <w:i w:val="0"/>
          <w:sz w:val="22"/>
        </w:rPr>
        <w:t>Virtual-slide e-learning platforms for pathology and histology training that pair whole-slide images with structured teaching material and assessment. Pathology-focused rather than CXR, but useful as a UX reference for image-centric training tools.</w:t>
      </w:r>
    </w:p>
    <w:p w14:paraId="4A957808">
      <w:pPr>
        <w:spacing w:before="0" w:after="120" w:line="360" w:lineRule="auto"/>
        <w:jc w:val="both"/>
      </w:pPr>
      <w:r>
        <w:rPr>
          <w:rFonts w:ascii="Times New Roman" w:hAnsi="Times New Roman"/>
          <w:b w:val="0"/>
          <w:i w:val="0"/>
          <w:sz w:val="22"/>
        </w:rPr>
        <w:t>OSCE and case-based assessment platforms.</w:t>
      </w:r>
    </w:p>
    <w:p w14:paraId="446464DE">
      <w:pPr>
        <w:spacing w:before="0" w:after="160" w:line="360" w:lineRule="auto"/>
        <w:ind w:firstLine="340"/>
      </w:pPr>
      <w:r>
        <w:rPr>
          <w:rFonts w:ascii="Times New Roman" w:hAnsi="Times New Roman"/>
          <w:b w:val="0"/>
          <w:i w:val="0"/>
          <w:sz w:val="22"/>
        </w:rPr>
        <w:t>Assessment platforms used by medical schools for OSCE-style station practice that pair clinical vignettes with structured answer schemes and examiner scoring. Focused on assessment rather than on per-case feedback; the structured answer schemes are a useful pattern to imitate.</w:t>
      </w:r>
    </w:p>
    <w:p w14:paraId="561FF661">
      <w:pPr>
        <w:pStyle w:val="4"/>
        <w:keepNext/>
        <w:spacing w:before="200" w:after="120"/>
        <w:jc w:val="left"/>
      </w:pPr>
      <w:r>
        <w:rPr>
          <w:rFonts w:ascii="Times New Roman" w:hAnsi="Times New Roman"/>
          <w:b/>
          <w:color w:val="000000"/>
          <w:sz w:val="24"/>
        </w:rPr>
        <w:t>2.2.8 Summary of the Reviewed Similar Projects</w:t>
      </w:r>
    </w:p>
    <w:p w14:paraId="1DC5FAA9">
      <w:pPr>
        <w:spacing w:before="0" w:after="120" w:line="360" w:lineRule="auto"/>
        <w:ind w:firstLine="720"/>
        <w:jc w:val="both"/>
      </w:pPr>
      <w:r>
        <w:rPr>
          <w:rFonts w:ascii="Times New Roman" w:hAnsi="Times New Roman"/>
          <w:sz w:val="22"/>
        </w:rPr>
        <w:t>Across the seven groups above, four connected gaps emerge. Methodologically, there are limited comparisons between prompting-only, RAG-based and fine-tuned + RAG approaches for educational chest X-ray training. Empirically, few studies evaluate image-interpretation quality and evidence-grounded feedback quality together, especially in a student learning context. From a knowledge perspective, there is no clear best practice for combining a medical VLM with RAG to build a reliable, useful CXR training companion for students. And educationally, the existing AI radiology systems are framed around clinical support, diagnosis or report generation, not around student practice.</w:t>
      </w:r>
    </w:p>
    <w:p w14:paraId="66875D29">
      <w:pPr>
        <w:spacing w:before="0" w:after="120" w:line="360" w:lineRule="auto"/>
        <w:ind w:firstLine="720"/>
        <w:jc w:val="both"/>
      </w:pPr>
      <w:r>
        <w:rPr>
          <w:rFonts w:ascii="Times New Roman" w:hAnsi="Times New Roman"/>
          <w:sz w:val="22"/>
        </w:rPr>
        <w:t>These four gaps link directly back to the problem statement in Section 1.1 and the main academic question in Section 1.3, and they shape the methodology described in Chapter 3.</w:t>
      </w:r>
    </w:p>
    <w:p w14:paraId="5F99591A">
      <w:pPr>
        <w:keepNext/>
        <w:spacing w:before="120" w:after="120"/>
        <w:jc w:val="center"/>
      </w:pPr>
      <w:r>
        <w:rPr>
          <w:rFonts w:ascii="Times New Roman" w:hAnsi="Times New Roman"/>
          <w:b/>
          <w:sz w:val="20"/>
        </w:rPr>
        <w:t xml:space="preserve">Figure 2.1: </w:t>
      </w:r>
      <w:r>
        <w:rPr>
          <w:rFonts w:ascii="Times New Roman" w:hAnsi="Times New Roman"/>
          <w:sz w:val="20"/>
        </w:rPr>
        <w:t>Overview of the reviewed CXR AI landscape: model, retriever, dataset and evaluation threads.</w:t>
      </w:r>
    </w:p>
    <w:p w14:paraId="0EF40A8E">
      <w:pPr>
        <w:spacing w:before="0" w:after="0"/>
        <w:jc w:val="center"/>
      </w:pPr>
      <w:r>
        <w:drawing>
          <wp:inline distT="0" distB="0" distL="114300" distR="114300">
            <wp:extent cx="5669280" cy="3401060"/>
            <wp:effectExtent l="0" t="0" r="0" b="1270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669280" cy="3401568"/>
                    </a:xfrm>
                    <a:prstGeom prst="rect">
                      <a:avLst/>
                    </a:prstGeom>
                  </pic:spPr>
                </pic:pic>
              </a:graphicData>
            </a:graphic>
          </wp:inline>
        </w:drawing>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268"/>
        <w:gridCol w:w="3402"/>
        <w:gridCol w:w="3402"/>
      </w:tblGrid>
      <w:tr w14:paraId="6376138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68" w:type="dxa"/>
          </w:tcPr>
          <w:p w14:paraId="5F953545">
            <w:pPr>
              <w:spacing w:after="0"/>
              <w:jc w:val="center"/>
            </w:pPr>
            <w:r>
              <w:rPr>
                <w:rFonts w:ascii="Times New Roman" w:hAnsi="Times New Roman"/>
                <w:b/>
                <w:sz w:val="22"/>
              </w:rPr>
              <w:t>Group</w:t>
            </w:r>
          </w:p>
        </w:tc>
        <w:tc>
          <w:tcPr>
            <w:tcW w:w="3402" w:type="dxa"/>
          </w:tcPr>
          <w:p w14:paraId="1D52D977">
            <w:pPr>
              <w:spacing w:after="0"/>
              <w:jc w:val="center"/>
            </w:pPr>
            <w:r>
              <w:rPr>
                <w:rFonts w:ascii="Times New Roman" w:hAnsi="Times New Roman"/>
                <w:b/>
                <w:sz w:val="22"/>
              </w:rPr>
              <w:t>Systems discussed</w:t>
            </w:r>
          </w:p>
        </w:tc>
        <w:tc>
          <w:tcPr>
            <w:tcW w:w="3402" w:type="dxa"/>
          </w:tcPr>
          <w:p w14:paraId="46171D3B">
            <w:pPr>
              <w:spacing w:after="0"/>
              <w:jc w:val="center"/>
            </w:pPr>
            <w:r>
              <w:rPr>
                <w:rFonts w:ascii="Times New Roman" w:hAnsi="Times New Roman"/>
                <w:b/>
                <w:sz w:val="22"/>
              </w:rPr>
              <w:t>Key limitation for educational use</w:t>
            </w:r>
          </w:p>
        </w:tc>
      </w:tr>
      <w:tr w14:paraId="3865ED0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68" w:type="dxa"/>
          </w:tcPr>
          <w:p w14:paraId="33F548F6">
            <w:pPr>
              <w:spacing w:after="0"/>
              <w:jc w:val="left"/>
            </w:pPr>
            <w:r>
              <w:rPr>
                <w:rFonts w:ascii="Times New Roman" w:hAnsi="Times New Roman"/>
                <w:sz w:val="22"/>
              </w:rPr>
              <w:t>CXR-specific VLMs</w:t>
            </w:r>
          </w:p>
        </w:tc>
        <w:tc>
          <w:tcPr>
            <w:tcW w:w="3402" w:type="dxa"/>
          </w:tcPr>
          <w:p w14:paraId="350B14A2">
            <w:pPr>
              <w:spacing w:after="0"/>
              <w:jc w:val="left"/>
            </w:pPr>
            <w:r>
              <w:rPr>
                <w:rFonts w:ascii="Times New Roman" w:hAnsi="Times New Roman"/>
                <w:sz w:val="22"/>
              </w:rPr>
              <w:t>CXR-LLaVA, CheXagent, MedGemma, LLaVA-Med, LLaVA-Rad</w:t>
            </w:r>
          </w:p>
        </w:tc>
        <w:tc>
          <w:tcPr>
            <w:tcW w:w="3402" w:type="dxa"/>
          </w:tcPr>
          <w:p w14:paraId="4E0FC433">
            <w:pPr>
              <w:spacing w:after="0"/>
              <w:jc w:val="left"/>
            </w:pPr>
            <w:r>
              <w:rPr>
                <w:rFonts w:ascii="Times New Roman" w:hAnsi="Times New Roman"/>
                <w:sz w:val="22"/>
              </w:rPr>
              <w:t>Clinical reporting orientation; no formative feedback design</w:t>
            </w:r>
          </w:p>
        </w:tc>
      </w:tr>
      <w:tr w14:paraId="00E826D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68" w:type="dxa"/>
          </w:tcPr>
          <w:p w14:paraId="3B2C978C">
            <w:pPr>
              <w:spacing w:after="0"/>
              <w:jc w:val="left"/>
            </w:pPr>
            <w:r>
              <w:rPr>
                <w:rFonts w:ascii="Times New Roman" w:hAnsi="Times New Roman"/>
                <w:sz w:val="22"/>
              </w:rPr>
              <w:t>General biomedical VLMs and adjacent models</w:t>
            </w:r>
          </w:p>
        </w:tc>
        <w:tc>
          <w:tcPr>
            <w:tcW w:w="3402" w:type="dxa"/>
          </w:tcPr>
          <w:p w14:paraId="13051029">
            <w:pPr>
              <w:spacing w:after="0"/>
              <w:jc w:val="left"/>
            </w:pPr>
            <w:r>
              <w:rPr>
                <w:rFonts w:ascii="Times New Roman" w:hAnsi="Times New Roman"/>
                <w:sz w:val="22"/>
              </w:rPr>
              <w:t>LLaVA-Med (broader use), MedGemma, Lin et al.</w:t>
            </w:r>
          </w:p>
        </w:tc>
        <w:tc>
          <w:tcPr>
            <w:tcW w:w="3402" w:type="dxa"/>
          </w:tcPr>
          <w:p w14:paraId="3A6FA9C9">
            <w:pPr>
              <w:spacing w:after="0"/>
              <w:jc w:val="left"/>
            </w:pPr>
            <w:r>
              <w:rPr>
                <w:rFonts w:ascii="Times New Roman" w:hAnsi="Times New Roman"/>
                <w:sz w:val="22"/>
              </w:rPr>
              <w:t>Foundation models; need prompting and a feedback schema</w:t>
            </w:r>
          </w:p>
        </w:tc>
      </w:tr>
      <w:tr w14:paraId="176968E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68" w:type="dxa"/>
          </w:tcPr>
          <w:p w14:paraId="4C393582">
            <w:pPr>
              <w:spacing w:after="0"/>
              <w:jc w:val="left"/>
            </w:pPr>
            <w:r>
              <w:rPr>
                <w:rFonts w:ascii="Times New Roman" w:hAnsi="Times New Roman"/>
                <w:sz w:val="22"/>
              </w:rPr>
              <w:t>Agentic and multi-agent systems</w:t>
            </w:r>
          </w:p>
        </w:tc>
        <w:tc>
          <w:tcPr>
            <w:tcW w:w="3402" w:type="dxa"/>
          </w:tcPr>
          <w:p w14:paraId="3E4125D8">
            <w:pPr>
              <w:spacing w:after="0"/>
              <w:jc w:val="left"/>
            </w:pPr>
            <w:r>
              <w:rPr>
                <w:rFonts w:ascii="Times New Roman" w:hAnsi="Times New Roman"/>
                <w:sz w:val="22"/>
              </w:rPr>
              <w:t>CXRAgent, MedRAX, multi-agent RAG surveys, ACR-appropriateness RAG, DRG-LLM</w:t>
            </w:r>
          </w:p>
        </w:tc>
        <w:tc>
          <w:tcPr>
            <w:tcW w:w="3402" w:type="dxa"/>
          </w:tcPr>
          <w:p w14:paraId="179B2848">
            <w:pPr>
              <w:spacing w:after="0"/>
              <w:jc w:val="left"/>
            </w:pPr>
            <w:r>
              <w:rPr>
                <w:rFonts w:ascii="Times New Roman" w:hAnsi="Times New Roman"/>
                <w:sz w:val="22"/>
              </w:rPr>
              <w:t>Clinical-decision focus; orchestration complexity not justified for a student prototype</w:t>
            </w:r>
          </w:p>
        </w:tc>
      </w:tr>
      <w:tr w14:paraId="4B07E7D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68" w:type="dxa"/>
          </w:tcPr>
          <w:p w14:paraId="2046DB0E">
            <w:pPr>
              <w:spacing w:after="0"/>
              <w:jc w:val="left"/>
            </w:pPr>
            <w:r>
              <w:rPr>
                <w:rFonts w:ascii="Times New Roman" w:hAnsi="Times New Roman"/>
                <w:sz w:val="22"/>
              </w:rPr>
              <w:t>RAG frameworks in healthcare</w:t>
            </w:r>
          </w:p>
        </w:tc>
        <w:tc>
          <w:tcPr>
            <w:tcW w:w="3402" w:type="dxa"/>
          </w:tcPr>
          <w:p w14:paraId="036A96EF">
            <w:pPr>
              <w:spacing w:after="0"/>
              <w:jc w:val="left"/>
            </w:pPr>
            <w:r>
              <w:rPr>
                <w:rFonts w:ascii="Times New Roman" w:hAnsi="Times New Roman"/>
                <w:sz w:val="22"/>
              </w:rPr>
              <w:t>Abo El-Enen, Amugongo, Liu et al., Collaco et al., Lin et al.</w:t>
            </w:r>
          </w:p>
        </w:tc>
        <w:tc>
          <w:tcPr>
            <w:tcW w:w="3402" w:type="dxa"/>
          </w:tcPr>
          <w:p w14:paraId="02E3B0BD">
            <w:pPr>
              <w:spacing w:after="0"/>
              <w:jc w:val="left"/>
            </w:pPr>
            <w:r>
              <w:rPr>
                <w:rFonts w:ascii="Times New Roman" w:hAnsi="Times New Roman"/>
                <w:sz w:val="22"/>
              </w:rPr>
              <w:t>Clinical deployment focus; little CXR-education evidence</w:t>
            </w:r>
          </w:p>
        </w:tc>
      </w:tr>
      <w:tr w14:paraId="1F87A2B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68" w:type="dxa"/>
          </w:tcPr>
          <w:p w14:paraId="1C11AEF1">
            <w:pPr>
              <w:spacing w:after="0"/>
              <w:jc w:val="left"/>
            </w:pPr>
            <w:r>
              <w:rPr>
                <w:rFonts w:ascii="Times New Roman" w:hAnsi="Times New Roman"/>
                <w:sz w:val="22"/>
              </w:rPr>
              <w:t>Public CXR datasets</w:t>
            </w:r>
          </w:p>
        </w:tc>
        <w:tc>
          <w:tcPr>
            <w:tcW w:w="3402" w:type="dxa"/>
          </w:tcPr>
          <w:p w14:paraId="162382C7">
            <w:pPr>
              <w:spacing w:after="0"/>
              <w:jc w:val="left"/>
            </w:pPr>
            <w:r>
              <w:rPr>
                <w:rFonts w:ascii="Times New Roman" w:hAnsi="Times New Roman"/>
                <w:sz w:val="22"/>
              </w:rPr>
              <w:t>NIH ChestX-ray8, MIMIC-CXR, MIMIC-CXR-JPG, CheXpert, Padchest, VinDr-CXR, RSNA Pneumonia, Open-i, TBX11k, SIIM-ACR PTX</w:t>
            </w:r>
          </w:p>
        </w:tc>
        <w:tc>
          <w:tcPr>
            <w:tcW w:w="3402" w:type="dxa"/>
          </w:tcPr>
          <w:p w14:paraId="317BB9A3">
            <w:pPr>
              <w:spacing w:after="0"/>
              <w:jc w:val="left"/>
            </w:pPr>
            <w:r>
              <w:rPr>
                <w:rFonts w:ascii="Times New Roman" w:hAnsi="Times New Roman"/>
                <w:sz w:val="22"/>
              </w:rPr>
              <w:t>Noisy NLP-mined labels; not designed for educational use</w:t>
            </w:r>
          </w:p>
        </w:tc>
      </w:tr>
      <w:tr w14:paraId="200C1B8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68" w:type="dxa"/>
          </w:tcPr>
          <w:p w14:paraId="461185CD">
            <w:pPr>
              <w:spacing w:after="0"/>
              <w:jc w:val="left"/>
            </w:pPr>
            <w:r>
              <w:rPr>
                <w:rFonts w:ascii="Times New Roman" w:hAnsi="Times New Roman"/>
                <w:sz w:val="22"/>
              </w:rPr>
              <w:t>CXR benchmarks and evaluation</w:t>
            </w:r>
          </w:p>
        </w:tc>
        <w:tc>
          <w:tcPr>
            <w:tcW w:w="3402" w:type="dxa"/>
          </w:tcPr>
          <w:p w14:paraId="164D4AD7">
            <w:pPr>
              <w:spacing w:after="0"/>
              <w:jc w:val="left"/>
            </w:pPr>
            <w:r>
              <w:rPr>
                <w:rFonts w:ascii="Times New Roman" w:hAnsi="Times New Roman"/>
                <w:sz w:val="22"/>
              </w:rPr>
              <w:t>ReXVQA, pathology localisation, CheXlocalize, RadImageNet, RadGraph, MS-CXR</w:t>
            </w:r>
          </w:p>
        </w:tc>
        <w:tc>
          <w:tcPr>
            <w:tcW w:w="3402" w:type="dxa"/>
          </w:tcPr>
          <w:p w14:paraId="27918FD1">
            <w:pPr>
              <w:spacing w:after="0"/>
              <w:jc w:val="left"/>
            </w:pPr>
            <w:r>
              <w:rPr>
                <w:rFonts w:ascii="Times New Roman" w:hAnsi="Times New Roman"/>
                <w:sz w:val="22"/>
              </w:rPr>
              <w:t>Technical metrics; do not measure educational quality</w:t>
            </w:r>
          </w:p>
        </w:tc>
      </w:tr>
      <w:tr w14:paraId="53AD5B7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68" w:type="dxa"/>
          </w:tcPr>
          <w:p w14:paraId="71BDDBF5">
            <w:pPr>
              <w:spacing w:after="0"/>
              <w:jc w:val="left"/>
            </w:pPr>
            <w:r>
              <w:rPr>
                <w:rFonts w:ascii="Times New Roman" w:hAnsi="Times New Roman"/>
                <w:sz w:val="22"/>
              </w:rPr>
              <w:t>Existing e-learning platforms</w:t>
            </w:r>
          </w:p>
        </w:tc>
        <w:tc>
          <w:tcPr>
            <w:tcW w:w="3402" w:type="dxa"/>
          </w:tcPr>
          <w:p w14:paraId="0B723BB5">
            <w:pPr>
              <w:spacing w:after="0"/>
              <w:jc w:val="left"/>
            </w:pPr>
            <w:r>
              <w:rPr>
                <w:rFonts w:ascii="Times New Roman" w:hAnsi="Times New Roman"/>
                <w:sz w:val="22"/>
              </w:rPr>
              <w:t>Radiopaedia, Radiology Masterclass, RadiologyAssistant, Statdx, RADPrimer, Khanmigo, PathXL, OSCE platforms</w:t>
            </w:r>
          </w:p>
        </w:tc>
        <w:tc>
          <w:tcPr>
            <w:tcW w:w="3402" w:type="dxa"/>
          </w:tcPr>
          <w:p w14:paraId="26A3B3D2">
            <w:pPr>
              <w:spacing w:after="0"/>
              <w:jc w:val="left"/>
            </w:pPr>
            <w:r>
              <w:rPr>
                <w:rFonts w:ascii="Times New Roman" w:hAnsi="Times New Roman"/>
                <w:sz w:val="22"/>
              </w:rPr>
              <w:t>Read-then-look or assessment workflow; no AI feedback loop</w:t>
            </w:r>
          </w:p>
        </w:tc>
      </w:tr>
    </w:tbl>
    <w:p w14:paraId="18B56F8F">
      <w:pPr>
        <w:keepNext w:val="0"/>
        <w:spacing w:before="120" w:after="120"/>
        <w:jc w:val="center"/>
      </w:pPr>
      <w:r>
        <w:rPr>
          <w:rFonts w:ascii="Times New Roman" w:hAnsi="Times New Roman"/>
          <w:b/>
          <w:sz w:val="20"/>
        </w:rPr>
        <w:t xml:space="preserve">Table 2.1: </w:t>
      </w:r>
      <w:r>
        <w:rPr>
          <w:rFonts w:ascii="Times New Roman" w:hAnsi="Times New Roman"/>
          <w:sz w:val="20"/>
        </w:rPr>
        <w:t>Summary of reviewed systems and their limitations for educational use</w:t>
      </w:r>
    </w:p>
    <w:p w14:paraId="22D05289">
      <w:r>
        <w:br w:type="page"/>
      </w:r>
    </w:p>
    <w:p w14:paraId="41E025A4">
      <w:pPr>
        <w:pStyle w:val="2"/>
        <w:keepNext/>
        <w:spacing w:before="360" w:after="240"/>
        <w:jc w:val="left"/>
      </w:pPr>
      <w:r>
        <w:rPr>
          <w:rFonts w:ascii="Times New Roman" w:hAnsi="Times New Roman"/>
          <w:b/>
          <w:color w:val="000000"/>
          <w:sz w:val="32"/>
        </w:rPr>
        <w:t>Chapter 03 - Methodology</w:t>
      </w:r>
    </w:p>
    <w:p w14:paraId="40245482">
      <w:pPr>
        <w:spacing w:before="0" w:after="120" w:line="360" w:lineRule="auto"/>
        <w:ind w:firstLine="720"/>
        <w:jc w:val="both"/>
      </w:pPr>
      <w:r>
        <w:rPr>
          <w:rFonts w:ascii="Times New Roman" w:hAnsi="Times New Roman"/>
          <w:sz w:val="22"/>
        </w:rPr>
        <w:t>This chapter describes the methodology used to develop the artefact. It begins with the planning phase, which covers stakeholder identification, a structured feasibility analysis across the five canonical feasibility dimensions, and the work plan. It then describes the analysis and requirement-gathering phase, the design phase (physical, architectural and interface), the implementation phase, and the testing phase.</w:t>
      </w:r>
    </w:p>
    <w:p w14:paraId="20D560B2">
      <w:pPr>
        <w:pStyle w:val="3"/>
        <w:keepNext/>
        <w:spacing w:before="280" w:after="160"/>
        <w:jc w:val="left"/>
      </w:pPr>
      <w:r>
        <w:rPr>
          <w:rFonts w:ascii="Times New Roman" w:hAnsi="Times New Roman"/>
          <w:b/>
          <w:color w:val="000000"/>
          <w:sz w:val="28"/>
        </w:rPr>
        <w:t>3.1 Planning</w:t>
      </w:r>
    </w:p>
    <w:p w14:paraId="5037CAF3">
      <w:pPr>
        <w:spacing w:before="0" w:after="120" w:line="360" w:lineRule="auto"/>
        <w:ind w:firstLine="720"/>
        <w:jc w:val="both"/>
      </w:pPr>
      <w:r>
        <w:rPr>
          <w:rFonts w:ascii="Times New Roman" w:hAnsi="Times New Roman"/>
          <w:sz w:val="22"/>
        </w:rPr>
        <w:t>The planning phase establishes why and how the project is built. It begins with the identification of the stakeholders and the business values that the artefact must serve, then presents a structured feasibility analysis across the five canonical feasibility dimensions, and ends with a work breakdown structure and a Gantt chart that define the schedule.</w:t>
      </w:r>
    </w:p>
    <w:p w14:paraId="399A6E82">
      <w:pPr>
        <w:pStyle w:val="4"/>
        <w:keepNext/>
        <w:spacing w:before="200" w:after="120"/>
        <w:jc w:val="left"/>
      </w:pPr>
      <w:r>
        <w:rPr>
          <w:rFonts w:ascii="Times New Roman" w:hAnsi="Times New Roman"/>
          <w:b/>
          <w:color w:val="000000"/>
          <w:sz w:val="24"/>
        </w:rPr>
        <w:t>3.1.1 Identifying Business Values</w:t>
      </w:r>
    </w:p>
    <w:p w14:paraId="2C9201C7">
      <w:pPr>
        <w:spacing w:before="0" w:after="120" w:line="360" w:lineRule="auto"/>
        <w:ind w:firstLine="720"/>
        <w:jc w:val="both"/>
      </w:pPr>
      <w:r>
        <w:rPr>
          <w:rFonts w:ascii="Times New Roman" w:hAnsi="Times New Roman"/>
          <w:sz w:val="22"/>
        </w:rPr>
        <w:t>The 'business' for this project is the radiology training pipeline. The artefact is a student-facing training tool, not a commercial product, so the term 'business values' is read as the set of stakeholder interests that justify the investment of time and compute. Table 3.1 lists the stakeholders and their interest in the artefact.</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268"/>
        <w:gridCol w:w="2835"/>
        <w:gridCol w:w="3969"/>
      </w:tblGrid>
      <w:tr w14:paraId="57DB8A0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68" w:type="dxa"/>
          </w:tcPr>
          <w:p w14:paraId="0C1D6A86">
            <w:pPr>
              <w:spacing w:after="0"/>
              <w:jc w:val="center"/>
            </w:pPr>
            <w:r>
              <w:rPr>
                <w:rFonts w:ascii="Times New Roman" w:hAnsi="Times New Roman"/>
                <w:b/>
                <w:sz w:val="22"/>
              </w:rPr>
              <w:t>Stakeholder</w:t>
            </w:r>
          </w:p>
        </w:tc>
        <w:tc>
          <w:tcPr>
            <w:tcW w:w="2835" w:type="dxa"/>
          </w:tcPr>
          <w:p w14:paraId="394CF745">
            <w:pPr>
              <w:spacing w:after="0"/>
              <w:jc w:val="center"/>
            </w:pPr>
            <w:r>
              <w:rPr>
                <w:rFonts w:ascii="Times New Roman" w:hAnsi="Times New Roman"/>
                <w:b/>
                <w:sz w:val="22"/>
              </w:rPr>
              <w:t>Interest in the artefact</w:t>
            </w:r>
          </w:p>
        </w:tc>
        <w:tc>
          <w:tcPr>
            <w:tcW w:w="3969" w:type="dxa"/>
          </w:tcPr>
          <w:p w14:paraId="14498FC3">
            <w:pPr>
              <w:spacing w:after="0"/>
              <w:jc w:val="center"/>
            </w:pPr>
            <w:r>
              <w:rPr>
                <w:rFonts w:ascii="Times New Roman" w:hAnsi="Times New Roman"/>
                <w:b/>
                <w:sz w:val="22"/>
              </w:rPr>
              <w:t>Value delivered</w:t>
            </w:r>
          </w:p>
        </w:tc>
      </w:tr>
      <w:tr w14:paraId="79AA803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68" w:type="dxa"/>
          </w:tcPr>
          <w:p w14:paraId="3A8AAF9C">
            <w:pPr>
              <w:spacing w:after="0"/>
              <w:jc w:val="left"/>
            </w:pPr>
            <w:r>
              <w:rPr>
                <w:rFonts w:ascii="Times New Roman" w:hAnsi="Times New Roman"/>
                <w:sz w:val="22"/>
              </w:rPr>
              <w:t>Student radiologist (primary user)</w:t>
            </w:r>
          </w:p>
        </w:tc>
        <w:tc>
          <w:tcPr>
            <w:tcW w:w="2835" w:type="dxa"/>
          </w:tcPr>
          <w:p w14:paraId="79E4E496">
            <w:pPr>
              <w:spacing w:after="0"/>
              <w:jc w:val="left"/>
            </w:pPr>
            <w:r>
              <w:rPr>
                <w:rFonts w:ascii="Times New Roman" w:hAnsi="Times New Roman"/>
                <w:sz w:val="22"/>
              </w:rPr>
              <w:t>Repeated, structured practice on common CXR findings with evidence-grounded feedback</w:t>
            </w:r>
          </w:p>
        </w:tc>
        <w:tc>
          <w:tcPr>
            <w:tcW w:w="3969" w:type="dxa"/>
          </w:tcPr>
          <w:p w14:paraId="582EFEC4">
            <w:pPr>
              <w:spacing w:after="0"/>
              <w:jc w:val="left"/>
            </w:pPr>
            <w:r>
              <w:rPr>
                <w:rFonts w:ascii="Times New Roman" w:hAnsi="Times New Roman"/>
                <w:sz w:val="22"/>
              </w:rPr>
              <w:t>A safe environment in which the learner can attempt a case, compare their interpretation with an AI-assisted reference, and see retrieved teaching material</w:t>
            </w:r>
          </w:p>
        </w:tc>
      </w:tr>
      <w:tr w14:paraId="64E7C3B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68" w:type="dxa"/>
          </w:tcPr>
          <w:p w14:paraId="152849F6">
            <w:pPr>
              <w:spacing w:after="0"/>
              <w:jc w:val="left"/>
            </w:pPr>
            <w:r>
              <w:rPr>
                <w:rFonts w:ascii="Times New Roman" w:hAnsi="Times New Roman"/>
                <w:sz w:val="22"/>
              </w:rPr>
              <w:t>Radiology educator / supervisor</w:t>
            </w:r>
          </w:p>
        </w:tc>
        <w:tc>
          <w:tcPr>
            <w:tcW w:w="2835" w:type="dxa"/>
          </w:tcPr>
          <w:p w14:paraId="2654BF81">
            <w:pPr>
              <w:spacing w:after="0"/>
              <w:jc w:val="left"/>
            </w:pPr>
            <w:r>
              <w:rPr>
                <w:rFonts w:ascii="Times New Roman" w:hAnsi="Times New Roman"/>
                <w:sz w:val="22"/>
              </w:rPr>
              <w:t>A controlled baseline of formative support for common findings</w:t>
            </w:r>
          </w:p>
        </w:tc>
        <w:tc>
          <w:tcPr>
            <w:tcW w:w="3969" w:type="dxa"/>
          </w:tcPr>
          <w:p w14:paraId="549BA5CA">
            <w:pPr>
              <w:spacing w:after="0"/>
              <w:jc w:val="left"/>
            </w:pPr>
            <w:r>
              <w:rPr>
                <w:rFonts w:ascii="Times New Roman" w:hAnsi="Times New Roman"/>
                <w:sz w:val="22"/>
              </w:rPr>
              <w:t>An assessment tool and a structured review queue that reduces the time spent on repetitive first-pass feedback</w:t>
            </w:r>
          </w:p>
        </w:tc>
      </w:tr>
      <w:tr w14:paraId="5305D96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68" w:type="dxa"/>
          </w:tcPr>
          <w:p w14:paraId="0C4F9F9D">
            <w:pPr>
              <w:spacing w:after="0"/>
              <w:jc w:val="left"/>
            </w:pPr>
            <w:r>
              <w:rPr>
                <w:rFonts w:ascii="Times New Roman" w:hAnsi="Times New Roman"/>
                <w:sz w:val="22"/>
              </w:rPr>
              <w:t>Module leader and reader</w:t>
            </w:r>
          </w:p>
        </w:tc>
        <w:tc>
          <w:tcPr>
            <w:tcW w:w="2835" w:type="dxa"/>
          </w:tcPr>
          <w:p w14:paraId="6F1D7657">
            <w:pPr>
              <w:spacing w:after="0"/>
              <w:jc w:val="left"/>
            </w:pPr>
            <w:r>
              <w:rPr>
                <w:rFonts w:ascii="Times New Roman" w:hAnsi="Times New Roman"/>
                <w:sz w:val="22"/>
              </w:rPr>
              <w:t>Evidence that the chosen methodology is sound, the project is feasible, and the evaluation is rigorous</w:t>
            </w:r>
          </w:p>
        </w:tc>
        <w:tc>
          <w:tcPr>
            <w:tcW w:w="3969" w:type="dxa"/>
          </w:tcPr>
          <w:p w14:paraId="6B170411">
            <w:pPr>
              <w:spacing w:after="0"/>
              <w:jc w:val="left"/>
            </w:pPr>
            <w:r>
              <w:rPr>
                <w:rFonts w:ascii="Times New Roman" w:hAnsi="Times New Roman"/>
                <w:sz w:val="22"/>
              </w:rPr>
              <w:t>A clearly written methodology chapter, a reproducible evaluation harness, and an interpretable report</w:t>
            </w:r>
          </w:p>
        </w:tc>
      </w:tr>
      <w:tr w14:paraId="3E40848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68" w:type="dxa"/>
          </w:tcPr>
          <w:p w14:paraId="427E81C5">
            <w:pPr>
              <w:spacing w:after="0"/>
              <w:jc w:val="left"/>
            </w:pPr>
            <w:r>
              <w:rPr>
                <w:rFonts w:ascii="Times New Roman" w:hAnsi="Times New Roman"/>
                <w:sz w:val="22"/>
              </w:rPr>
              <w:t>Project supervisor (Mr. Harindu Mansaka)</w:t>
            </w:r>
          </w:p>
        </w:tc>
        <w:tc>
          <w:tcPr>
            <w:tcW w:w="2835" w:type="dxa"/>
          </w:tcPr>
          <w:p w14:paraId="6844451F">
            <w:pPr>
              <w:spacing w:after="0"/>
              <w:jc w:val="left"/>
            </w:pPr>
            <w:r>
              <w:rPr>
                <w:rFonts w:ascii="Times New Roman" w:hAnsi="Times New Roman"/>
                <w:sz w:val="22"/>
              </w:rPr>
              <w:t>Visibility into progress, evidence of academic rigour, and an artefact that can be used as a discussion base in supervision meetings</w:t>
            </w:r>
          </w:p>
        </w:tc>
        <w:tc>
          <w:tcPr>
            <w:tcW w:w="3969" w:type="dxa"/>
          </w:tcPr>
          <w:p w14:paraId="5A77099E">
            <w:pPr>
              <w:spacing w:after="0"/>
              <w:jc w:val="left"/>
            </w:pPr>
            <w:r>
              <w:rPr>
                <w:rFonts w:ascii="Times New Roman" w:hAnsi="Times New Roman"/>
                <w:sz w:val="22"/>
              </w:rPr>
              <w:t>Iterative demos, a tracked test suite, and a documented decision log</w:t>
            </w:r>
          </w:p>
        </w:tc>
      </w:tr>
      <w:tr w14:paraId="18ADB8E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68" w:type="dxa"/>
          </w:tcPr>
          <w:p w14:paraId="5BFBE406">
            <w:pPr>
              <w:spacing w:after="0"/>
              <w:jc w:val="left"/>
            </w:pPr>
            <w:r>
              <w:rPr>
                <w:rFonts w:ascii="Times New Roman" w:hAnsi="Times New Roman"/>
                <w:sz w:val="22"/>
              </w:rPr>
              <w:t>Healthcare system (indirect)</w:t>
            </w:r>
          </w:p>
        </w:tc>
        <w:tc>
          <w:tcPr>
            <w:tcW w:w="2835" w:type="dxa"/>
          </w:tcPr>
          <w:p w14:paraId="04539316">
            <w:pPr>
              <w:spacing w:after="0"/>
              <w:jc w:val="left"/>
            </w:pPr>
            <w:r>
              <w:rPr>
                <w:rFonts w:ascii="Times New Roman" w:hAnsi="Times New Roman"/>
                <w:sz w:val="22"/>
              </w:rPr>
              <w:t>A training pipeline that contributes to a larger future workforce</w:t>
            </w:r>
          </w:p>
        </w:tc>
        <w:tc>
          <w:tcPr>
            <w:tcW w:w="3969" w:type="dxa"/>
          </w:tcPr>
          <w:p w14:paraId="224692C1">
            <w:pPr>
              <w:spacing w:after="0"/>
              <w:jc w:val="left"/>
            </w:pPr>
            <w:r>
              <w:rPr>
                <w:rFonts w:ascii="Times New Roman" w:hAnsi="Times New Roman"/>
                <w:sz w:val="22"/>
              </w:rPr>
              <w:t>A defensible, scope-limited prototype that does not make diagnostic claims</w:t>
            </w:r>
          </w:p>
        </w:tc>
      </w:tr>
      <w:tr w14:paraId="5E04C0C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68" w:type="dxa"/>
          </w:tcPr>
          <w:p w14:paraId="523188EB">
            <w:pPr>
              <w:spacing w:after="0"/>
              <w:jc w:val="left"/>
            </w:pPr>
            <w:r>
              <w:rPr>
                <w:rFonts w:ascii="Times New Roman" w:hAnsi="Times New Roman"/>
                <w:sz w:val="22"/>
              </w:rPr>
              <w:t>Future patients of today's students (indirect)</w:t>
            </w:r>
          </w:p>
        </w:tc>
        <w:tc>
          <w:tcPr>
            <w:tcW w:w="2835" w:type="dxa"/>
          </w:tcPr>
          <w:p w14:paraId="7653D8DE">
            <w:pPr>
              <w:spacing w:after="0"/>
              <w:jc w:val="left"/>
            </w:pPr>
            <w:r>
              <w:rPr>
                <w:rFonts w:ascii="Times New Roman" w:hAnsi="Times New Roman"/>
                <w:sz w:val="22"/>
              </w:rPr>
              <w:t>Better-trained radiologists making fewer interpretation errors</w:t>
            </w:r>
          </w:p>
        </w:tc>
        <w:tc>
          <w:tcPr>
            <w:tcW w:w="3969" w:type="dxa"/>
          </w:tcPr>
          <w:p w14:paraId="4F14646B">
            <w:pPr>
              <w:spacing w:after="0"/>
              <w:jc w:val="left"/>
            </w:pPr>
            <w:r>
              <w:rPr>
                <w:rFonts w:ascii="Times New Roman" w:hAnsi="Times New Roman"/>
                <w:sz w:val="22"/>
              </w:rPr>
              <w:t>A pipeline that is designed to be safe, transparent and auditable</w:t>
            </w:r>
          </w:p>
        </w:tc>
      </w:tr>
    </w:tbl>
    <w:p w14:paraId="056E9C8F">
      <w:pPr>
        <w:keepNext w:val="0"/>
        <w:spacing w:before="120" w:after="120"/>
        <w:jc w:val="center"/>
      </w:pPr>
      <w:r>
        <w:rPr>
          <w:rFonts w:ascii="Times New Roman" w:hAnsi="Times New Roman"/>
          <w:b/>
          <w:sz w:val="20"/>
        </w:rPr>
        <w:t xml:space="preserve">Table 3.1: </w:t>
      </w:r>
      <w:r>
        <w:rPr>
          <w:rFonts w:ascii="Times New Roman" w:hAnsi="Times New Roman"/>
          <w:sz w:val="20"/>
        </w:rPr>
        <w:t>Stakeholders and their interest in the artefact</w:t>
      </w:r>
    </w:p>
    <w:p w14:paraId="024190DE">
      <w:pPr>
        <w:pStyle w:val="4"/>
        <w:keepNext/>
        <w:spacing w:before="200" w:after="120"/>
        <w:jc w:val="left"/>
      </w:pPr>
      <w:r>
        <w:rPr>
          <w:rFonts w:ascii="Times New Roman" w:hAnsi="Times New Roman"/>
          <w:b/>
          <w:color w:val="000000"/>
          <w:sz w:val="24"/>
        </w:rPr>
        <w:t>3.1.2 Feasibility Analysis</w:t>
      </w:r>
    </w:p>
    <w:p w14:paraId="1BC144C3">
      <w:pPr>
        <w:spacing w:before="0" w:after="120" w:line="360" w:lineRule="auto"/>
        <w:ind w:firstLine="720"/>
        <w:jc w:val="both"/>
      </w:pPr>
      <w:r>
        <w:rPr>
          <w:rFonts w:ascii="Times New Roman" w:hAnsi="Times New Roman"/>
          <w:sz w:val="22"/>
        </w:rPr>
        <w:t xml:space="preserve">A feasibility study was carried out along the five canonical feasibility dimensions. The analysis is documented in Tables 3.2 to 3.6 and is </w:t>
      </w:r>
      <w:r>
        <w:rPr>
          <w:sz w:val="22"/>
          <w:lang w:val="en-US"/>
        </w:rPr>
        <w:t>summarized</w:t>
      </w:r>
      <w:bookmarkStart w:id="0" w:name="_GoBack"/>
      <w:bookmarkEnd w:id="0"/>
      <w:r>
        <w:rPr>
          <w:rFonts w:ascii="Times New Roman" w:hAnsi="Times New Roman"/>
          <w:sz w:val="22"/>
        </w:rPr>
        <w:t xml:space="preserve"> below.</w:t>
      </w:r>
    </w:p>
    <w:p w14:paraId="5FA57A56">
      <w:pPr>
        <w:pStyle w:val="4"/>
        <w:keepNext/>
        <w:spacing w:before="200" w:after="120"/>
        <w:jc w:val="left"/>
      </w:pPr>
      <w:r>
        <w:rPr>
          <w:rFonts w:ascii="Times New Roman" w:hAnsi="Times New Roman"/>
          <w:b/>
          <w:color w:val="000000"/>
          <w:sz w:val="24"/>
        </w:rPr>
        <w:t>3.1.2.1 Technical Feasibility</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835"/>
        <w:gridCol w:w="6236"/>
      </w:tblGrid>
      <w:tr w14:paraId="29080F7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35" w:type="dxa"/>
          </w:tcPr>
          <w:p w14:paraId="18B5543D">
            <w:pPr>
              <w:spacing w:after="0"/>
              <w:jc w:val="center"/>
            </w:pPr>
            <w:r>
              <w:rPr>
                <w:rFonts w:ascii="Times New Roman" w:hAnsi="Times New Roman"/>
                <w:b/>
                <w:sz w:val="22"/>
              </w:rPr>
              <w:t>Dimension</w:t>
            </w:r>
          </w:p>
        </w:tc>
        <w:tc>
          <w:tcPr>
            <w:tcW w:w="6236" w:type="dxa"/>
          </w:tcPr>
          <w:p w14:paraId="569F99DD">
            <w:pPr>
              <w:spacing w:after="0"/>
              <w:jc w:val="center"/>
            </w:pPr>
            <w:r>
              <w:rPr>
                <w:rFonts w:ascii="Times New Roman" w:hAnsi="Times New Roman"/>
                <w:b/>
                <w:sz w:val="22"/>
              </w:rPr>
              <w:t>Assessment</w:t>
            </w:r>
          </w:p>
        </w:tc>
      </w:tr>
      <w:tr w14:paraId="7672558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35" w:type="dxa"/>
          </w:tcPr>
          <w:p w14:paraId="7A30530E">
            <w:pPr>
              <w:spacing w:after="0"/>
              <w:jc w:val="left"/>
            </w:pPr>
            <w:r>
              <w:rPr>
                <w:rFonts w:ascii="Times New Roman" w:hAnsi="Times New Roman"/>
                <w:sz w:val="22"/>
              </w:rPr>
              <w:t>Compute for MedGemma inference</w:t>
            </w:r>
          </w:p>
        </w:tc>
        <w:tc>
          <w:tcPr>
            <w:tcW w:w="6236" w:type="dxa"/>
          </w:tcPr>
          <w:p w14:paraId="4C00DC8F">
            <w:pPr>
              <w:spacing w:after="0"/>
              <w:jc w:val="left"/>
            </w:pPr>
            <w:r>
              <w:rPr>
                <w:rFonts w:ascii="Times New Roman" w:hAnsi="Times New Roman"/>
                <w:sz w:val="22"/>
              </w:rPr>
              <w:t>Free Kaggle notebook (T4 / P100, 30 GPU hours / week) is sufficient for the 4-bit quantised 1.5-4B-IT variant. Inference is wrapped in a small Flask app exposed via ngrok; the project's FastAPI backend calls it through the IMedGemmaClient port.</w:t>
            </w:r>
          </w:p>
        </w:tc>
      </w:tr>
      <w:tr w14:paraId="212301F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35" w:type="dxa"/>
          </w:tcPr>
          <w:p w14:paraId="5EABC7BD">
            <w:pPr>
              <w:spacing w:after="0"/>
              <w:jc w:val="left"/>
            </w:pPr>
            <w:r>
              <w:rPr>
                <w:rFonts w:ascii="Times New Roman" w:hAnsi="Times New Roman"/>
                <w:sz w:val="22"/>
              </w:rPr>
              <w:t>Compute for development</w:t>
            </w:r>
          </w:p>
        </w:tc>
        <w:tc>
          <w:tcPr>
            <w:tcW w:w="6236" w:type="dxa"/>
          </w:tcPr>
          <w:p w14:paraId="0129C368">
            <w:pPr>
              <w:spacing w:after="0"/>
              <w:jc w:val="left"/>
            </w:pPr>
            <w:r>
              <w:rPr>
                <w:rFonts w:ascii="Times New Roman" w:hAnsi="Times New Roman"/>
                <w:sz w:val="22"/>
              </w:rPr>
              <w:t>Local Python 3.11+ and Node 22+ environments are sufficient. The backend runs on a developer workstation without a GPU by switching to the deterministic dry-run analyzer.</w:t>
            </w:r>
          </w:p>
        </w:tc>
      </w:tr>
      <w:tr w14:paraId="147ADEB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35" w:type="dxa"/>
          </w:tcPr>
          <w:p w14:paraId="7997716E">
            <w:pPr>
              <w:spacing w:after="0"/>
              <w:jc w:val="left"/>
            </w:pPr>
            <w:r>
              <w:rPr>
                <w:rFonts w:ascii="Times New Roman" w:hAnsi="Times New Roman"/>
                <w:sz w:val="22"/>
              </w:rPr>
              <w:t>Model access</w:t>
            </w:r>
          </w:p>
        </w:tc>
        <w:tc>
          <w:tcPr>
            <w:tcW w:w="6236" w:type="dxa"/>
          </w:tcPr>
          <w:p w14:paraId="337555D2">
            <w:pPr>
              <w:spacing w:after="0"/>
              <w:jc w:val="left"/>
            </w:pPr>
            <w:r>
              <w:rPr>
                <w:rFonts w:ascii="Times New Roman" w:hAnsi="Times New Roman"/>
                <w:sz w:val="22"/>
              </w:rPr>
              <w:t>MedGemma is gated on Hugging Face. Access was applied for at the start of the project; the dry-run analyzer keeps the rest of the system testable while access is being processed.</w:t>
            </w:r>
          </w:p>
        </w:tc>
      </w:tr>
      <w:tr w14:paraId="1568E12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35" w:type="dxa"/>
          </w:tcPr>
          <w:p w14:paraId="282F323F">
            <w:pPr>
              <w:spacing w:after="0"/>
              <w:jc w:val="left"/>
            </w:pPr>
            <w:r>
              <w:rPr>
                <w:rFonts w:ascii="Times New Roman" w:hAnsi="Times New Roman"/>
                <w:sz w:val="22"/>
              </w:rPr>
              <w:t>Data availability</w:t>
            </w:r>
          </w:p>
        </w:tc>
        <w:tc>
          <w:tcPr>
            <w:tcW w:w="6236" w:type="dxa"/>
          </w:tcPr>
          <w:p w14:paraId="1FE6EF39">
            <w:pPr>
              <w:spacing w:after="0"/>
              <w:jc w:val="left"/>
            </w:pPr>
            <w:r>
              <w:rPr>
                <w:rFonts w:ascii="Times New Roman" w:hAnsi="Times New Roman"/>
                <w:sz w:val="22"/>
              </w:rPr>
              <w:t>NIH ChestX-ray8 is fully public. The selected subset of around 5,000 images with the Data_Entry_2017_v2020 metadata is available on the developer workstation.</w:t>
            </w:r>
          </w:p>
        </w:tc>
      </w:tr>
      <w:tr w14:paraId="3702360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35" w:type="dxa"/>
          </w:tcPr>
          <w:p w14:paraId="0B475334">
            <w:pPr>
              <w:spacing w:after="0"/>
              <w:jc w:val="left"/>
            </w:pPr>
            <w:r>
              <w:rPr>
                <w:rFonts w:ascii="Times New Roman" w:hAnsi="Times New Roman"/>
                <w:sz w:val="22"/>
              </w:rPr>
              <w:t>Tooling</w:t>
            </w:r>
          </w:p>
        </w:tc>
        <w:tc>
          <w:tcPr>
            <w:tcW w:w="6236" w:type="dxa"/>
          </w:tcPr>
          <w:p w14:paraId="6BB57382">
            <w:pPr>
              <w:spacing w:after="0"/>
              <w:jc w:val="left"/>
            </w:pPr>
            <w:r>
              <w:rPr>
                <w:rFonts w:ascii="Times New Roman" w:hAnsi="Times New Roman"/>
                <w:sz w:val="22"/>
              </w:rPr>
              <w:t>FastAPI, SQLAlchemy, Pydantic, React 18, Vite, TanStack Query, Tailwind - all mature, well-documented libraries.</w:t>
            </w:r>
          </w:p>
        </w:tc>
      </w:tr>
      <w:tr w14:paraId="065A343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35" w:type="dxa"/>
          </w:tcPr>
          <w:p w14:paraId="6E025F43">
            <w:pPr>
              <w:spacing w:after="0"/>
              <w:jc w:val="left"/>
            </w:pPr>
            <w:r>
              <w:rPr>
                <w:rFonts w:ascii="Times New Roman" w:hAnsi="Times New Roman"/>
                <w:sz w:val="22"/>
              </w:rPr>
              <w:t>Conclusion</w:t>
            </w:r>
          </w:p>
        </w:tc>
        <w:tc>
          <w:tcPr>
            <w:tcW w:w="6236" w:type="dxa"/>
          </w:tcPr>
          <w:p w14:paraId="30FC8757">
            <w:pPr>
              <w:spacing w:after="0"/>
              <w:jc w:val="left"/>
            </w:pPr>
            <w:r>
              <w:rPr>
                <w:rFonts w:ascii="Times New Roman" w:hAnsi="Times New Roman"/>
                <w:sz w:val="22"/>
              </w:rPr>
              <w:t>Technically feasible. The only conditional item is the MedGemma access grant; the dry-run path is sufficient for development and the live path is the production switch.</w:t>
            </w:r>
          </w:p>
        </w:tc>
      </w:tr>
    </w:tbl>
    <w:p w14:paraId="395B06CB">
      <w:pPr>
        <w:keepNext w:val="0"/>
        <w:spacing w:before="120" w:after="120"/>
        <w:jc w:val="center"/>
      </w:pPr>
      <w:r>
        <w:rPr>
          <w:rFonts w:ascii="Times New Roman" w:hAnsi="Times New Roman"/>
          <w:b/>
          <w:sz w:val="20"/>
        </w:rPr>
        <w:t xml:space="preserve">Table 3.2: </w:t>
      </w:r>
      <w:r>
        <w:rPr>
          <w:rFonts w:ascii="Times New Roman" w:hAnsi="Times New Roman"/>
          <w:sz w:val="20"/>
        </w:rPr>
        <w:t>Technical feasibility assessment</w:t>
      </w:r>
    </w:p>
    <w:p w14:paraId="26D40B93">
      <w:pPr>
        <w:pStyle w:val="4"/>
        <w:keepNext/>
        <w:spacing w:before="200" w:after="120"/>
        <w:jc w:val="left"/>
      </w:pPr>
      <w:r>
        <w:rPr>
          <w:rFonts w:ascii="Times New Roman" w:hAnsi="Times New Roman"/>
          <w:b/>
          <w:color w:val="000000"/>
          <w:sz w:val="24"/>
        </w:rPr>
        <w:t>3.1.2.2 Financial Feasibility</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835"/>
        <w:gridCol w:w="1475"/>
        <w:gridCol w:w="5102"/>
      </w:tblGrid>
      <w:tr w14:paraId="6116327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35" w:type="dxa"/>
          </w:tcPr>
          <w:p w14:paraId="3C89558F">
            <w:pPr>
              <w:spacing w:after="0"/>
              <w:jc w:val="center"/>
            </w:pPr>
            <w:r>
              <w:rPr>
                <w:rFonts w:ascii="Times New Roman" w:hAnsi="Times New Roman"/>
                <w:b/>
                <w:sz w:val="22"/>
              </w:rPr>
              <w:t>Item</w:t>
            </w:r>
          </w:p>
        </w:tc>
        <w:tc>
          <w:tcPr>
            <w:tcW w:w="1134" w:type="dxa"/>
          </w:tcPr>
          <w:p w14:paraId="5280B8E0">
            <w:pPr>
              <w:spacing w:after="0"/>
              <w:jc w:val="center"/>
            </w:pPr>
            <w:r>
              <w:rPr>
                <w:rFonts w:ascii="Times New Roman" w:hAnsi="Times New Roman"/>
                <w:b/>
                <w:sz w:val="22"/>
              </w:rPr>
              <w:t>Cost (USD)</w:t>
            </w:r>
          </w:p>
        </w:tc>
        <w:tc>
          <w:tcPr>
            <w:tcW w:w="5102" w:type="dxa"/>
          </w:tcPr>
          <w:p w14:paraId="308FFACE">
            <w:pPr>
              <w:spacing w:after="0"/>
              <w:jc w:val="center"/>
            </w:pPr>
            <w:r>
              <w:rPr>
                <w:rFonts w:ascii="Times New Roman" w:hAnsi="Times New Roman"/>
                <w:b/>
                <w:sz w:val="22"/>
              </w:rPr>
              <w:t>Source</w:t>
            </w:r>
          </w:p>
        </w:tc>
      </w:tr>
      <w:tr w14:paraId="4DCB81E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35" w:type="dxa"/>
          </w:tcPr>
          <w:p w14:paraId="5B7A827C">
            <w:pPr>
              <w:spacing w:after="0"/>
              <w:jc w:val="left"/>
            </w:pPr>
            <w:r>
              <w:rPr>
                <w:rFonts w:ascii="Times New Roman" w:hAnsi="Times New Roman"/>
                <w:sz w:val="22"/>
              </w:rPr>
              <w:t>Compute for MedGemma inference</w:t>
            </w:r>
          </w:p>
        </w:tc>
        <w:tc>
          <w:tcPr>
            <w:tcW w:w="1134" w:type="dxa"/>
          </w:tcPr>
          <w:p w14:paraId="4E2B418B">
            <w:pPr>
              <w:spacing w:after="0"/>
              <w:jc w:val="left"/>
            </w:pPr>
            <w:r>
              <w:rPr>
                <w:rFonts w:ascii="Times New Roman" w:hAnsi="Times New Roman"/>
                <w:sz w:val="22"/>
              </w:rPr>
              <w:t>0.00</w:t>
            </w:r>
          </w:p>
        </w:tc>
        <w:tc>
          <w:tcPr>
            <w:tcW w:w="5102" w:type="dxa"/>
          </w:tcPr>
          <w:p w14:paraId="2708D6A1">
            <w:pPr>
              <w:spacing w:after="0"/>
              <w:jc w:val="left"/>
            </w:pPr>
            <w:r>
              <w:rPr>
                <w:rFonts w:ascii="Times New Roman" w:hAnsi="Times New Roman"/>
                <w:sz w:val="22"/>
              </w:rPr>
              <w:t>Kaggle free tier (30 GPU hours / week)</w:t>
            </w:r>
          </w:p>
        </w:tc>
      </w:tr>
      <w:tr w14:paraId="6A418E9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35" w:type="dxa"/>
          </w:tcPr>
          <w:p w14:paraId="1026861E">
            <w:pPr>
              <w:spacing w:after="0"/>
              <w:jc w:val="left"/>
            </w:pPr>
            <w:r>
              <w:rPr>
                <w:rFonts w:ascii="Times New Roman" w:hAnsi="Times New Roman"/>
                <w:sz w:val="22"/>
              </w:rPr>
              <w:t>Public tunnel for the notebook</w:t>
            </w:r>
          </w:p>
        </w:tc>
        <w:tc>
          <w:tcPr>
            <w:tcW w:w="1134" w:type="dxa"/>
          </w:tcPr>
          <w:p w14:paraId="2CDA6355">
            <w:pPr>
              <w:spacing w:after="0"/>
              <w:jc w:val="left"/>
            </w:pPr>
            <w:r>
              <w:rPr>
                <w:rFonts w:ascii="Times New Roman" w:hAnsi="Times New Roman"/>
                <w:sz w:val="22"/>
              </w:rPr>
              <w:t>0.00</w:t>
            </w:r>
          </w:p>
        </w:tc>
        <w:tc>
          <w:tcPr>
            <w:tcW w:w="5102" w:type="dxa"/>
          </w:tcPr>
          <w:p w14:paraId="69ED5B14">
            <w:pPr>
              <w:spacing w:after="0"/>
              <w:jc w:val="left"/>
            </w:pPr>
            <w:r>
              <w:rPr>
                <w:rFonts w:ascii="Times New Roman" w:hAnsi="Times New Roman"/>
                <w:sz w:val="22"/>
              </w:rPr>
              <w:t>ngrok free tier</w:t>
            </w:r>
          </w:p>
        </w:tc>
      </w:tr>
      <w:tr w14:paraId="525A98F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35" w:type="dxa"/>
          </w:tcPr>
          <w:p w14:paraId="4CD36EA5">
            <w:pPr>
              <w:spacing w:after="0"/>
              <w:jc w:val="left"/>
            </w:pPr>
            <w:r>
              <w:rPr>
                <w:rFonts w:ascii="Times New Roman" w:hAnsi="Times New Roman"/>
                <w:sz w:val="22"/>
              </w:rPr>
              <w:t>Version control</w:t>
            </w:r>
          </w:p>
        </w:tc>
        <w:tc>
          <w:tcPr>
            <w:tcW w:w="1134" w:type="dxa"/>
          </w:tcPr>
          <w:p w14:paraId="61DC9DC0">
            <w:pPr>
              <w:spacing w:after="0"/>
              <w:jc w:val="left"/>
            </w:pPr>
            <w:r>
              <w:rPr>
                <w:rFonts w:ascii="Times New Roman" w:hAnsi="Times New Roman"/>
                <w:sz w:val="22"/>
              </w:rPr>
              <w:t>0.00</w:t>
            </w:r>
          </w:p>
        </w:tc>
        <w:tc>
          <w:tcPr>
            <w:tcW w:w="5102" w:type="dxa"/>
          </w:tcPr>
          <w:p w14:paraId="1B235EF3">
            <w:pPr>
              <w:spacing w:after="0"/>
              <w:jc w:val="left"/>
            </w:pPr>
            <w:r>
              <w:rPr>
                <w:rFonts w:ascii="Times New Roman" w:hAnsi="Times New Roman"/>
                <w:sz w:val="22"/>
              </w:rPr>
              <w:t>Git</w:t>
            </w:r>
          </w:p>
        </w:tc>
      </w:tr>
      <w:tr w14:paraId="58307A5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35" w:type="dxa"/>
          </w:tcPr>
          <w:p w14:paraId="469262DA">
            <w:pPr>
              <w:spacing w:after="0"/>
              <w:jc w:val="left"/>
            </w:pPr>
            <w:r>
              <w:rPr>
                <w:rFonts w:ascii="Times New Roman" w:hAnsi="Times New Roman"/>
                <w:sz w:val="22"/>
              </w:rPr>
              <w:t>Editor</w:t>
            </w:r>
          </w:p>
        </w:tc>
        <w:tc>
          <w:tcPr>
            <w:tcW w:w="1134" w:type="dxa"/>
          </w:tcPr>
          <w:p w14:paraId="750ABFF2">
            <w:pPr>
              <w:spacing w:after="0"/>
              <w:jc w:val="left"/>
            </w:pPr>
            <w:r>
              <w:rPr>
                <w:rFonts w:ascii="Times New Roman" w:hAnsi="Times New Roman"/>
                <w:sz w:val="22"/>
              </w:rPr>
              <w:t>0.00</w:t>
            </w:r>
          </w:p>
        </w:tc>
        <w:tc>
          <w:tcPr>
            <w:tcW w:w="5102" w:type="dxa"/>
          </w:tcPr>
          <w:p w14:paraId="186149E7">
            <w:pPr>
              <w:spacing w:after="0"/>
              <w:jc w:val="left"/>
            </w:pPr>
            <w:r>
              <w:rPr>
                <w:rFonts w:ascii="Times New Roman" w:hAnsi="Times New Roman"/>
                <w:sz w:val="22"/>
              </w:rPr>
              <w:t>VS Code</w:t>
            </w:r>
          </w:p>
        </w:tc>
      </w:tr>
      <w:tr w14:paraId="40D8AD8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35" w:type="dxa"/>
          </w:tcPr>
          <w:p w14:paraId="09C9CD43">
            <w:pPr>
              <w:spacing w:after="0"/>
              <w:jc w:val="left"/>
            </w:pPr>
            <w:r>
              <w:rPr>
                <w:rFonts w:ascii="Times New Roman" w:hAnsi="Times New Roman"/>
                <w:sz w:val="22"/>
              </w:rPr>
              <w:t>Dataset</w:t>
            </w:r>
          </w:p>
        </w:tc>
        <w:tc>
          <w:tcPr>
            <w:tcW w:w="1134" w:type="dxa"/>
          </w:tcPr>
          <w:p w14:paraId="1155AC73">
            <w:pPr>
              <w:spacing w:after="0"/>
              <w:jc w:val="left"/>
            </w:pPr>
            <w:r>
              <w:rPr>
                <w:rFonts w:ascii="Times New Roman" w:hAnsi="Times New Roman"/>
                <w:sz w:val="22"/>
              </w:rPr>
              <w:t>0.00</w:t>
            </w:r>
          </w:p>
        </w:tc>
        <w:tc>
          <w:tcPr>
            <w:tcW w:w="5102" w:type="dxa"/>
          </w:tcPr>
          <w:p w14:paraId="07AE3FD5">
            <w:pPr>
              <w:spacing w:after="0"/>
              <w:jc w:val="left"/>
            </w:pPr>
            <w:r>
              <w:rPr>
                <w:rFonts w:ascii="Times New Roman" w:hAnsi="Times New Roman"/>
                <w:sz w:val="22"/>
              </w:rPr>
              <w:t>NIH ChestX-ray8 (public, no licensing fee)</w:t>
            </w:r>
          </w:p>
        </w:tc>
      </w:tr>
      <w:tr w14:paraId="586F4DB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35" w:type="dxa"/>
          </w:tcPr>
          <w:p w14:paraId="7F5CCAF8">
            <w:pPr>
              <w:spacing w:after="0"/>
              <w:jc w:val="left"/>
            </w:pPr>
            <w:r>
              <w:rPr>
                <w:rFonts w:ascii="Times New Roman" w:hAnsi="Times New Roman"/>
                <w:sz w:val="22"/>
              </w:rPr>
              <w:t>Model weights</w:t>
            </w:r>
          </w:p>
        </w:tc>
        <w:tc>
          <w:tcPr>
            <w:tcW w:w="1134" w:type="dxa"/>
          </w:tcPr>
          <w:p w14:paraId="5725B968">
            <w:pPr>
              <w:spacing w:after="0"/>
              <w:jc w:val="left"/>
            </w:pPr>
            <w:r>
              <w:rPr>
                <w:rFonts w:ascii="Times New Roman" w:hAnsi="Times New Roman"/>
                <w:sz w:val="22"/>
              </w:rPr>
              <w:t>0.00</w:t>
            </w:r>
          </w:p>
        </w:tc>
        <w:tc>
          <w:tcPr>
            <w:tcW w:w="5102" w:type="dxa"/>
          </w:tcPr>
          <w:p w14:paraId="7E902195">
            <w:pPr>
              <w:spacing w:after="0"/>
              <w:jc w:val="left"/>
            </w:pPr>
            <w:r>
              <w:rPr>
                <w:rFonts w:ascii="Times New Roman" w:hAnsi="Times New Roman"/>
                <w:sz w:val="22"/>
              </w:rPr>
              <w:t>MedGemma 1.5-4B-IT (research-use license)</w:t>
            </w:r>
          </w:p>
        </w:tc>
      </w:tr>
      <w:tr w14:paraId="291BDDD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35" w:type="dxa"/>
          </w:tcPr>
          <w:p w14:paraId="2EBF5EE8">
            <w:pPr>
              <w:spacing w:after="0"/>
              <w:jc w:val="left"/>
            </w:pPr>
            <w:r>
              <w:rPr>
                <w:rFonts w:ascii="Times New Roman" w:hAnsi="Times New Roman"/>
                <w:sz w:val="22"/>
              </w:rPr>
              <w:t>Domain and hosting</w:t>
            </w:r>
          </w:p>
        </w:tc>
        <w:tc>
          <w:tcPr>
            <w:tcW w:w="1134" w:type="dxa"/>
          </w:tcPr>
          <w:p w14:paraId="7192AB7A">
            <w:pPr>
              <w:spacing w:after="0"/>
              <w:jc w:val="left"/>
            </w:pPr>
            <w:r>
              <w:rPr>
                <w:rFonts w:ascii="Times New Roman" w:hAnsi="Times New Roman"/>
                <w:sz w:val="22"/>
              </w:rPr>
              <w:t>0.00</w:t>
            </w:r>
          </w:p>
        </w:tc>
        <w:tc>
          <w:tcPr>
            <w:tcW w:w="5102" w:type="dxa"/>
          </w:tcPr>
          <w:p w14:paraId="049CB9BD">
            <w:pPr>
              <w:spacing w:after="0"/>
              <w:jc w:val="left"/>
            </w:pPr>
            <w:r>
              <w:rPr>
                <w:rFonts w:ascii="Times New Roman" w:hAnsi="Times New Roman"/>
                <w:sz w:val="22"/>
              </w:rPr>
              <w:t>Local workstation; the project is not deployed publicly in Phase 1</w:t>
            </w:r>
          </w:p>
        </w:tc>
      </w:tr>
      <w:tr w14:paraId="3685440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35" w:type="dxa"/>
          </w:tcPr>
          <w:p w14:paraId="6C060730">
            <w:pPr>
              <w:spacing w:after="0"/>
              <w:jc w:val="left"/>
            </w:pPr>
            <w:r>
              <w:rPr>
                <w:rFonts w:ascii="Times New Roman" w:hAnsi="Times New Roman"/>
                <w:sz w:val="22"/>
              </w:rPr>
              <w:t>Total cash outlay</w:t>
            </w:r>
          </w:p>
        </w:tc>
        <w:tc>
          <w:tcPr>
            <w:tcW w:w="1134" w:type="dxa"/>
          </w:tcPr>
          <w:p w14:paraId="56E7FAAF">
            <w:pPr>
              <w:spacing w:after="0"/>
              <w:jc w:val="left"/>
            </w:pPr>
            <w:r>
              <w:rPr>
                <w:rFonts w:ascii="Times New Roman" w:hAnsi="Times New Roman"/>
                <w:sz w:val="22"/>
              </w:rPr>
              <w:t>0.00</w:t>
            </w:r>
          </w:p>
        </w:tc>
        <w:tc>
          <w:tcPr>
            <w:tcW w:w="5102" w:type="dxa"/>
          </w:tcPr>
          <w:p w14:paraId="68608BC9">
            <w:pPr>
              <w:spacing w:after="0"/>
              <w:jc w:val="left"/>
            </w:pPr>
            <w:r>
              <w:rPr>
                <w:rFonts w:ascii="Times New Roman" w:hAnsi="Times New Roman"/>
                <w:sz w:val="22"/>
              </w:rPr>
              <w:t>-</w:t>
            </w:r>
          </w:p>
        </w:tc>
      </w:tr>
      <w:tr w14:paraId="66FC92A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35" w:type="dxa"/>
          </w:tcPr>
          <w:p w14:paraId="1D665A79">
            <w:pPr>
              <w:spacing w:after="0"/>
              <w:jc w:val="left"/>
            </w:pPr>
            <w:r>
              <w:rPr>
                <w:rFonts w:ascii="Times New Roman" w:hAnsi="Times New Roman"/>
                <w:sz w:val="22"/>
              </w:rPr>
              <w:t>Conclusion</w:t>
            </w:r>
          </w:p>
        </w:tc>
        <w:tc>
          <w:tcPr>
            <w:tcW w:w="1134" w:type="dxa"/>
          </w:tcPr>
          <w:p w14:paraId="245643A4">
            <w:pPr>
              <w:spacing w:after="0"/>
              <w:jc w:val="left"/>
            </w:pPr>
            <w:r>
              <w:rPr>
                <w:rFonts w:ascii="Times New Roman" w:hAnsi="Times New Roman"/>
                <w:sz w:val="22"/>
              </w:rPr>
              <w:t>Financially feasible within an undergraduate project budget. The cash outlay is zero; the cost is in developer time and in Kaggle GPU quota, which is the binding constraint.</w:t>
            </w:r>
          </w:p>
        </w:tc>
        <w:tc>
          <w:tcPr>
            <w:tcW w:w="5102" w:type="dxa"/>
          </w:tcPr>
          <w:p w14:paraId="379CBB64">
            <w:pPr>
              <w:spacing w:after="0"/>
            </w:pPr>
          </w:p>
        </w:tc>
      </w:tr>
    </w:tbl>
    <w:p w14:paraId="033AFF7A">
      <w:pPr>
        <w:keepNext w:val="0"/>
        <w:spacing w:before="120" w:after="120"/>
        <w:jc w:val="center"/>
      </w:pPr>
      <w:r>
        <w:rPr>
          <w:rFonts w:ascii="Times New Roman" w:hAnsi="Times New Roman"/>
          <w:b/>
          <w:sz w:val="20"/>
        </w:rPr>
        <w:t xml:space="preserve">Table 3.3: </w:t>
      </w:r>
      <w:r>
        <w:rPr>
          <w:rFonts w:ascii="Times New Roman" w:hAnsi="Times New Roman"/>
          <w:sz w:val="20"/>
        </w:rPr>
        <w:t>Financial feasibility assessment</w:t>
      </w:r>
    </w:p>
    <w:p w14:paraId="04C5B4EA">
      <w:pPr>
        <w:pStyle w:val="4"/>
        <w:keepNext/>
        <w:spacing w:before="200" w:after="120"/>
        <w:jc w:val="left"/>
      </w:pPr>
      <w:r>
        <w:rPr>
          <w:rFonts w:ascii="Times New Roman" w:hAnsi="Times New Roman"/>
          <w:b/>
          <w:color w:val="000000"/>
          <w:sz w:val="24"/>
        </w:rPr>
        <w:t>3.1.2.3 Operational Feasibility</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835"/>
        <w:gridCol w:w="6236"/>
      </w:tblGrid>
      <w:tr w14:paraId="62BE394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35" w:type="dxa"/>
          </w:tcPr>
          <w:p w14:paraId="67E32734">
            <w:pPr>
              <w:spacing w:after="0"/>
              <w:jc w:val="center"/>
            </w:pPr>
            <w:r>
              <w:rPr>
                <w:rFonts w:ascii="Times New Roman" w:hAnsi="Times New Roman"/>
                <w:b/>
                <w:sz w:val="22"/>
              </w:rPr>
              <w:t>Dimension</w:t>
            </w:r>
          </w:p>
        </w:tc>
        <w:tc>
          <w:tcPr>
            <w:tcW w:w="6236" w:type="dxa"/>
          </w:tcPr>
          <w:p w14:paraId="0582F45F">
            <w:pPr>
              <w:spacing w:after="0"/>
              <w:jc w:val="center"/>
            </w:pPr>
            <w:r>
              <w:rPr>
                <w:rFonts w:ascii="Times New Roman" w:hAnsi="Times New Roman"/>
                <w:b/>
                <w:sz w:val="22"/>
              </w:rPr>
              <w:t>Assessment</w:t>
            </w:r>
          </w:p>
        </w:tc>
      </w:tr>
      <w:tr w14:paraId="133EE8D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35" w:type="dxa"/>
          </w:tcPr>
          <w:p w14:paraId="35FEB30C">
            <w:pPr>
              <w:spacing w:after="0"/>
              <w:jc w:val="left"/>
            </w:pPr>
            <w:r>
              <w:rPr>
                <w:rFonts w:ascii="Times New Roman" w:hAnsi="Times New Roman"/>
                <w:sz w:val="22"/>
              </w:rPr>
              <w:t>Team</w:t>
            </w:r>
          </w:p>
        </w:tc>
        <w:tc>
          <w:tcPr>
            <w:tcW w:w="6236" w:type="dxa"/>
          </w:tcPr>
          <w:p w14:paraId="49310C0D">
            <w:pPr>
              <w:spacing w:after="0"/>
              <w:jc w:val="left"/>
            </w:pPr>
            <w:r>
              <w:rPr>
                <w:rFonts w:ascii="Times New Roman" w:hAnsi="Times New Roman"/>
                <w:sz w:val="22"/>
              </w:rPr>
              <w:t>Single developer, with weekly supervision and a module-leader review at each milestone.</w:t>
            </w:r>
          </w:p>
        </w:tc>
      </w:tr>
      <w:tr w14:paraId="25870D5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35" w:type="dxa"/>
          </w:tcPr>
          <w:p w14:paraId="5DDBFFB7">
            <w:pPr>
              <w:spacing w:after="0"/>
              <w:jc w:val="left"/>
            </w:pPr>
            <w:r>
              <w:rPr>
                <w:rFonts w:ascii="Times New Roman" w:hAnsi="Times New Roman"/>
                <w:sz w:val="22"/>
              </w:rPr>
              <w:t>Time</w:t>
            </w:r>
          </w:p>
        </w:tc>
        <w:tc>
          <w:tcPr>
            <w:tcW w:w="6236" w:type="dxa"/>
          </w:tcPr>
          <w:p w14:paraId="2941038A">
            <w:pPr>
              <w:spacing w:after="0"/>
              <w:jc w:val="left"/>
            </w:pPr>
            <w:r>
              <w:rPr>
                <w:rFonts w:ascii="Times New Roman" w:hAnsi="Times New Roman"/>
                <w:sz w:val="22"/>
              </w:rPr>
              <w:t>About 15 weeks of part-time work, mapped to the 15-week semester. The schedule is detailed in Section 3.1.3.</w:t>
            </w:r>
          </w:p>
        </w:tc>
      </w:tr>
      <w:tr w14:paraId="34D4B96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35" w:type="dxa"/>
          </w:tcPr>
          <w:p w14:paraId="534AE671">
            <w:pPr>
              <w:spacing w:after="0"/>
              <w:jc w:val="left"/>
            </w:pPr>
            <w:r>
              <w:rPr>
                <w:rFonts w:ascii="Times New Roman" w:hAnsi="Times New Roman"/>
                <w:sz w:val="22"/>
              </w:rPr>
              <w:t>Tooling fluency</w:t>
            </w:r>
          </w:p>
        </w:tc>
        <w:tc>
          <w:tcPr>
            <w:tcW w:w="6236" w:type="dxa"/>
          </w:tcPr>
          <w:p w14:paraId="33E775CB">
            <w:pPr>
              <w:spacing w:after="0"/>
              <w:jc w:val="left"/>
            </w:pPr>
            <w:r>
              <w:rPr>
                <w:rFonts w:ascii="Times New Roman" w:hAnsi="Times New Roman"/>
                <w:sz w:val="22"/>
              </w:rPr>
              <w:t>Python, JavaScript / TypeScript, FastAPI, React, SQL and basic ML are within the developer's existing skill set. The Kaggle notebook and ngrok tunnel are new infrastructure components and are scoped as a single setup task.</w:t>
            </w:r>
          </w:p>
        </w:tc>
      </w:tr>
      <w:tr w14:paraId="3AF0653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35" w:type="dxa"/>
          </w:tcPr>
          <w:p w14:paraId="05E2FE49">
            <w:pPr>
              <w:spacing w:after="0"/>
              <w:jc w:val="left"/>
            </w:pPr>
            <w:r>
              <w:rPr>
                <w:rFonts w:ascii="Times New Roman" w:hAnsi="Times New Roman"/>
                <w:sz w:val="22"/>
              </w:rPr>
              <w:t>Supervisor availability</w:t>
            </w:r>
          </w:p>
        </w:tc>
        <w:tc>
          <w:tcPr>
            <w:tcW w:w="6236" w:type="dxa"/>
          </w:tcPr>
          <w:p w14:paraId="36D2E851">
            <w:pPr>
              <w:spacing w:after="0"/>
              <w:jc w:val="left"/>
            </w:pPr>
            <w:r>
              <w:rPr>
                <w:rFonts w:ascii="Times New Roman" w:hAnsi="Times New Roman"/>
                <w:sz w:val="22"/>
              </w:rPr>
              <w:t>Weekly supervision slots with Mr. Harindu Mansaka. Module leader checkpoints at the proposal, professionalism assessment, 50% development milestone and final submission.</w:t>
            </w:r>
          </w:p>
        </w:tc>
      </w:tr>
      <w:tr w14:paraId="720A7A6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35" w:type="dxa"/>
          </w:tcPr>
          <w:p w14:paraId="5734A516">
            <w:pPr>
              <w:spacing w:after="0"/>
              <w:jc w:val="left"/>
            </w:pPr>
            <w:r>
              <w:rPr>
                <w:rFonts w:ascii="Times New Roman" w:hAnsi="Times New Roman"/>
                <w:sz w:val="22"/>
              </w:rPr>
              <w:t>Risk</w:t>
            </w:r>
          </w:p>
        </w:tc>
        <w:tc>
          <w:tcPr>
            <w:tcW w:w="6236" w:type="dxa"/>
          </w:tcPr>
          <w:p w14:paraId="7A29092D">
            <w:pPr>
              <w:spacing w:after="0"/>
              <w:jc w:val="left"/>
            </w:pPr>
            <w:r>
              <w:rPr>
                <w:rFonts w:ascii="Times New Roman" w:hAnsi="Times New Roman"/>
                <w:sz w:val="22"/>
              </w:rPr>
              <w:t>Kaggle GPU quota and ngrok session lifetime are the main operational risks. Both are mitigated by the dry-run analyzer and by an idempotent rebuild script.</w:t>
            </w:r>
          </w:p>
        </w:tc>
      </w:tr>
      <w:tr w14:paraId="48765E2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35" w:type="dxa"/>
          </w:tcPr>
          <w:p w14:paraId="4C70FA45">
            <w:pPr>
              <w:spacing w:after="0"/>
              <w:jc w:val="left"/>
            </w:pPr>
            <w:r>
              <w:rPr>
                <w:rFonts w:ascii="Times New Roman" w:hAnsi="Times New Roman"/>
                <w:sz w:val="22"/>
              </w:rPr>
              <w:t>Conclusion</w:t>
            </w:r>
          </w:p>
        </w:tc>
        <w:tc>
          <w:tcPr>
            <w:tcW w:w="6236" w:type="dxa"/>
          </w:tcPr>
          <w:p w14:paraId="1224C740">
            <w:pPr>
              <w:spacing w:after="0"/>
              <w:jc w:val="left"/>
            </w:pPr>
            <w:r>
              <w:rPr>
                <w:rFonts w:ascii="Times New Roman" w:hAnsi="Times New Roman"/>
                <w:sz w:val="22"/>
              </w:rPr>
              <w:t>Operationally feasible. The plan fits inside the academic calendar and the developer time envelope.</w:t>
            </w:r>
          </w:p>
        </w:tc>
      </w:tr>
    </w:tbl>
    <w:p w14:paraId="211FA470">
      <w:pPr>
        <w:keepNext w:val="0"/>
        <w:spacing w:before="120" w:after="120"/>
        <w:jc w:val="center"/>
      </w:pPr>
      <w:r>
        <w:rPr>
          <w:rFonts w:ascii="Times New Roman" w:hAnsi="Times New Roman"/>
          <w:b/>
          <w:sz w:val="20"/>
        </w:rPr>
        <w:t xml:space="preserve">Table 3.4: </w:t>
      </w:r>
      <w:r>
        <w:rPr>
          <w:rFonts w:ascii="Times New Roman" w:hAnsi="Times New Roman"/>
          <w:sz w:val="20"/>
        </w:rPr>
        <w:t>Operational feasibility assessment</w:t>
      </w:r>
    </w:p>
    <w:p w14:paraId="35D63299">
      <w:pPr>
        <w:pStyle w:val="4"/>
        <w:keepNext/>
        <w:spacing w:before="200" w:after="120"/>
        <w:jc w:val="left"/>
      </w:pPr>
      <w:r>
        <w:rPr>
          <w:rFonts w:ascii="Times New Roman" w:hAnsi="Times New Roman"/>
          <w:b/>
          <w:color w:val="000000"/>
          <w:sz w:val="24"/>
        </w:rPr>
        <w:t>3.1.2.4 Legal Feasibility</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835"/>
        <w:gridCol w:w="6236"/>
      </w:tblGrid>
      <w:tr w14:paraId="421DA61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35" w:type="dxa"/>
          </w:tcPr>
          <w:p w14:paraId="5C31F1BC">
            <w:pPr>
              <w:spacing w:after="0"/>
              <w:jc w:val="center"/>
            </w:pPr>
            <w:r>
              <w:rPr>
                <w:rFonts w:ascii="Times New Roman" w:hAnsi="Times New Roman"/>
                <w:b/>
                <w:sz w:val="22"/>
              </w:rPr>
              <w:t>Dimension</w:t>
            </w:r>
          </w:p>
        </w:tc>
        <w:tc>
          <w:tcPr>
            <w:tcW w:w="6236" w:type="dxa"/>
          </w:tcPr>
          <w:p w14:paraId="1A483323">
            <w:pPr>
              <w:spacing w:after="0"/>
              <w:jc w:val="center"/>
            </w:pPr>
            <w:r>
              <w:rPr>
                <w:rFonts w:ascii="Times New Roman" w:hAnsi="Times New Roman"/>
                <w:b/>
                <w:sz w:val="22"/>
              </w:rPr>
              <w:t>Assessment</w:t>
            </w:r>
          </w:p>
        </w:tc>
      </w:tr>
      <w:tr w14:paraId="07759C8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35" w:type="dxa"/>
          </w:tcPr>
          <w:p w14:paraId="196B03F3">
            <w:pPr>
              <w:spacing w:after="0"/>
              <w:jc w:val="left"/>
            </w:pPr>
            <w:r>
              <w:rPr>
                <w:rFonts w:ascii="Times New Roman" w:hAnsi="Times New Roman"/>
                <w:sz w:val="22"/>
              </w:rPr>
              <w:t>Dataset licensing</w:t>
            </w:r>
          </w:p>
        </w:tc>
        <w:tc>
          <w:tcPr>
            <w:tcW w:w="6236" w:type="dxa"/>
          </w:tcPr>
          <w:p w14:paraId="5FB20D5D">
            <w:pPr>
              <w:spacing w:after="0"/>
              <w:jc w:val="left"/>
            </w:pPr>
            <w:r>
              <w:rPr>
                <w:rFonts w:ascii="Times New Roman" w:hAnsi="Times New Roman"/>
                <w:sz w:val="22"/>
              </w:rPr>
              <w:t>NIH ChestX-ray8 is released for research and educational use; the licence permits the project's use case (Wang et al., 2017).</w:t>
            </w:r>
          </w:p>
        </w:tc>
      </w:tr>
      <w:tr w14:paraId="15FACF0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35" w:type="dxa"/>
          </w:tcPr>
          <w:p w14:paraId="6E8CC95D">
            <w:pPr>
              <w:spacing w:after="0"/>
              <w:jc w:val="left"/>
            </w:pPr>
            <w:r>
              <w:rPr>
                <w:rFonts w:ascii="Times New Roman" w:hAnsi="Times New Roman"/>
                <w:sz w:val="22"/>
              </w:rPr>
              <w:t>Model licensing</w:t>
            </w:r>
          </w:p>
        </w:tc>
        <w:tc>
          <w:tcPr>
            <w:tcW w:w="6236" w:type="dxa"/>
          </w:tcPr>
          <w:p w14:paraId="026661AB">
            <w:pPr>
              <w:spacing w:after="0"/>
              <w:jc w:val="left"/>
            </w:pPr>
            <w:r>
              <w:rPr>
                <w:rFonts w:ascii="Times New Roman" w:hAnsi="Times New Roman"/>
                <w:sz w:val="22"/>
              </w:rPr>
              <w:t>MedGemma is released under the Health AI Developer Foundations terms, which permit research use and fine-tuning (Sellergren et al., 2025).</w:t>
            </w:r>
          </w:p>
        </w:tc>
      </w:tr>
      <w:tr w14:paraId="156808B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35" w:type="dxa"/>
          </w:tcPr>
          <w:p w14:paraId="7B96FFFF">
            <w:pPr>
              <w:spacing w:after="0"/>
              <w:jc w:val="left"/>
            </w:pPr>
            <w:r>
              <w:rPr>
                <w:rFonts w:ascii="Times New Roman" w:hAnsi="Times New Roman"/>
                <w:sz w:val="22"/>
              </w:rPr>
              <w:t>Personal data</w:t>
            </w:r>
          </w:p>
        </w:tc>
        <w:tc>
          <w:tcPr>
            <w:tcW w:w="6236" w:type="dxa"/>
          </w:tcPr>
          <w:p w14:paraId="63093828">
            <w:pPr>
              <w:spacing w:after="0"/>
              <w:jc w:val="left"/>
            </w:pPr>
            <w:r>
              <w:rPr>
                <w:rFonts w:ascii="Times New Roman" w:hAnsi="Times New Roman"/>
                <w:sz w:val="22"/>
              </w:rPr>
              <w:t>Only de-identified public CXR images are used. No patient names, hospital numbers, dates of birth or other identifiers are stored. The Personal Data Protection Act, No. 9 of 2022 of Sri Lanka is respected (Parliament of Sri Lanka, 2022).</w:t>
            </w:r>
          </w:p>
        </w:tc>
      </w:tr>
      <w:tr w14:paraId="05D77CB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35" w:type="dxa"/>
          </w:tcPr>
          <w:p w14:paraId="0E3ED066">
            <w:pPr>
              <w:spacing w:after="0"/>
              <w:jc w:val="left"/>
            </w:pPr>
            <w:r>
              <w:rPr>
                <w:rFonts w:ascii="Times New Roman" w:hAnsi="Times New Roman"/>
                <w:sz w:val="22"/>
              </w:rPr>
              <w:t>Student data</w:t>
            </w:r>
          </w:p>
        </w:tc>
        <w:tc>
          <w:tcPr>
            <w:tcW w:w="6236" w:type="dxa"/>
          </w:tcPr>
          <w:p w14:paraId="2CB1275B">
            <w:pPr>
              <w:spacing w:after="0"/>
              <w:jc w:val="left"/>
            </w:pPr>
            <w:r>
              <w:rPr>
                <w:rFonts w:ascii="Times New Roman" w:hAnsi="Times New Roman"/>
                <w:sz w:val="22"/>
              </w:rPr>
              <w:t>Student interpretations are stored as pseudonymous UUID-keyed records. Participation is voluntary and separated from academic marking.</w:t>
            </w:r>
          </w:p>
        </w:tc>
      </w:tr>
      <w:tr w14:paraId="31EE282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35" w:type="dxa"/>
          </w:tcPr>
          <w:p w14:paraId="32133417">
            <w:pPr>
              <w:spacing w:after="0"/>
              <w:jc w:val="left"/>
            </w:pPr>
            <w:r>
              <w:rPr>
                <w:rFonts w:ascii="Times New Roman" w:hAnsi="Times New Roman"/>
                <w:sz w:val="22"/>
              </w:rPr>
              <w:t>Educational-use framing</w:t>
            </w:r>
          </w:p>
        </w:tc>
        <w:tc>
          <w:tcPr>
            <w:tcW w:w="6236" w:type="dxa"/>
          </w:tcPr>
          <w:p w14:paraId="58AFC483">
            <w:pPr>
              <w:spacing w:after="0"/>
              <w:jc w:val="left"/>
            </w:pPr>
            <w:r>
              <w:rPr>
                <w:rFonts w:ascii="Times New Roman" w:hAnsi="Times New Roman"/>
                <w:sz w:val="22"/>
              </w:rPr>
              <w:t>The interface states clearly: 'For educational use only. Not for clinical decision-making, diagnosis, treatment or patient management.' The disclaimer is repeated on every page via a persistent banner.</w:t>
            </w:r>
          </w:p>
        </w:tc>
      </w:tr>
      <w:tr w14:paraId="22F314F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35" w:type="dxa"/>
          </w:tcPr>
          <w:p w14:paraId="346158A8">
            <w:pPr>
              <w:spacing w:after="0"/>
              <w:jc w:val="left"/>
            </w:pPr>
            <w:r>
              <w:rPr>
                <w:rFonts w:ascii="Times New Roman" w:hAnsi="Times New Roman"/>
                <w:sz w:val="22"/>
              </w:rPr>
              <w:t>Intellectual property</w:t>
            </w:r>
          </w:p>
        </w:tc>
        <w:tc>
          <w:tcPr>
            <w:tcW w:w="6236" w:type="dxa"/>
          </w:tcPr>
          <w:p w14:paraId="6E2A8F6D">
            <w:pPr>
              <w:spacing w:after="0"/>
              <w:jc w:val="left"/>
            </w:pPr>
            <w:r>
              <w:rPr>
                <w:rFonts w:ascii="Times New Roman" w:hAnsi="Times New Roman"/>
                <w:sz w:val="22"/>
              </w:rPr>
              <w:t>The RAG corpus uses only open-access papers and openly licensed guidelines. A source register records every document used.</w:t>
            </w:r>
          </w:p>
        </w:tc>
      </w:tr>
      <w:tr w14:paraId="090AC5B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35" w:type="dxa"/>
          </w:tcPr>
          <w:p w14:paraId="3D76D1D6">
            <w:pPr>
              <w:spacing w:after="0"/>
              <w:jc w:val="left"/>
            </w:pPr>
            <w:r>
              <w:rPr>
                <w:rFonts w:ascii="Times New Roman" w:hAnsi="Times New Roman"/>
                <w:sz w:val="22"/>
              </w:rPr>
              <w:t>Conclusion</w:t>
            </w:r>
          </w:p>
        </w:tc>
        <w:tc>
          <w:tcPr>
            <w:tcW w:w="6236" w:type="dxa"/>
          </w:tcPr>
          <w:p w14:paraId="3E297D45">
            <w:pPr>
              <w:spacing w:after="0"/>
              <w:jc w:val="left"/>
            </w:pPr>
            <w:r>
              <w:rPr>
                <w:rFonts w:ascii="Times New Roman" w:hAnsi="Times New Roman"/>
                <w:sz w:val="22"/>
              </w:rPr>
              <w:t>Legally feasible within the educational and research-use scope of the project.</w:t>
            </w:r>
          </w:p>
        </w:tc>
      </w:tr>
    </w:tbl>
    <w:p w14:paraId="7C1F1A43">
      <w:pPr>
        <w:keepNext w:val="0"/>
        <w:spacing w:before="120" w:after="120"/>
        <w:jc w:val="center"/>
      </w:pPr>
      <w:r>
        <w:rPr>
          <w:rFonts w:ascii="Times New Roman" w:hAnsi="Times New Roman"/>
          <w:b/>
          <w:sz w:val="20"/>
        </w:rPr>
        <w:t xml:space="preserve">Table 3.5: </w:t>
      </w:r>
      <w:r>
        <w:rPr>
          <w:rFonts w:ascii="Times New Roman" w:hAnsi="Times New Roman"/>
          <w:sz w:val="20"/>
        </w:rPr>
        <w:t>Legal feasibility assessment</w:t>
      </w:r>
    </w:p>
    <w:p w14:paraId="40354E97">
      <w:pPr>
        <w:pStyle w:val="4"/>
        <w:keepNext/>
        <w:spacing w:before="200" w:after="120"/>
        <w:jc w:val="left"/>
      </w:pPr>
      <w:r>
        <w:rPr>
          <w:rFonts w:ascii="Times New Roman" w:hAnsi="Times New Roman"/>
          <w:b/>
          <w:color w:val="000000"/>
          <w:sz w:val="24"/>
        </w:rPr>
        <w:t>3.1.2.5 Schedule Feasibility</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3969"/>
        <w:gridCol w:w="1134"/>
        <w:gridCol w:w="3969"/>
      </w:tblGrid>
      <w:tr w14:paraId="2432C8F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969" w:type="dxa"/>
          </w:tcPr>
          <w:p w14:paraId="6B74B243">
            <w:pPr>
              <w:spacing w:after="0"/>
              <w:jc w:val="center"/>
            </w:pPr>
            <w:r>
              <w:rPr>
                <w:rFonts w:ascii="Times New Roman" w:hAnsi="Times New Roman"/>
                <w:b/>
                <w:sz w:val="22"/>
              </w:rPr>
              <w:t>Phase</w:t>
            </w:r>
          </w:p>
        </w:tc>
        <w:tc>
          <w:tcPr>
            <w:tcW w:w="1134" w:type="dxa"/>
          </w:tcPr>
          <w:p w14:paraId="614F415C">
            <w:pPr>
              <w:spacing w:after="0"/>
              <w:jc w:val="center"/>
            </w:pPr>
            <w:r>
              <w:rPr>
                <w:rFonts w:ascii="Times New Roman" w:hAnsi="Times New Roman"/>
                <w:b/>
                <w:sz w:val="22"/>
              </w:rPr>
              <w:t>Weeks</w:t>
            </w:r>
          </w:p>
        </w:tc>
        <w:tc>
          <w:tcPr>
            <w:tcW w:w="3969" w:type="dxa"/>
          </w:tcPr>
          <w:p w14:paraId="3BBFF3F0">
            <w:pPr>
              <w:spacing w:after="0"/>
              <w:jc w:val="center"/>
            </w:pPr>
            <w:r>
              <w:rPr>
                <w:rFonts w:ascii="Times New Roman" w:hAnsi="Times New Roman"/>
                <w:b/>
                <w:sz w:val="22"/>
              </w:rPr>
              <w:t>Deliverable</w:t>
            </w:r>
          </w:p>
        </w:tc>
      </w:tr>
      <w:tr w14:paraId="4D928CF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969" w:type="dxa"/>
          </w:tcPr>
          <w:p w14:paraId="6954CB38">
            <w:pPr>
              <w:spacing w:after="0"/>
              <w:jc w:val="left"/>
            </w:pPr>
            <w:r>
              <w:rPr>
                <w:rFonts w:ascii="Times New Roman" w:hAnsi="Times New Roman"/>
                <w:sz w:val="22"/>
              </w:rPr>
              <w:t>1. Literature Review and Proposal</w:t>
            </w:r>
          </w:p>
        </w:tc>
        <w:tc>
          <w:tcPr>
            <w:tcW w:w="1134" w:type="dxa"/>
          </w:tcPr>
          <w:p w14:paraId="6658F47C">
            <w:pPr>
              <w:spacing w:after="0"/>
              <w:jc w:val="left"/>
            </w:pPr>
            <w:r>
              <w:rPr>
                <w:rFonts w:ascii="Times New Roman" w:hAnsi="Times New Roman"/>
                <w:sz w:val="22"/>
              </w:rPr>
              <w:t>1-3</w:t>
            </w:r>
          </w:p>
        </w:tc>
        <w:tc>
          <w:tcPr>
            <w:tcW w:w="3969" w:type="dxa"/>
          </w:tcPr>
          <w:p w14:paraId="36BAB073">
            <w:pPr>
              <w:spacing w:after="0"/>
              <w:jc w:val="left"/>
            </w:pPr>
            <w:r>
              <w:rPr>
                <w:rFonts w:ascii="Times New Roman" w:hAnsi="Times New Roman"/>
                <w:sz w:val="22"/>
              </w:rPr>
              <w:t>Approved proposal</w:t>
            </w:r>
          </w:p>
        </w:tc>
      </w:tr>
      <w:tr w14:paraId="20DC708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969" w:type="dxa"/>
          </w:tcPr>
          <w:p w14:paraId="60FCCD49">
            <w:pPr>
              <w:spacing w:after="0"/>
              <w:jc w:val="left"/>
            </w:pPr>
            <w:r>
              <w:rPr>
                <w:rFonts w:ascii="Times New Roman" w:hAnsi="Times New Roman"/>
                <w:sz w:val="22"/>
              </w:rPr>
              <w:t>2. Requirement Analysis and Data Selection</w:t>
            </w:r>
          </w:p>
        </w:tc>
        <w:tc>
          <w:tcPr>
            <w:tcW w:w="1134" w:type="dxa"/>
          </w:tcPr>
          <w:p w14:paraId="67F5CE9B">
            <w:pPr>
              <w:spacing w:after="0"/>
              <w:jc w:val="left"/>
            </w:pPr>
            <w:r>
              <w:rPr>
                <w:rFonts w:ascii="Times New Roman" w:hAnsi="Times New Roman"/>
                <w:sz w:val="22"/>
              </w:rPr>
              <w:t>4-5</w:t>
            </w:r>
          </w:p>
        </w:tc>
        <w:tc>
          <w:tcPr>
            <w:tcW w:w="3969" w:type="dxa"/>
          </w:tcPr>
          <w:p w14:paraId="6BF8B06F">
            <w:pPr>
              <w:spacing w:after="0"/>
              <w:jc w:val="left"/>
            </w:pPr>
            <w:r>
              <w:rPr>
                <w:rFonts w:ascii="Times New Roman" w:hAnsi="Times New Roman"/>
                <w:sz w:val="22"/>
              </w:rPr>
              <w:t>Requirements document; selected findings and data</w:t>
            </w:r>
          </w:p>
        </w:tc>
      </w:tr>
      <w:tr w14:paraId="69080B5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969" w:type="dxa"/>
          </w:tcPr>
          <w:p w14:paraId="39C849EA">
            <w:pPr>
              <w:spacing w:after="0"/>
              <w:jc w:val="left"/>
            </w:pPr>
            <w:r>
              <w:rPr>
                <w:rFonts w:ascii="Times New Roman" w:hAnsi="Times New Roman"/>
                <w:sz w:val="22"/>
              </w:rPr>
              <w:t>3. System Design and Corpus Build</w:t>
            </w:r>
          </w:p>
        </w:tc>
        <w:tc>
          <w:tcPr>
            <w:tcW w:w="1134" w:type="dxa"/>
          </w:tcPr>
          <w:p w14:paraId="0BD2705D">
            <w:pPr>
              <w:spacing w:after="0"/>
              <w:jc w:val="left"/>
            </w:pPr>
            <w:r>
              <w:rPr>
                <w:rFonts w:ascii="Times New Roman" w:hAnsi="Times New Roman"/>
                <w:sz w:val="22"/>
              </w:rPr>
              <w:t>6-7</w:t>
            </w:r>
          </w:p>
        </w:tc>
        <w:tc>
          <w:tcPr>
            <w:tcW w:w="3969" w:type="dxa"/>
          </w:tcPr>
          <w:p w14:paraId="103CCE37">
            <w:pPr>
              <w:spacing w:after="0"/>
              <w:jc w:val="left"/>
            </w:pPr>
            <w:r>
              <w:rPr>
                <w:rFonts w:ascii="Times New Roman" w:hAnsi="Times New Roman"/>
                <w:sz w:val="22"/>
              </w:rPr>
              <w:t>Architecture / design documents; curated RAG corpus</w:t>
            </w:r>
          </w:p>
        </w:tc>
      </w:tr>
      <w:tr w14:paraId="3E7888C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969" w:type="dxa"/>
          </w:tcPr>
          <w:p w14:paraId="7022898F">
            <w:pPr>
              <w:spacing w:after="0"/>
              <w:jc w:val="left"/>
            </w:pPr>
            <w:r>
              <w:rPr>
                <w:rFonts w:ascii="Times New Roman" w:hAnsi="Times New Roman"/>
                <w:sz w:val="22"/>
              </w:rPr>
              <w:t>4. Implementation - MedGemma baseline</w:t>
            </w:r>
          </w:p>
        </w:tc>
        <w:tc>
          <w:tcPr>
            <w:tcW w:w="1134" w:type="dxa"/>
          </w:tcPr>
          <w:p w14:paraId="1DBF5BDC">
            <w:pPr>
              <w:spacing w:after="0"/>
              <w:jc w:val="left"/>
            </w:pPr>
            <w:r>
              <w:rPr>
                <w:rFonts w:ascii="Times New Roman" w:hAnsi="Times New Roman"/>
                <w:sz w:val="22"/>
              </w:rPr>
              <w:t>8-9</w:t>
            </w:r>
          </w:p>
        </w:tc>
        <w:tc>
          <w:tcPr>
            <w:tcW w:w="3969" w:type="dxa"/>
          </w:tcPr>
          <w:p w14:paraId="3B982985">
            <w:pPr>
              <w:spacing w:after="0"/>
              <w:jc w:val="left"/>
            </w:pPr>
            <w:r>
              <w:rPr>
                <w:rFonts w:ascii="Times New Roman" w:hAnsi="Times New Roman"/>
                <w:sz w:val="22"/>
              </w:rPr>
              <w:t>Baseline prototype (MedGemma only)</w:t>
            </w:r>
          </w:p>
        </w:tc>
      </w:tr>
      <w:tr w14:paraId="0921167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969" w:type="dxa"/>
          </w:tcPr>
          <w:p w14:paraId="5E51DFCC">
            <w:pPr>
              <w:spacing w:after="0"/>
              <w:jc w:val="left"/>
            </w:pPr>
            <w:r>
              <w:rPr>
                <w:rFonts w:ascii="Times New Roman" w:hAnsi="Times New Roman"/>
                <w:sz w:val="22"/>
              </w:rPr>
              <w:t>5. Implementation - RAG layer</w:t>
            </w:r>
          </w:p>
        </w:tc>
        <w:tc>
          <w:tcPr>
            <w:tcW w:w="1134" w:type="dxa"/>
          </w:tcPr>
          <w:p w14:paraId="225265B4">
            <w:pPr>
              <w:spacing w:after="0"/>
              <w:jc w:val="left"/>
            </w:pPr>
            <w:r>
              <w:rPr>
                <w:rFonts w:ascii="Times New Roman" w:hAnsi="Times New Roman"/>
                <w:sz w:val="22"/>
              </w:rPr>
              <w:t>10-11</w:t>
            </w:r>
          </w:p>
        </w:tc>
        <w:tc>
          <w:tcPr>
            <w:tcW w:w="3969" w:type="dxa"/>
          </w:tcPr>
          <w:p w14:paraId="3D6EFD67">
            <w:pPr>
              <w:spacing w:after="0"/>
              <w:jc w:val="left"/>
            </w:pPr>
            <w:r>
              <w:rPr>
                <w:rFonts w:ascii="Times New Roman" w:hAnsi="Times New Roman"/>
                <w:sz w:val="22"/>
              </w:rPr>
              <w:t>MedGemma + RAG prototype</w:t>
            </w:r>
          </w:p>
        </w:tc>
      </w:tr>
      <w:tr w14:paraId="22D2A83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969" w:type="dxa"/>
          </w:tcPr>
          <w:p w14:paraId="048394C9">
            <w:pPr>
              <w:spacing w:after="0"/>
              <w:jc w:val="left"/>
            </w:pPr>
            <w:r>
              <w:rPr>
                <w:rFonts w:ascii="Times New Roman" w:hAnsi="Times New Roman"/>
                <w:sz w:val="22"/>
              </w:rPr>
              <w:t>6. Implementation - optional fine-tuning</w:t>
            </w:r>
          </w:p>
        </w:tc>
        <w:tc>
          <w:tcPr>
            <w:tcW w:w="1134" w:type="dxa"/>
          </w:tcPr>
          <w:p w14:paraId="13964C51">
            <w:pPr>
              <w:spacing w:after="0"/>
              <w:jc w:val="left"/>
            </w:pPr>
            <w:r>
              <w:rPr>
                <w:rFonts w:ascii="Times New Roman" w:hAnsi="Times New Roman"/>
                <w:sz w:val="22"/>
              </w:rPr>
              <w:t>12-13</w:t>
            </w:r>
          </w:p>
        </w:tc>
        <w:tc>
          <w:tcPr>
            <w:tcW w:w="3969" w:type="dxa"/>
          </w:tcPr>
          <w:p w14:paraId="235AF343">
            <w:pPr>
              <w:spacing w:after="0"/>
              <w:jc w:val="left"/>
            </w:pPr>
            <w:r>
              <w:rPr>
                <w:rFonts w:ascii="Times New Roman" w:hAnsi="Times New Roman"/>
                <w:sz w:val="22"/>
              </w:rPr>
              <w:t>Fine-tuned + RAG (if feasible)</w:t>
            </w:r>
          </w:p>
        </w:tc>
      </w:tr>
      <w:tr w14:paraId="79AE8D1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969" w:type="dxa"/>
          </w:tcPr>
          <w:p w14:paraId="0C5AE83E">
            <w:pPr>
              <w:spacing w:after="0"/>
              <w:jc w:val="left"/>
            </w:pPr>
            <w:r>
              <w:rPr>
                <w:rFonts w:ascii="Times New Roman" w:hAnsi="Times New Roman"/>
                <w:sz w:val="22"/>
              </w:rPr>
              <w:t>7. Testing and Evaluation</w:t>
            </w:r>
          </w:p>
        </w:tc>
        <w:tc>
          <w:tcPr>
            <w:tcW w:w="1134" w:type="dxa"/>
          </w:tcPr>
          <w:p w14:paraId="7FF7A1AF">
            <w:pPr>
              <w:spacing w:after="0"/>
              <w:jc w:val="left"/>
            </w:pPr>
            <w:r>
              <w:rPr>
                <w:rFonts w:ascii="Times New Roman" w:hAnsi="Times New Roman"/>
                <w:sz w:val="22"/>
              </w:rPr>
              <w:t>14</w:t>
            </w:r>
          </w:p>
        </w:tc>
        <w:tc>
          <w:tcPr>
            <w:tcW w:w="3969" w:type="dxa"/>
          </w:tcPr>
          <w:p w14:paraId="3B6B541E">
            <w:pPr>
              <w:spacing w:after="0"/>
              <w:jc w:val="left"/>
            </w:pPr>
            <w:r>
              <w:rPr>
                <w:rFonts w:ascii="Times New Roman" w:hAnsi="Times New Roman"/>
                <w:sz w:val="22"/>
              </w:rPr>
              <w:t>Test report; rubric-based feedback evaluation</w:t>
            </w:r>
          </w:p>
        </w:tc>
      </w:tr>
      <w:tr w14:paraId="15E1A00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969" w:type="dxa"/>
          </w:tcPr>
          <w:p w14:paraId="74F3409F">
            <w:pPr>
              <w:spacing w:after="0"/>
              <w:jc w:val="left"/>
            </w:pPr>
            <w:r>
              <w:rPr>
                <w:rFonts w:ascii="Times New Roman" w:hAnsi="Times New Roman"/>
                <w:sz w:val="22"/>
              </w:rPr>
              <w:t>8. Documentation and Submission</w:t>
            </w:r>
          </w:p>
        </w:tc>
        <w:tc>
          <w:tcPr>
            <w:tcW w:w="1134" w:type="dxa"/>
          </w:tcPr>
          <w:p w14:paraId="498598E6">
            <w:pPr>
              <w:spacing w:after="0"/>
              <w:jc w:val="left"/>
            </w:pPr>
            <w:r>
              <w:rPr>
                <w:rFonts w:ascii="Times New Roman" w:hAnsi="Times New Roman"/>
                <w:sz w:val="22"/>
              </w:rPr>
              <w:t>15</w:t>
            </w:r>
          </w:p>
        </w:tc>
        <w:tc>
          <w:tcPr>
            <w:tcW w:w="3969" w:type="dxa"/>
          </w:tcPr>
          <w:p w14:paraId="37F3440A">
            <w:pPr>
              <w:spacing w:after="0"/>
              <w:jc w:val="left"/>
            </w:pPr>
            <w:r>
              <w:rPr>
                <w:rFonts w:ascii="Times New Roman" w:hAnsi="Times New Roman"/>
                <w:sz w:val="22"/>
              </w:rPr>
              <w:t>Final thesis / report</w:t>
            </w:r>
          </w:p>
        </w:tc>
      </w:tr>
    </w:tbl>
    <w:p w14:paraId="3D66B4DA">
      <w:pPr>
        <w:keepNext w:val="0"/>
        <w:spacing w:before="120" w:after="120"/>
        <w:jc w:val="center"/>
      </w:pPr>
      <w:r>
        <w:rPr>
          <w:rFonts w:ascii="Times New Roman" w:hAnsi="Times New Roman"/>
          <w:b/>
          <w:sz w:val="20"/>
        </w:rPr>
        <w:t xml:space="preserve">Table 3.6: </w:t>
      </w:r>
      <w:r>
        <w:rPr>
          <w:rFonts w:ascii="Times New Roman" w:hAnsi="Times New Roman"/>
          <w:sz w:val="20"/>
        </w:rPr>
        <w:t>Schedule feasibility assessment</w:t>
      </w:r>
    </w:p>
    <w:p w14:paraId="096BDF09">
      <w:pPr>
        <w:pStyle w:val="4"/>
        <w:keepNext/>
        <w:spacing w:before="200" w:after="120"/>
        <w:jc w:val="left"/>
      </w:pPr>
      <w:r>
        <w:rPr>
          <w:rFonts w:ascii="Times New Roman" w:hAnsi="Times New Roman"/>
          <w:b/>
          <w:color w:val="000000"/>
          <w:sz w:val="24"/>
        </w:rPr>
        <w:t>3.1.3 Work Plan</w:t>
      </w:r>
    </w:p>
    <w:p w14:paraId="58F43B9F">
      <w:pPr>
        <w:spacing w:before="0" w:after="120" w:line="360" w:lineRule="auto"/>
        <w:ind w:firstLine="720"/>
        <w:jc w:val="both"/>
      </w:pPr>
      <w:r>
        <w:rPr>
          <w:rFonts w:ascii="Times New Roman" w:hAnsi="Times New Roman"/>
          <w:sz w:val="22"/>
        </w:rPr>
        <w:t>The work plan is built around the eight phases above. The work breakdown structure (WBS) in Table 3.7 expands each phase into the concrete tasks that the developer and the supervisor track during supervision meetings. The Gantt chart in Figure 3.9 plots the same phases against the 15-week calendar.</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134"/>
        <w:gridCol w:w="4535"/>
        <w:gridCol w:w="1134"/>
        <w:gridCol w:w="2268"/>
      </w:tblGrid>
      <w:tr w14:paraId="37BE2AC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591C24F0">
            <w:pPr>
              <w:spacing w:after="0"/>
              <w:jc w:val="center"/>
            </w:pPr>
            <w:r>
              <w:rPr>
                <w:rFonts w:ascii="Times New Roman" w:hAnsi="Times New Roman"/>
                <w:b/>
                <w:sz w:val="22"/>
              </w:rPr>
              <w:t>WBS code</w:t>
            </w:r>
          </w:p>
        </w:tc>
        <w:tc>
          <w:tcPr>
            <w:tcW w:w="4535" w:type="dxa"/>
          </w:tcPr>
          <w:p w14:paraId="3ED1611B">
            <w:pPr>
              <w:spacing w:after="0"/>
              <w:jc w:val="center"/>
            </w:pPr>
            <w:r>
              <w:rPr>
                <w:rFonts w:ascii="Times New Roman" w:hAnsi="Times New Roman"/>
                <w:b/>
                <w:sz w:val="22"/>
              </w:rPr>
              <w:t>Task</w:t>
            </w:r>
          </w:p>
        </w:tc>
        <w:tc>
          <w:tcPr>
            <w:tcW w:w="1134" w:type="dxa"/>
          </w:tcPr>
          <w:p w14:paraId="5C835460">
            <w:pPr>
              <w:spacing w:after="0"/>
              <w:jc w:val="center"/>
            </w:pPr>
            <w:r>
              <w:rPr>
                <w:rFonts w:ascii="Times New Roman" w:hAnsi="Times New Roman"/>
                <w:b/>
                <w:sz w:val="22"/>
              </w:rPr>
              <w:t>Phase</w:t>
            </w:r>
          </w:p>
        </w:tc>
        <w:tc>
          <w:tcPr>
            <w:tcW w:w="2268" w:type="dxa"/>
          </w:tcPr>
          <w:p w14:paraId="3D5FB27E">
            <w:pPr>
              <w:spacing w:after="0"/>
              <w:jc w:val="center"/>
            </w:pPr>
            <w:r>
              <w:rPr>
                <w:rFonts w:ascii="Times New Roman" w:hAnsi="Times New Roman"/>
                <w:b/>
                <w:sz w:val="22"/>
              </w:rPr>
              <w:t>Owner</w:t>
            </w:r>
          </w:p>
        </w:tc>
      </w:tr>
      <w:tr w14:paraId="639DAAE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346EEA3C">
            <w:pPr>
              <w:spacing w:after="0"/>
              <w:jc w:val="left"/>
            </w:pPr>
            <w:r>
              <w:rPr>
                <w:rFonts w:ascii="Times New Roman" w:hAnsi="Times New Roman"/>
                <w:sz w:val="22"/>
              </w:rPr>
              <w:t>1.1</w:t>
            </w:r>
          </w:p>
        </w:tc>
        <w:tc>
          <w:tcPr>
            <w:tcW w:w="4535" w:type="dxa"/>
          </w:tcPr>
          <w:p w14:paraId="4C81C30C">
            <w:pPr>
              <w:spacing w:after="0"/>
              <w:jc w:val="left"/>
            </w:pPr>
            <w:r>
              <w:rPr>
                <w:rFonts w:ascii="Times New Roman" w:hAnsi="Times New Roman"/>
                <w:sz w:val="22"/>
              </w:rPr>
              <w:t>Search for and read primary sources on CXR VLMs and RAG in healthcare</w:t>
            </w:r>
          </w:p>
        </w:tc>
        <w:tc>
          <w:tcPr>
            <w:tcW w:w="1134" w:type="dxa"/>
          </w:tcPr>
          <w:p w14:paraId="1E98AF6D">
            <w:pPr>
              <w:spacing w:after="0"/>
              <w:jc w:val="left"/>
            </w:pPr>
            <w:r>
              <w:rPr>
                <w:rFonts w:ascii="Times New Roman" w:hAnsi="Times New Roman"/>
                <w:sz w:val="22"/>
              </w:rPr>
              <w:t>1</w:t>
            </w:r>
          </w:p>
        </w:tc>
        <w:tc>
          <w:tcPr>
            <w:tcW w:w="2268" w:type="dxa"/>
          </w:tcPr>
          <w:p w14:paraId="3029F0A8">
            <w:pPr>
              <w:spacing w:after="0"/>
              <w:jc w:val="left"/>
            </w:pPr>
            <w:r>
              <w:rPr>
                <w:rFonts w:ascii="Times New Roman" w:hAnsi="Times New Roman"/>
                <w:sz w:val="22"/>
              </w:rPr>
              <w:t>Developer</w:t>
            </w:r>
          </w:p>
        </w:tc>
      </w:tr>
      <w:tr w14:paraId="2166D56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0FD7B9F4">
            <w:pPr>
              <w:spacing w:after="0"/>
              <w:jc w:val="left"/>
            </w:pPr>
            <w:r>
              <w:rPr>
                <w:rFonts w:ascii="Times New Roman" w:hAnsi="Times New Roman"/>
                <w:sz w:val="22"/>
              </w:rPr>
              <w:t>1.2</w:t>
            </w:r>
          </w:p>
        </w:tc>
        <w:tc>
          <w:tcPr>
            <w:tcW w:w="4535" w:type="dxa"/>
          </w:tcPr>
          <w:p w14:paraId="02C7C3B6">
            <w:pPr>
              <w:spacing w:after="0"/>
              <w:jc w:val="left"/>
            </w:pPr>
            <w:r>
              <w:rPr>
                <w:rFonts w:ascii="Times New Roman" w:hAnsi="Times New Roman"/>
                <w:sz w:val="22"/>
              </w:rPr>
              <w:t>Draft and submit the Project Proposal</w:t>
            </w:r>
          </w:p>
        </w:tc>
        <w:tc>
          <w:tcPr>
            <w:tcW w:w="1134" w:type="dxa"/>
          </w:tcPr>
          <w:p w14:paraId="2131B337">
            <w:pPr>
              <w:spacing w:after="0"/>
              <w:jc w:val="left"/>
            </w:pPr>
            <w:r>
              <w:rPr>
                <w:rFonts w:ascii="Times New Roman" w:hAnsi="Times New Roman"/>
                <w:sz w:val="22"/>
              </w:rPr>
              <w:t>1</w:t>
            </w:r>
          </w:p>
        </w:tc>
        <w:tc>
          <w:tcPr>
            <w:tcW w:w="2268" w:type="dxa"/>
          </w:tcPr>
          <w:p w14:paraId="33630C45">
            <w:pPr>
              <w:spacing w:after="0"/>
              <w:jc w:val="left"/>
            </w:pPr>
            <w:r>
              <w:rPr>
                <w:rFonts w:ascii="Times New Roman" w:hAnsi="Times New Roman"/>
                <w:sz w:val="22"/>
              </w:rPr>
              <w:t>Developer</w:t>
            </w:r>
          </w:p>
        </w:tc>
      </w:tr>
      <w:tr w14:paraId="234C490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14C54936">
            <w:pPr>
              <w:spacing w:after="0"/>
              <w:jc w:val="left"/>
            </w:pPr>
            <w:r>
              <w:rPr>
                <w:rFonts w:ascii="Times New Roman" w:hAnsi="Times New Roman"/>
                <w:sz w:val="22"/>
              </w:rPr>
              <w:t>1.3</w:t>
            </w:r>
          </w:p>
        </w:tc>
        <w:tc>
          <w:tcPr>
            <w:tcW w:w="4535" w:type="dxa"/>
          </w:tcPr>
          <w:p w14:paraId="4487BB30">
            <w:pPr>
              <w:spacing w:after="0"/>
              <w:jc w:val="left"/>
            </w:pPr>
            <w:r>
              <w:rPr>
                <w:rFonts w:ascii="Times New Roman" w:hAnsi="Times New Roman"/>
                <w:sz w:val="22"/>
              </w:rPr>
              <w:t>Supervisor sign-off on the proposal</w:t>
            </w:r>
          </w:p>
        </w:tc>
        <w:tc>
          <w:tcPr>
            <w:tcW w:w="1134" w:type="dxa"/>
          </w:tcPr>
          <w:p w14:paraId="006A4C7B">
            <w:pPr>
              <w:spacing w:after="0"/>
              <w:jc w:val="left"/>
            </w:pPr>
            <w:r>
              <w:rPr>
                <w:rFonts w:ascii="Times New Roman" w:hAnsi="Times New Roman"/>
                <w:sz w:val="22"/>
              </w:rPr>
              <w:t>1</w:t>
            </w:r>
          </w:p>
        </w:tc>
        <w:tc>
          <w:tcPr>
            <w:tcW w:w="2268" w:type="dxa"/>
          </w:tcPr>
          <w:p w14:paraId="5FAB4535">
            <w:pPr>
              <w:spacing w:after="0"/>
              <w:jc w:val="left"/>
            </w:pPr>
            <w:r>
              <w:rPr>
                <w:rFonts w:ascii="Times New Roman" w:hAnsi="Times New Roman"/>
                <w:sz w:val="22"/>
              </w:rPr>
              <w:t>Supervisor</w:t>
            </w:r>
          </w:p>
        </w:tc>
      </w:tr>
      <w:tr w14:paraId="091C85C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0312228C">
            <w:pPr>
              <w:spacing w:after="0"/>
              <w:jc w:val="left"/>
            </w:pPr>
            <w:r>
              <w:rPr>
                <w:rFonts w:ascii="Times New Roman" w:hAnsi="Times New Roman"/>
                <w:sz w:val="22"/>
              </w:rPr>
              <w:t>2.1</w:t>
            </w:r>
          </w:p>
        </w:tc>
        <w:tc>
          <w:tcPr>
            <w:tcW w:w="4535" w:type="dxa"/>
          </w:tcPr>
          <w:p w14:paraId="4578C326">
            <w:pPr>
              <w:spacing w:after="0"/>
              <w:jc w:val="left"/>
            </w:pPr>
            <w:r>
              <w:rPr>
                <w:rFonts w:ascii="Times New Roman" w:hAnsi="Times New Roman"/>
                <w:sz w:val="22"/>
              </w:rPr>
              <w:t>Document analysis of teaching resources and dataset documentation</w:t>
            </w:r>
          </w:p>
        </w:tc>
        <w:tc>
          <w:tcPr>
            <w:tcW w:w="1134" w:type="dxa"/>
          </w:tcPr>
          <w:p w14:paraId="4FF10BBE">
            <w:pPr>
              <w:spacing w:after="0"/>
              <w:jc w:val="left"/>
            </w:pPr>
            <w:r>
              <w:rPr>
                <w:rFonts w:ascii="Times New Roman" w:hAnsi="Times New Roman"/>
                <w:sz w:val="22"/>
              </w:rPr>
              <w:t>2</w:t>
            </w:r>
          </w:p>
        </w:tc>
        <w:tc>
          <w:tcPr>
            <w:tcW w:w="2268" w:type="dxa"/>
          </w:tcPr>
          <w:p w14:paraId="43138F12">
            <w:pPr>
              <w:spacing w:after="0"/>
              <w:jc w:val="left"/>
            </w:pPr>
            <w:r>
              <w:rPr>
                <w:rFonts w:ascii="Times New Roman" w:hAnsi="Times New Roman"/>
                <w:sz w:val="22"/>
              </w:rPr>
              <w:t>Developer</w:t>
            </w:r>
          </w:p>
        </w:tc>
      </w:tr>
      <w:tr w14:paraId="387C1B9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46477FA4">
            <w:pPr>
              <w:spacing w:after="0"/>
              <w:jc w:val="left"/>
            </w:pPr>
            <w:r>
              <w:rPr>
                <w:rFonts w:ascii="Times New Roman" w:hAnsi="Times New Roman"/>
                <w:sz w:val="22"/>
              </w:rPr>
              <w:t>2.2</w:t>
            </w:r>
          </w:p>
        </w:tc>
        <w:tc>
          <w:tcPr>
            <w:tcW w:w="4535" w:type="dxa"/>
          </w:tcPr>
          <w:p w14:paraId="2CBE062C">
            <w:pPr>
              <w:spacing w:after="0"/>
              <w:jc w:val="left"/>
            </w:pPr>
            <w:r>
              <w:rPr>
                <w:rFonts w:ascii="Times New Roman" w:hAnsi="Times New Roman"/>
                <w:sz w:val="22"/>
              </w:rPr>
              <w:t>Functional and non-functional requirements</w:t>
            </w:r>
          </w:p>
        </w:tc>
        <w:tc>
          <w:tcPr>
            <w:tcW w:w="1134" w:type="dxa"/>
          </w:tcPr>
          <w:p w14:paraId="5FDE7792">
            <w:pPr>
              <w:spacing w:after="0"/>
              <w:jc w:val="left"/>
            </w:pPr>
            <w:r>
              <w:rPr>
                <w:rFonts w:ascii="Times New Roman" w:hAnsi="Times New Roman"/>
                <w:sz w:val="22"/>
              </w:rPr>
              <w:t>2</w:t>
            </w:r>
          </w:p>
        </w:tc>
        <w:tc>
          <w:tcPr>
            <w:tcW w:w="2268" w:type="dxa"/>
          </w:tcPr>
          <w:p w14:paraId="7EB70956">
            <w:pPr>
              <w:spacing w:after="0"/>
              <w:jc w:val="left"/>
            </w:pPr>
            <w:r>
              <w:rPr>
                <w:rFonts w:ascii="Times New Roman" w:hAnsi="Times New Roman"/>
                <w:sz w:val="22"/>
              </w:rPr>
              <w:t>Developer</w:t>
            </w:r>
          </w:p>
        </w:tc>
      </w:tr>
      <w:tr w14:paraId="230D562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29F5C633">
            <w:pPr>
              <w:spacing w:after="0"/>
              <w:jc w:val="left"/>
            </w:pPr>
            <w:r>
              <w:rPr>
                <w:rFonts w:ascii="Times New Roman" w:hAnsi="Times New Roman"/>
                <w:sz w:val="22"/>
              </w:rPr>
              <w:t>2.3</w:t>
            </w:r>
          </w:p>
        </w:tc>
        <w:tc>
          <w:tcPr>
            <w:tcW w:w="4535" w:type="dxa"/>
          </w:tcPr>
          <w:p w14:paraId="1CF808B1">
            <w:pPr>
              <w:spacing w:after="0"/>
              <w:jc w:val="left"/>
            </w:pPr>
            <w:r>
              <w:rPr>
                <w:rFonts w:ascii="Times New Roman" w:hAnsi="Times New Roman"/>
                <w:sz w:val="22"/>
              </w:rPr>
              <w:t>Use case diagram and user stories</w:t>
            </w:r>
          </w:p>
        </w:tc>
        <w:tc>
          <w:tcPr>
            <w:tcW w:w="1134" w:type="dxa"/>
          </w:tcPr>
          <w:p w14:paraId="7397A9FB">
            <w:pPr>
              <w:spacing w:after="0"/>
              <w:jc w:val="left"/>
            </w:pPr>
            <w:r>
              <w:rPr>
                <w:rFonts w:ascii="Times New Roman" w:hAnsi="Times New Roman"/>
                <w:sz w:val="22"/>
              </w:rPr>
              <w:t>2</w:t>
            </w:r>
          </w:p>
        </w:tc>
        <w:tc>
          <w:tcPr>
            <w:tcW w:w="2268" w:type="dxa"/>
          </w:tcPr>
          <w:p w14:paraId="4BF73ABE">
            <w:pPr>
              <w:spacing w:after="0"/>
              <w:jc w:val="left"/>
            </w:pPr>
            <w:r>
              <w:rPr>
                <w:rFonts w:ascii="Times New Roman" w:hAnsi="Times New Roman"/>
                <w:sz w:val="22"/>
              </w:rPr>
              <w:t>Developer</w:t>
            </w:r>
          </w:p>
        </w:tc>
      </w:tr>
      <w:tr w14:paraId="33563F2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624D7A4C">
            <w:pPr>
              <w:spacing w:after="0"/>
              <w:jc w:val="left"/>
            </w:pPr>
            <w:r>
              <w:rPr>
                <w:rFonts w:ascii="Times New Roman" w:hAnsi="Times New Roman"/>
                <w:sz w:val="22"/>
              </w:rPr>
              <w:t>2.4</w:t>
            </w:r>
          </w:p>
        </w:tc>
        <w:tc>
          <w:tcPr>
            <w:tcW w:w="4535" w:type="dxa"/>
          </w:tcPr>
          <w:p w14:paraId="517C1BC0">
            <w:pPr>
              <w:spacing w:after="0"/>
              <w:jc w:val="left"/>
            </w:pPr>
            <w:r>
              <w:rPr>
                <w:rFonts w:ascii="Times New Roman" w:hAnsi="Times New Roman"/>
                <w:sz w:val="22"/>
              </w:rPr>
              <w:t>Select the target findings and the dataset subset</w:t>
            </w:r>
          </w:p>
        </w:tc>
        <w:tc>
          <w:tcPr>
            <w:tcW w:w="1134" w:type="dxa"/>
          </w:tcPr>
          <w:p w14:paraId="5904A3DC">
            <w:pPr>
              <w:spacing w:after="0"/>
              <w:jc w:val="left"/>
            </w:pPr>
            <w:r>
              <w:rPr>
                <w:rFonts w:ascii="Times New Roman" w:hAnsi="Times New Roman"/>
                <w:sz w:val="22"/>
              </w:rPr>
              <w:t>2</w:t>
            </w:r>
          </w:p>
        </w:tc>
        <w:tc>
          <w:tcPr>
            <w:tcW w:w="2268" w:type="dxa"/>
          </w:tcPr>
          <w:p w14:paraId="51B45022">
            <w:pPr>
              <w:spacing w:after="0"/>
              <w:jc w:val="left"/>
            </w:pPr>
            <w:r>
              <w:rPr>
                <w:rFonts w:ascii="Times New Roman" w:hAnsi="Times New Roman"/>
                <w:sz w:val="22"/>
              </w:rPr>
              <w:t>Developer</w:t>
            </w:r>
          </w:p>
        </w:tc>
      </w:tr>
      <w:tr w14:paraId="1680D1F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1F6CCD2C">
            <w:pPr>
              <w:spacing w:after="0"/>
              <w:jc w:val="left"/>
            </w:pPr>
            <w:r>
              <w:rPr>
                <w:rFonts w:ascii="Times New Roman" w:hAnsi="Times New Roman"/>
                <w:sz w:val="22"/>
              </w:rPr>
              <w:t>3.1</w:t>
            </w:r>
          </w:p>
        </w:tc>
        <w:tc>
          <w:tcPr>
            <w:tcW w:w="4535" w:type="dxa"/>
          </w:tcPr>
          <w:p w14:paraId="42FB0970">
            <w:pPr>
              <w:spacing w:after="0"/>
              <w:jc w:val="left"/>
            </w:pPr>
            <w:r>
              <w:rPr>
                <w:rFonts w:ascii="Times New Roman" w:hAnsi="Times New Roman"/>
                <w:sz w:val="22"/>
              </w:rPr>
              <w:t>Architectural design (Clean Architecture + hexagonal ports)</w:t>
            </w:r>
          </w:p>
        </w:tc>
        <w:tc>
          <w:tcPr>
            <w:tcW w:w="1134" w:type="dxa"/>
          </w:tcPr>
          <w:p w14:paraId="25BEF9E0">
            <w:pPr>
              <w:spacing w:after="0"/>
              <w:jc w:val="left"/>
            </w:pPr>
            <w:r>
              <w:rPr>
                <w:rFonts w:ascii="Times New Roman" w:hAnsi="Times New Roman"/>
                <w:sz w:val="22"/>
              </w:rPr>
              <w:t>3</w:t>
            </w:r>
          </w:p>
        </w:tc>
        <w:tc>
          <w:tcPr>
            <w:tcW w:w="2268" w:type="dxa"/>
          </w:tcPr>
          <w:p w14:paraId="748CD0EE">
            <w:pPr>
              <w:spacing w:after="0"/>
              <w:jc w:val="left"/>
            </w:pPr>
            <w:r>
              <w:rPr>
                <w:rFonts w:ascii="Times New Roman" w:hAnsi="Times New Roman"/>
                <w:sz w:val="22"/>
              </w:rPr>
              <w:t>Developer</w:t>
            </w:r>
          </w:p>
        </w:tc>
      </w:tr>
      <w:tr w14:paraId="5386E75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60F23ABD">
            <w:pPr>
              <w:spacing w:after="0"/>
              <w:jc w:val="left"/>
            </w:pPr>
            <w:r>
              <w:rPr>
                <w:rFonts w:ascii="Times New Roman" w:hAnsi="Times New Roman"/>
                <w:sz w:val="22"/>
              </w:rPr>
              <w:t>3.2</w:t>
            </w:r>
          </w:p>
        </w:tc>
        <w:tc>
          <w:tcPr>
            <w:tcW w:w="4535" w:type="dxa"/>
          </w:tcPr>
          <w:p w14:paraId="5B5F903D">
            <w:pPr>
              <w:spacing w:after="0"/>
              <w:jc w:val="left"/>
            </w:pPr>
            <w:r>
              <w:rPr>
                <w:rFonts w:ascii="Times New Roman" w:hAnsi="Times New Roman"/>
                <w:sz w:val="22"/>
              </w:rPr>
              <w:t>Data flow diagrams (DFDs)</w:t>
            </w:r>
          </w:p>
        </w:tc>
        <w:tc>
          <w:tcPr>
            <w:tcW w:w="1134" w:type="dxa"/>
          </w:tcPr>
          <w:p w14:paraId="1A049454">
            <w:pPr>
              <w:spacing w:after="0"/>
              <w:jc w:val="left"/>
            </w:pPr>
            <w:r>
              <w:rPr>
                <w:rFonts w:ascii="Times New Roman" w:hAnsi="Times New Roman"/>
                <w:sz w:val="22"/>
              </w:rPr>
              <w:t>3</w:t>
            </w:r>
          </w:p>
        </w:tc>
        <w:tc>
          <w:tcPr>
            <w:tcW w:w="2268" w:type="dxa"/>
          </w:tcPr>
          <w:p w14:paraId="45660026">
            <w:pPr>
              <w:spacing w:after="0"/>
              <w:jc w:val="left"/>
            </w:pPr>
            <w:r>
              <w:rPr>
                <w:rFonts w:ascii="Times New Roman" w:hAnsi="Times New Roman"/>
                <w:sz w:val="22"/>
              </w:rPr>
              <w:t>Developer</w:t>
            </w:r>
          </w:p>
        </w:tc>
      </w:tr>
      <w:tr w14:paraId="6DC4E86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3F787F4C">
            <w:pPr>
              <w:spacing w:after="0"/>
              <w:jc w:val="left"/>
            </w:pPr>
            <w:r>
              <w:rPr>
                <w:rFonts w:ascii="Times New Roman" w:hAnsi="Times New Roman"/>
                <w:sz w:val="22"/>
              </w:rPr>
              <w:t>3.3</w:t>
            </w:r>
          </w:p>
        </w:tc>
        <w:tc>
          <w:tcPr>
            <w:tcW w:w="4535" w:type="dxa"/>
          </w:tcPr>
          <w:p w14:paraId="67DA5A0B">
            <w:pPr>
              <w:spacing w:after="0"/>
              <w:jc w:val="left"/>
            </w:pPr>
            <w:r>
              <w:rPr>
                <w:rFonts w:ascii="Times New Roman" w:hAnsi="Times New Roman"/>
                <w:sz w:val="22"/>
              </w:rPr>
              <w:t>Interface design (UI mockups and screen flow)</w:t>
            </w:r>
          </w:p>
        </w:tc>
        <w:tc>
          <w:tcPr>
            <w:tcW w:w="1134" w:type="dxa"/>
          </w:tcPr>
          <w:p w14:paraId="098B3CF3">
            <w:pPr>
              <w:spacing w:after="0"/>
              <w:jc w:val="left"/>
            </w:pPr>
            <w:r>
              <w:rPr>
                <w:rFonts w:ascii="Times New Roman" w:hAnsi="Times New Roman"/>
                <w:sz w:val="22"/>
              </w:rPr>
              <w:t>3</w:t>
            </w:r>
          </w:p>
        </w:tc>
        <w:tc>
          <w:tcPr>
            <w:tcW w:w="2268" w:type="dxa"/>
          </w:tcPr>
          <w:p w14:paraId="2207BF54">
            <w:pPr>
              <w:spacing w:after="0"/>
              <w:jc w:val="left"/>
            </w:pPr>
            <w:r>
              <w:rPr>
                <w:rFonts w:ascii="Times New Roman" w:hAnsi="Times New Roman"/>
                <w:sz w:val="22"/>
              </w:rPr>
              <w:t>Developer</w:t>
            </w:r>
          </w:p>
        </w:tc>
      </w:tr>
      <w:tr w14:paraId="5DABF08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1A99EFCE">
            <w:pPr>
              <w:spacing w:after="0"/>
              <w:jc w:val="left"/>
            </w:pPr>
            <w:r>
              <w:rPr>
                <w:rFonts w:ascii="Times New Roman" w:hAnsi="Times New Roman"/>
                <w:sz w:val="22"/>
              </w:rPr>
              <w:t>3.4</w:t>
            </w:r>
          </w:p>
        </w:tc>
        <w:tc>
          <w:tcPr>
            <w:tcW w:w="4535" w:type="dxa"/>
          </w:tcPr>
          <w:p w14:paraId="3D0A8906">
            <w:pPr>
              <w:spacing w:after="0"/>
              <w:jc w:val="left"/>
            </w:pPr>
            <w:r>
              <w:rPr>
                <w:rFonts w:ascii="Times New Roman" w:hAnsi="Times New Roman"/>
                <w:sz w:val="22"/>
              </w:rPr>
              <w:t>Curate the educational RAG corpus and the source register</w:t>
            </w:r>
          </w:p>
        </w:tc>
        <w:tc>
          <w:tcPr>
            <w:tcW w:w="1134" w:type="dxa"/>
          </w:tcPr>
          <w:p w14:paraId="691ED0B7">
            <w:pPr>
              <w:spacing w:after="0"/>
              <w:jc w:val="left"/>
            </w:pPr>
            <w:r>
              <w:rPr>
                <w:rFonts w:ascii="Times New Roman" w:hAnsi="Times New Roman"/>
                <w:sz w:val="22"/>
              </w:rPr>
              <w:t>3</w:t>
            </w:r>
          </w:p>
        </w:tc>
        <w:tc>
          <w:tcPr>
            <w:tcW w:w="2268" w:type="dxa"/>
          </w:tcPr>
          <w:p w14:paraId="79D80E15">
            <w:pPr>
              <w:spacing w:after="0"/>
              <w:jc w:val="left"/>
            </w:pPr>
            <w:r>
              <w:rPr>
                <w:rFonts w:ascii="Times New Roman" w:hAnsi="Times New Roman"/>
                <w:sz w:val="22"/>
              </w:rPr>
              <w:t>Developer</w:t>
            </w:r>
          </w:p>
        </w:tc>
      </w:tr>
      <w:tr w14:paraId="1CF564E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580A476B">
            <w:pPr>
              <w:spacing w:after="0"/>
              <w:jc w:val="left"/>
            </w:pPr>
            <w:r>
              <w:rPr>
                <w:rFonts w:ascii="Times New Roman" w:hAnsi="Times New Roman"/>
                <w:sz w:val="22"/>
              </w:rPr>
              <w:t>4.1</w:t>
            </w:r>
          </w:p>
        </w:tc>
        <w:tc>
          <w:tcPr>
            <w:tcW w:w="4535" w:type="dxa"/>
          </w:tcPr>
          <w:p w14:paraId="69D39898">
            <w:pPr>
              <w:spacing w:after="0"/>
              <w:jc w:val="left"/>
            </w:pPr>
            <w:r>
              <w:rPr>
                <w:rFonts w:ascii="Times New Roman" w:hAnsi="Times New Roman"/>
                <w:sz w:val="22"/>
              </w:rPr>
              <w:t>Implement the backend domain and ports</w:t>
            </w:r>
          </w:p>
        </w:tc>
        <w:tc>
          <w:tcPr>
            <w:tcW w:w="1134" w:type="dxa"/>
          </w:tcPr>
          <w:p w14:paraId="125F2AD5">
            <w:pPr>
              <w:spacing w:after="0"/>
              <w:jc w:val="left"/>
            </w:pPr>
            <w:r>
              <w:rPr>
                <w:rFonts w:ascii="Times New Roman" w:hAnsi="Times New Roman"/>
                <w:sz w:val="22"/>
              </w:rPr>
              <w:t>4</w:t>
            </w:r>
          </w:p>
        </w:tc>
        <w:tc>
          <w:tcPr>
            <w:tcW w:w="2268" w:type="dxa"/>
          </w:tcPr>
          <w:p w14:paraId="1EDC94AA">
            <w:pPr>
              <w:spacing w:after="0"/>
              <w:jc w:val="left"/>
            </w:pPr>
            <w:r>
              <w:rPr>
                <w:rFonts w:ascii="Times New Roman" w:hAnsi="Times New Roman"/>
                <w:sz w:val="22"/>
              </w:rPr>
              <w:t>Developer</w:t>
            </w:r>
          </w:p>
        </w:tc>
      </w:tr>
      <w:tr w14:paraId="508B9AE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2419C0C6">
            <w:pPr>
              <w:spacing w:after="0"/>
              <w:jc w:val="left"/>
            </w:pPr>
            <w:r>
              <w:rPr>
                <w:rFonts w:ascii="Times New Roman" w:hAnsi="Times New Roman"/>
                <w:sz w:val="22"/>
              </w:rPr>
              <w:t>4.2</w:t>
            </w:r>
          </w:p>
        </w:tc>
        <w:tc>
          <w:tcPr>
            <w:tcW w:w="4535" w:type="dxa"/>
          </w:tcPr>
          <w:p w14:paraId="650DE5ED">
            <w:pPr>
              <w:spacing w:after="0"/>
              <w:jc w:val="left"/>
            </w:pPr>
            <w:r>
              <w:rPr>
                <w:rFonts w:ascii="Times New Roman" w:hAnsi="Times New Roman"/>
                <w:sz w:val="22"/>
              </w:rPr>
              <w:t>Implement the data layer (NIH loader, manifest repo, SQLite)</w:t>
            </w:r>
          </w:p>
        </w:tc>
        <w:tc>
          <w:tcPr>
            <w:tcW w:w="1134" w:type="dxa"/>
          </w:tcPr>
          <w:p w14:paraId="7D2AF417">
            <w:pPr>
              <w:spacing w:after="0"/>
              <w:jc w:val="left"/>
            </w:pPr>
            <w:r>
              <w:rPr>
                <w:rFonts w:ascii="Times New Roman" w:hAnsi="Times New Roman"/>
                <w:sz w:val="22"/>
              </w:rPr>
              <w:t>4</w:t>
            </w:r>
          </w:p>
        </w:tc>
        <w:tc>
          <w:tcPr>
            <w:tcW w:w="2268" w:type="dxa"/>
          </w:tcPr>
          <w:p w14:paraId="6375ECCB">
            <w:pPr>
              <w:spacing w:after="0"/>
              <w:jc w:val="left"/>
            </w:pPr>
            <w:r>
              <w:rPr>
                <w:rFonts w:ascii="Times New Roman" w:hAnsi="Times New Roman"/>
                <w:sz w:val="22"/>
              </w:rPr>
              <w:t>Developer</w:t>
            </w:r>
          </w:p>
        </w:tc>
      </w:tr>
      <w:tr w14:paraId="7937B53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3AF8B8A5">
            <w:pPr>
              <w:spacing w:after="0"/>
              <w:jc w:val="left"/>
            </w:pPr>
            <w:r>
              <w:rPr>
                <w:rFonts w:ascii="Times New Roman" w:hAnsi="Times New Roman"/>
                <w:sz w:val="22"/>
              </w:rPr>
              <w:t>4.3</w:t>
            </w:r>
          </w:p>
        </w:tc>
        <w:tc>
          <w:tcPr>
            <w:tcW w:w="4535" w:type="dxa"/>
          </w:tcPr>
          <w:p w14:paraId="26CDA77D">
            <w:pPr>
              <w:spacing w:after="0"/>
              <w:jc w:val="left"/>
            </w:pPr>
            <w:r>
              <w:rPr>
                <w:rFonts w:ascii="Times New Roman" w:hAnsi="Times New Roman"/>
                <w:sz w:val="22"/>
              </w:rPr>
              <w:t>Implement the MedGemma runtime (Kaggle notebook + tunnel client)</w:t>
            </w:r>
          </w:p>
        </w:tc>
        <w:tc>
          <w:tcPr>
            <w:tcW w:w="1134" w:type="dxa"/>
          </w:tcPr>
          <w:p w14:paraId="5C00680C">
            <w:pPr>
              <w:spacing w:after="0"/>
              <w:jc w:val="left"/>
            </w:pPr>
            <w:r>
              <w:rPr>
                <w:rFonts w:ascii="Times New Roman" w:hAnsi="Times New Roman"/>
                <w:sz w:val="22"/>
              </w:rPr>
              <w:t>4</w:t>
            </w:r>
          </w:p>
        </w:tc>
        <w:tc>
          <w:tcPr>
            <w:tcW w:w="2268" w:type="dxa"/>
          </w:tcPr>
          <w:p w14:paraId="73044678">
            <w:pPr>
              <w:spacing w:after="0"/>
              <w:jc w:val="left"/>
            </w:pPr>
            <w:r>
              <w:rPr>
                <w:rFonts w:ascii="Times New Roman" w:hAnsi="Times New Roman"/>
                <w:sz w:val="22"/>
              </w:rPr>
              <w:t>Developer</w:t>
            </w:r>
          </w:p>
        </w:tc>
      </w:tr>
      <w:tr w14:paraId="7510ED0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4BCE793D">
            <w:pPr>
              <w:spacing w:after="0"/>
              <w:jc w:val="left"/>
            </w:pPr>
            <w:r>
              <w:rPr>
                <w:rFonts w:ascii="Times New Roman" w:hAnsi="Times New Roman"/>
                <w:sz w:val="22"/>
              </w:rPr>
              <w:t>4.4</w:t>
            </w:r>
          </w:p>
        </w:tc>
        <w:tc>
          <w:tcPr>
            <w:tcW w:w="4535" w:type="dxa"/>
          </w:tcPr>
          <w:p w14:paraId="0A9F5E24">
            <w:pPr>
              <w:spacing w:after="0"/>
              <w:jc w:val="left"/>
            </w:pPr>
            <w:r>
              <w:rPr>
                <w:rFonts w:ascii="Times New Roman" w:hAnsi="Times New Roman"/>
                <w:sz w:val="22"/>
              </w:rPr>
              <w:t>Implement the FastAPI routes and the auth layer</w:t>
            </w:r>
          </w:p>
        </w:tc>
        <w:tc>
          <w:tcPr>
            <w:tcW w:w="1134" w:type="dxa"/>
          </w:tcPr>
          <w:p w14:paraId="1B489FAF">
            <w:pPr>
              <w:spacing w:after="0"/>
              <w:jc w:val="left"/>
            </w:pPr>
            <w:r>
              <w:rPr>
                <w:rFonts w:ascii="Times New Roman" w:hAnsi="Times New Roman"/>
                <w:sz w:val="22"/>
              </w:rPr>
              <w:t>4</w:t>
            </w:r>
          </w:p>
        </w:tc>
        <w:tc>
          <w:tcPr>
            <w:tcW w:w="2268" w:type="dxa"/>
          </w:tcPr>
          <w:p w14:paraId="1103AA30">
            <w:pPr>
              <w:spacing w:after="0"/>
              <w:jc w:val="left"/>
            </w:pPr>
            <w:r>
              <w:rPr>
                <w:rFonts w:ascii="Times New Roman" w:hAnsi="Times New Roman"/>
                <w:sz w:val="22"/>
              </w:rPr>
              <w:t>Developer</w:t>
            </w:r>
          </w:p>
        </w:tc>
      </w:tr>
      <w:tr w14:paraId="4731978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3BDBDE46">
            <w:pPr>
              <w:spacing w:after="0"/>
              <w:jc w:val="left"/>
            </w:pPr>
            <w:r>
              <w:rPr>
                <w:rFonts w:ascii="Times New Roman" w:hAnsi="Times New Roman"/>
                <w:sz w:val="22"/>
              </w:rPr>
              <w:t>4.5</w:t>
            </w:r>
          </w:p>
        </w:tc>
        <w:tc>
          <w:tcPr>
            <w:tcW w:w="4535" w:type="dxa"/>
          </w:tcPr>
          <w:p w14:paraId="5A1F3063">
            <w:pPr>
              <w:spacing w:after="0"/>
              <w:jc w:val="left"/>
            </w:pPr>
            <w:r>
              <w:rPr>
                <w:rFonts w:ascii="Times New Roman" w:hAnsi="Times New Roman"/>
                <w:sz w:val="22"/>
              </w:rPr>
              <w:t>Implement the React frontend (login, case list, case, feedback)</w:t>
            </w:r>
          </w:p>
        </w:tc>
        <w:tc>
          <w:tcPr>
            <w:tcW w:w="1134" w:type="dxa"/>
          </w:tcPr>
          <w:p w14:paraId="4C0E4D03">
            <w:pPr>
              <w:spacing w:after="0"/>
              <w:jc w:val="left"/>
            </w:pPr>
            <w:r>
              <w:rPr>
                <w:rFonts w:ascii="Times New Roman" w:hAnsi="Times New Roman"/>
                <w:sz w:val="22"/>
              </w:rPr>
              <w:t>4</w:t>
            </w:r>
          </w:p>
        </w:tc>
        <w:tc>
          <w:tcPr>
            <w:tcW w:w="2268" w:type="dxa"/>
          </w:tcPr>
          <w:p w14:paraId="54223AFA">
            <w:pPr>
              <w:spacing w:after="0"/>
              <w:jc w:val="left"/>
            </w:pPr>
            <w:r>
              <w:rPr>
                <w:rFonts w:ascii="Times New Roman" w:hAnsi="Times New Roman"/>
                <w:sz w:val="22"/>
              </w:rPr>
              <w:t>Developer</w:t>
            </w:r>
          </w:p>
        </w:tc>
      </w:tr>
      <w:tr w14:paraId="02F9689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03F9E7C1">
            <w:pPr>
              <w:spacing w:after="0"/>
              <w:jc w:val="left"/>
            </w:pPr>
            <w:r>
              <w:rPr>
                <w:rFonts w:ascii="Times New Roman" w:hAnsi="Times New Roman"/>
                <w:sz w:val="22"/>
              </w:rPr>
              <w:t>5.1</w:t>
            </w:r>
          </w:p>
        </w:tc>
        <w:tc>
          <w:tcPr>
            <w:tcW w:w="4535" w:type="dxa"/>
          </w:tcPr>
          <w:p w14:paraId="48ED2453">
            <w:pPr>
              <w:spacing w:after="0"/>
              <w:jc w:val="left"/>
            </w:pPr>
            <w:r>
              <w:rPr>
                <w:rFonts w:ascii="Times New Roman" w:hAnsi="Times New Roman"/>
                <w:sz w:val="22"/>
              </w:rPr>
              <w:t>Implement the IRetriever port and the NullRetriever default</w:t>
            </w:r>
          </w:p>
        </w:tc>
        <w:tc>
          <w:tcPr>
            <w:tcW w:w="1134" w:type="dxa"/>
          </w:tcPr>
          <w:p w14:paraId="4C436B3A">
            <w:pPr>
              <w:spacing w:after="0"/>
              <w:jc w:val="left"/>
            </w:pPr>
            <w:r>
              <w:rPr>
                <w:rFonts w:ascii="Times New Roman" w:hAnsi="Times New Roman"/>
                <w:sz w:val="22"/>
              </w:rPr>
              <w:t>5</w:t>
            </w:r>
          </w:p>
        </w:tc>
        <w:tc>
          <w:tcPr>
            <w:tcW w:w="2268" w:type="dxa"/>
          </w:tcPr>
          <w:p w14:paraId="3018F31C">
            <w:pPr>
              <w:spacing w:after="0"/>
              <w:jc w:val="left"/>
            </w:pPr>
            <w:r>
              <w:rPr>
                <w:rFonts w:ascii="Times New Roman" w:hAnsi="Times New Roman"/>
                <w:sz w:val="22"/>
              </w:rPr>
              <w:t>Developer</w:t>
            </w:r>
          </w:p>
        </w:tc>
      </w:tr>
      <w:tr w14:paraId="488C642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2157321D">
            <w:pPr>
              <w:spacing w:after="0"/>
              <w:jc w:val="left"/>
            </w:pPr>
            <w:r>
              <w:rPr>
                <w:rFonts w:ascii="Times New Roman" w:hAnsi="Times New Roman"/>
                <w:sz w:val="22"/>
              </w:rPr>
              <w:t>5.2</w:t>
            </w:r>
          </w:p>
        </w:tc>
        <w:tc>
          <w:tcPr>
            <w:tcW w:w="4535" w:type="dxa"/>
          </w:tcPr>
          <w:p w14:paraId="4DC07FF5">
            <w:pPr>
              <w:spacing w:after="0"/>
              <w:jc w:val="left"/>
            </w:pPr>
            <w:r>
              <w:rPr>
                <w:rFonts w:ascii="Times New Roman" w:hAnsi="Times New Roman"/>
                <w:sz w:val="22"/>
              </w:rPr>
              <w:t>Implement a corpus-backed retriever and a retrieval-aware prompt</w:t>
            </w:r>
          </w:p>
        </w:tc>
        <w:tc>
          <w:tcPr>
            <w:tcW w:w="1134" w:type="dxa"/>
          </w:tcPr>
          <w:p w14:paraId="55005C6C">
            <w:pPr>
              <w:spacing w:after="0"/>
              <w:jc w:val="left"/>
            </w:pPr>
            <w:r>
              <w:rPr>
                <w:rFonts w:ascii="Times New Roman" w:hAnsi="Times New Roman"/>
                <w:sz w:val="22"/>
              </w:rPr>
              <w:t>5</w:t>
            </w:r>
          </w:p>
        </w:tc>
        <w:tc>
          <w:tcPr>
            <w:tcW w:w="2268" w:type="dxa"/>
          </w:tcPr>
          <w:p w14:paraId="7A828FB3">
            <w:pPr>
              <w:spacing w:after="0"/>
              <w:jc w:val="left"/>
            </w:pPr>
            <w:r>
              <w:rPr>
                <w:rFonts w:ascii="Times New Roman" w:hAnsi="Times New Roman"/>
                <w:sz w:val="22"/>
              </w:rPr>
              <w:t>Developer</w:t>
            </w:r>
          </w:p>
        </w:tc>
      </w:tr>
      <w:tr w14:paraId="5F17218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5383AE76">
            <w:pPr>
              <w:spacing w:after="0"/>
              <w:jc w:val="left"/>
            </w:pPr>
            <w:r>
              <w:rPr>
                <w:rFonts w:ascii="Times New Roman" w:hAnsi="Times New Roman"/>
                <w:sz w:val="22"/>
              </w:rPr>
              <w:t>5.3</w:t>
            </w:r>
          </w:p>
        </w:tc>
        <w:tc>
          <w:tcPr>
            <w:tcW w:w="4535" w:type="dxa"/>
          </w:tcPr>
          <w:p w14:paraId="2B8568D9">
            <w:pPr>
              <w:spacing w:after="0"/>
              <w:jc w:val="left"/>
            </w:pPr>
            <w:r>
              <w:rPr>
                <w:rFonts w:ascii="Times New Roman" w:hAnsi="Times New Roman"/>
                <w:sz w:val="22"/>
              </w:rPr>
              <w:t>Surface retrieved sources in the feedback view</w:t>
            </w:r>
          </w:p>
        </w:tc>
        <w:tc>
          <w:tcPr>
            <w:tcW w:w="1134" w:type="dxa"/>
          </w:tcPr>
          <w:p w14:paraId="1867A480">
            <w:pPr>
              <w:spacing w:after="0"/>
              <w:jc w:val="left"/>
            </w:pPr>
            <w:r>
              <w:rPr>
                <w:rFonts w:ascii="Times New Roman" w:hAnsi="Times New Roman"/>
                <w:sz w:val="22"/>
              </w:rPr>
              <w:t>5</w:t>
            </w:r>
          </w:p>
        </w:tc>
        <w:tc>
          <w:tcPr>
            <w:tcW w:w="2268" w:type="dxa"/>
          </w:tcPr>
          <w:p w14:paraId="2DF6B4B6">
            <w:pPr>
              <w:spacing w:after="0"/>
              <w:jc w:val="left"/>
            </w:pPr>
            <w:r>
              <w:rPr>
                <w:rFonts w:ascii="Times New Roman" w:hAnsi="Times New Roman"/>
                <w:sz w:val="22"/>
              </w:rPr>
              <w:t>Developer</w:t>
            </w:r>
          </w:p>
        </w:tc>
      </w:tr>
      <w:tr w14:paraId="026814C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28C15D8E">
            <w:pPr>
              <w:spacing w:after="0"/>
              <w:jc w:val="left"/>
            </w:pPr>
            <w:r>
              <w:rPr>
                <w:rFonts w:ascii="Times New Roman" w:hAnsi="Times New Roman"/>
                <w:sz w:val="22"/>
              </w:rPr>
              <w:t>6.1</w:t>
            </w:r>
          </w:p>
        </w:tc>
        <w:tc>
          <w:tcPr>
            <w:tcW w:w="4535" w:type="dxa"/>
          </w:tcPr>
          <w:p w14:paraId="48E2CB51">
            <w:pPr>
              <w:spacing w:after="0"/>
              <w:jc w:val="left"/>
            </w:pPr>
            <w:r>
              <w:rPr>
                <w:rFonts w:ascii="Times New Roman" w:hAnsi="Times New Roman"/>
                <w:sz w:val="22"/>
              </w:rPr>
              <w:t>Curate a small labelled set for fine-tuning (skipped if time does not allow)</w:t>
            </w:r>
          </w:p>
        </w:tc>
        <w:tc>
          <w:tcPr>
            <w:tcW w:w="1134" w:type="dxa"/>
          </w:tcPr>
          <w:p w14:paraId="1D1E22FC">
            <w:pPr>
              <w:spacing w:after="0"/>
              <w:jc w:val="left"/>
            </w:pPr>
            <w:r>
              <w:rPr>
                <w:rFonts w:ascii="Times New Roman" w:hAnsi="Times New Roman"/>
                <w:sz w:val="22"/>
              </w:rPr>
              <w:t>6</w:t>
            </w:r>
          </w:p>
        </w:tc>
        <w:tc>
          <w:tcPr>
            <w:tcW w:w="2268" w:type="dxa"/>
          </w:tcPr>
          <w:p w14:paraId="4CE8BDAA">
            <w:pPr>
              <w:spacing w:after="0"/>
              <w:jc w:val="left"/>
            </w:pPr>
            <w:r>
              <w:rPr>
                <w:rFonts w:ascii="Times New Roman" w:hAnsi="Times New Roman"/>
                <w:sz w:val="22"/>
              </w:rPr>
              <w:t>Developer</w:t>
            </w:r>
          </w:p>
        </w:tc>
      </w:tr>
      <w:tr w14:paraId="2DA4DFB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2DEA9C3F">
            <w:pPr>
              <w:spacing w:after="0"/>
              <w:jc w:val="left"/>
            </w:pPr>
            <w:r>
              <w:rPr>
                <w:rFonts w:ascii="Times New Roman" w:hAnsi="Times New Roman"/>
                <w:sz w:val="22"/>
              </w:rPr>
              <w:t>6.2</w:t>
            </w:r>
          </w:p>
        </w:tc>
        <w:tc>
          <w:tcPr>
            <w:tcW w:w="4535" w:type="dxa"/>
          </w:tcPr>
          <w:p w14:paraId="533A7808">
            <w:pPr>
              <w:spacing w:after="0"/>
              <w:jc w:val="left"/>
            </w:pPr>
            <w:r>
              <w:rPr>
                <w:rFonts w:ascii="Times New Roman" w:hAnsi="Times New Roman"/>
                <w:sz w:val="22"/>
              </w:rPr>
              <w:t>Run a small LoRA / PEFT fine-tune pass (skipped if time does not allow)</w:t>
            </w:r>
          </w:p>
        </w:tc>
        <w:tc>
          <w:tcPr>
            <w:tcW w:w="1134" w:type="dxa"/>
          </w:tcPr>
          <w:p w14:paraId="538BC02D">
            <w:pPr>
              <w:spacing w:after="0"/>
              <w:jc w:val="left"/>
            </w:pPr>
            <w:r>
              <w:rPr>
                <w:rFonts w:ascii="Times New Roman" w:hAnsi="Times New Roman"/>
                <w:sz w:val="22"/>
              </w:rPr>
              <w:t>6</w:t>
            </w:r>
          </w:p>
        </w:tc>
        <w:tc>
          <w:tcPr>
            <w:tcW w:w="2268" w:type="dxa"/>
          </w:tcPr>
          <w:p w14:paraId="102D5C33">
            <w:pPr>
              <w:spacing w:after="0"/>
              <w:jc w:val="left"/>
            </w:pPr>
            <w:r>
              <w:rPr>
                <w:rFonts w:ascii="Times New Roman" w:hAnsi="Times New Roman"/>
                <w:sz w:val="22"/>
              </w:rPr>
              <w:t>Developer</w:t>
            </w:r>
          </w:p>
        </w:tc>
      </w:tr>
      <w:tr w14:paraId="2F98AE5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016D7E53">
            <w:pPr>
              <w:spacing w:after="0"/>
              <w:jc w:val="left"/>
            </w:pPr>
            <w:r>
              <w:rPr>
                <w:rFonts w:ascii="Times New Roman" w:hAnsi="Times New Roman"/>
                <w:sz w:val="22"/>
              </w:rPr>
              <w:t>7.1</w:t>
            </w:r>
          </w:p>
        </w:tc>
        <w:tc>
          <w:tcPr>
            <w:tcW w:w="4535" w:type="dxa"/>
          </w:tcPr>
          <w:p w14:paraId="5914D252">
            <w:pPr>
              <w:spacing w:after="0"/>
              <w:jc w:val="left"/>
            </w:pPr>
            <w:r>
              <w:rPr>
                <w:rFonts w:ascii="Times New Roman" w:hAnsi="Times New Roman"/>
                <w:sz w:val="22"/>
              </w:rPr>
              <w:t>Unit tests (domain, application, infrastructure, interfaces)</w:t>
            </w:r>
          </w:p>
        </w:tc>
        <w:tc>
          <w:tcPr>
            <w:tcW w:w="1134" w:type="dxa"/>
          </w:tcPr>
          <w:p w14:paraId="17A5989E">
            <w:pPr>
              <w:spacing w:after="0"/>
              <w:jc w:val="left"/>
            </w:pPr>
            <w:r>
              <w:rPr>
                <w:rFonts w:ascii="Times New Roman" w:hAnsi="Times New Roman"/>
                <w:sz w:val="22"/>
              </w:rPr>
              <w:t>7</w:t>
            </w:r>
          </w:p>
        </w:tc>
        <w:tc>
          <w:tcPr>
            <w:tcW w:w="2268" w:type="dxa"/>
          </w:tcPr>
          <w:p w14:paraId="391160B4">
            <w:pPr>
              <w:spacing w:after="0"/>
              <w:jc w:val="left"/>
            </w:pPr>
            <w:r>
              <w:rPr>
                <w:rFonts w:ascii="Times New Roman" w:hAnsi="Times New Roman"/>
                <w:sz w:val="22"/>
              </w:rPr>
              <w:t>Developer</w:t>
            </w:r>
          </w:p>
        </w:tc>
      </w:tr>
      <w:tr w14:paraId="08DE2E3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677138F1">
            <w:pPr>
              <w:spacing w:after="0"/>
              <w:jc w:val="left"/>
            </w:pPr>
            <w:r>
              <w:rPr>
                <w:rFonts w:ascii="Times New Roman" w:hAnsi="Times New Roman"/>
                <w:sz w:val="22"/>
              </w:rPr>
              <w:t>7.2</w:t>
            </w:r>
          </w:p>
        </w:tc>
        <w:tc>
          <w:tcPr>
            <w:tcW w:w="4535" w:type="dxa"/>
          </w:tcPr>
          <w:p w14:paraId="7182BCDE">
            <w:pPr>
              <w:spacing w:after="0"/>
              <w:jc w:val="left"/>
            </w:pPr>
            <w:r>
              <w:rPr>
                <w:rFonts w:ascii="Times New Roman" w:hAnsi="Times New Roman"/>
                <w:sz w:val="22"/>
              </w:rPr>
              <w:t>Integration tests (auth, case list, attempt, feedback, reviews)</w:t>
            </w:r>
          </w:p>
        </w:tc>
        <w:tc>
          <w:tcPr>
            <w:tcW w:w="1134" w:type="dxa"/>
          </w:tcPr>
          <w:p w14:paraId="6E7D66D1">
            <w:pPr>
              <w:spacing w:after="0"/>
              <w:jc w:val="left"/>
            </w:pPr>
            <w:r>
              <w:rPr>
                <w:rFonts w:ascii="Times New Roman" w:hAnsi="Times New Roman"/>
                <w:sz w:val="22"/>
              </w:rPr>
              <w:t>7</w:t>
            </w:r>
          </w:p>
        </w:tc>
        <w:tc>
          <w:tcPr>
            <w:tcW w:w="2268" w:type="dxa"/>
          </w:tcPr>
          <w:p w14:paraId="747196F2">
            <w:pPr>
              <w:spacing w:after="0"/>
              <w:jc w:val="left"/>
            </w:pPr>
            <w:r>
              <w:rPr>
                <w:rFonts w:ascii="Times New Roman" w:hAnsi="Times New Roman"/>
                <w:sz w:val="22"/>
              </w:rPr>
              <w:t>Developer</w:t>
            </w:r>
          </w:p>
        </w:tc>
      </w:tr>
      <w:tr w14:paraId="2BC8E26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684C93BA">
            <w:pPr>
              <w:spacing w:after="0"/>
              <w:jc w:val="left"/>
            </w:pPr>
            <w:r>
              <w:rPr>
                <w:rFonts w:ascii="Times New Roman" w:hAnsi="Times New Roman"/>
                <w:sz w:val="22"/>
              </w:rPr>
              <w:t>7.3</w:t>
            </w:r>
          </w:p>
        </w:tc>
        <w:tc>
          <w:tcPr>
            <w:tcW w:w="4535" w:type="dxa"/>
          </w:tcPr>
          <w:p w14:paraId="18C8AADF">
            <w:pPr>
              <w:spacing w:after="0"/>
              <w:jc w:val="left"/>
            </w:pPr>
            <w:r>
              <w:rPr>
                <w:rFonts w:ascii="Times New Roman" w:hAnsi="Times New Roman"/>
                <w:sz w:val="22"/>
              </w:rPr>
              <w:t>Run the evaluation harness and produce the Phase 1 report</w:t>
            </w:r>
          </w:p>
        </w:tc>
        <w:tc>
          <w:tcPr>
            <w:tcW w:w="1134" w:type="dxa"/>
          </w:tcPr>
          <w:p w14:paraId="7D52B5EE">
            <w:pPr>
              <w:spacing w:after="0"/>
              <w:jc w:val="left"/>
            </w:pPr>
            <w:r>
              <w:rPr>
                <w:rFonts w:ascii="Times New Roman" w:hAnsi="Times New Roman"/>
                <w:sz w:val="22"/>
              </w:rPr>
              <w:t>7</w:t>
            </w:r>
          </w:p>
        </w:tc>
        <w:tc>
          <w:tcPr>
            <w:tcW w:w="2268" w:type="dxa"/>
          </w:tcPr>
          <w:p w14:paraId="6E5D7D1E">
            <w:pPr>
              <w:spacing w:after="0"/>
              <w:jc w:val="left"/>
            </w:pPr>
            <w:r>
              <w:rPr>
                <w:rFonts w:ascii="Times New Roman" w:hAnsi="Times New Roman"/>
                <w:sz w:val="22"/>
              </w:rPr>
              <w:t>Developer</w:t>
            </w:r>
          </w:p>
        </w:tc>
      </w:tr>
      <w:tr w14:paraId="2DE2B33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0246680A">
            <w:pPr>
              <w:spacing w:after="0"/>
              <w:jc w:val="left"/>
            </w:pPr>
            <w:r>
              <w:rPr>
                <w:rFonts w:ascii="Times New Roman" w:hAnsi="Times New Roman"/>
                <w:sz w:val="22"/>
              </w:rPr>
              <w:t>7.4</w:t>
            </w:r>
          </w:p>
        </w:tc>
        <w:tc>
          <w:tcPr>
            <w:tcW w:w="4535" w:type="dxa"/>
          </w:tcPr>
          <w:p w14:paraId="442E1C06">
            <w:pPr>
              <w:spacing w:after="0"/>
              <w:jc w:val="left"/>
            </w:pPr>
            <w:r>
              <w:rPr>
                <w:rFonts w:ascii="Times New Roman" w:hAnsi="Times New Roman"/>
                <w:sz w:val="22"/>
              </w:rPr>
              <w:t>Reviewer / educator rubric review of the feedback samples</w:t>
            </w:r>
          </w:p>
        </w:tc>
        <w:tc>
          <w:tcPr>
            <w:tcW w:w="1134" w:type="dxa"/>
          </w:tcPr>
          <w:p w14:paraId="76AB9430">
            <w:pPr>
              <w:spacing w:after="0"/>
              <w:jc w:val="left"/>
            </w:pPr>
            <w:r>
              <w:rPr>
                <w:rFonts w:ascii="Times New Roman" w:hAnsi="Times New Roman"/>
                <w:sz w:val="22"/>
              </w:rPr>
              <w:t>7</w:t>
            </w:r>
          </w:p>
        </w:tc>
        <w:tc>
          <w:tcPr>
            <w:tcW w:w="2268" w:type="dxa"/>
          </w:tcPr>
          <w:p w14:paraId="42F01AE1">
            <w:pPr>
              <w:spacing w:after="0"/>
              <w:jc w:val="left"/>
            </w:pPr>
            <w:r>
              <w:rPr>
                <w:rFonts w:ascii="Times New Roman" w:hAnsi="Times New Roman"/>
                <w:sz w:val="22"/>
              </w:rPr>
              <w:t>Reviewer</w:t>
            </w:r>
          </w:p>
        </w:tc>
      </w:tr>
      <w:tr w14:paraId="29984A6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114D2BEB">
            <w:pPr>
              <w:spacing w:after="0"/>
              <w:jc w:val="left"/>
            </w:pPr>
            <w:r>
              <w:rPr>
                <w:rFonts w:ascii="Times New Roman" w:hAnsi="Times New Roman"/>
                <w:sz w:val="22"/>
              </w:rPr>
              <w:t>8.1</w:t>
            </w:r>
          </w:p>
        </w:tc>
        <w:tc>
          <w:tcPr>
            <w:tcW w:w="4535" w:type="dxa"/>
          </w:tcPr>
          <w:p w14:paraId="42269509">
            <w:pPr>
              <w:spacing w:after="0"/>
              <w:jc w:val="left"/>
            </w:pPr>
            <w:r>
              <w:rPr>
                <w:rFonts w:ascii="Times New Roman" w:hAnsi="Times New Roman"/>
                <w:sz w:val="22"/>
              </w:rPr>
              <w:t>Finalise the methodology, artefact and conclusion chapters</w:t>
            </w:r>
          </w:p>
        </w:tc>
        <w:tc>
          <w:tcPr>
            <w:tcW w:w="1134" w:type="dxa"/>
          </w:tcPr>
          <w:p w14:paraId="7AD33B31">
            <w:pPr>
              <w:spacing w:after="0"/>
              <w:jc w:val="left"/>
            </w:pPr>
            <w:r>
              <w:rPr>
                <w:rFonts w:ascii="Times New Roman" w:hAnsi="Times New Roman"/>
                <w:sz w:val="22"/>
              </w:rPr>
              <w:t>8</w:t>
            </w:r>
          </w:p>
        </w:tc>
        <w:tc>
          <w:tcPr>
            <w:tcW w:w="2268" w:type="dxa"/>
          </w:tcPr>
          <w:p w14:paraId="029D524E">
            <w:pPr>
              <w:spacing w:after="0"/>
              <w:jc w:val="left"/>
            </w:pPr>
            <w:r>
              <w:rPr>
                <w:rFonts w:ascii="Times New Roman" w:hAnsi="Times New Roman"/>
                <w:sz w:val="22"/>
              </w:rPr>
              <w:t>Developer</w:t>
            </w:r>
          </w:p>
        </w:tc>
      </w:tr>
      <w:tr w14:paraId="29B480B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11A571F7">
            <w:pPr>
              <w:spacing w:after="0"/>
              <w:jc w:val="left"/>
            </w:pPr>
            <w:r>
              <w:rPr>
                <w:rFonts w:ascii="Times New Roman" w:hAnsi="Times New Roman"/>
                <w:sz w:val="22"/>
              </w:rPr>
              <w:t>8.2</w:t>
            </w:r>
          </w:p>
        </w:tc>
        <w:tc>
          <w:tcPr>
            <w:tcW w:w="4535" w:type="dxa"/>
          </w:tcPr>
          <w:p w14:paraId="0074686A">
            <w:pPr>
              <w:spacing w:after="0"/>
              <w:jc w:val="left"/>
            </w:pPr>
            <w:r>
              <w:rPr>
                <w:rFonts w:ascii="Times New Roman" w:hAnsi="Times New Roman"/>
                <w:sz w:val="22"/>
              </w:rPr>
              <w:t>Prepare the appendices and the user manual</w:t>
            </w:r>
          </w:p>
        </w:tc>
        <w:tc>
          <w:tcPr>
            <w:tcW w:w="1134" w:type="dxa"/>
          </w:tcPr>
          <w:p w14:paraId="381E4553">
            <w:pPr>
              <w:spacing w:after="0"/>
              <w:jc w:val="left"/>
            </w:pPr>
            <w:r>
              <w:rPr>
                <w:rFonts w:ascii="Times New Roman" w:hAnsi="Times New Roman"/>
                <w:sz w:val="22"/>
              </w:rPr>
              <w:t>8</w:t>
            </w:r>
          </w:p>
        </w:tc>
        <w:tc>
          <w:tcPr>
            <w:tcW w:w="2268" w:type="dxa"/>
          </w:tcPr>
          <w:p w14:paraId="7D2EC6A3">
            <w:pPr>
              <w:spacing w:after="0"/>
              <w:jc w:val="left"/>
            </w:pPr>
            <w:r>
              <w:rPr>
                <w:rFonts w:ascii="Times New Roman" w:hAnsi="Times New Roman"/>
                <w:sz w:val="22"/>
              </w:rPr>
              <w:t>Developer</w:t>
            </w:r>
          </w:p>
        </w:tc>
      </w:tr>
      <w:tr w14:paraId="169ADE3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38BDA928">
            <w:pPr>
              <w:spacing w:after="0"/>
              <w:jc w:val="left"/>
            </w:pPr>
            <w:r>
              <w:rPr>
                <w:rFonts w:ascii="Times New Roman" w:hAnsi="Times New Roman"/>
                <w:sz w:val="22"/>
              </w:rPr>
              <w:t>8.3</w:t>
            </w:r>
          </w:p>
        </w:tc>
        <w:tc>
          <w:tcPr>
            <w:tcW w:w="4535" w:type="dxa"/>
          </w:tcPr>
          <w:p w14:paraId="009EFC3B">
            <w:pPr>
              <w:spacing w:after="0"/>
              <w:jc w:val="left"/>
            </w:pPr>
            <w:r>
              <w:rPr>
                <w:rFonts w:ascii="Times New Roman" w:hAnsi="Times New Roman"/>
                <w:sz w:val="22"/>
              </w:rPr>
              <w:t>Final submission</w:t>
            </w:r>
          </w:p>
        </w:tc>
        <w:tc>
          <w:tcPr>
            <w:tcW w:w="1134" w:type="dxa"/>
          </w:tcPr>
          <w:p w14:paraId="4A955732">
            <w:pPr>
              <w:spacing w:after="0"/>
              <w:jc w:val="left"/>
            </w:pPr>
            <w:r>
              <w:rPr>
                <w:rFonts w:ascii="Times New Roman" w:hAnsi="Times New Roman"/>
                <w:sz w:val="22"/>
              </w:rPr>
              <w:t>8</w:t>
            </w:r>
          </w:p>
        </w:tc>
        <w:tc>
          <w:tcPr>
            <w:tcW w:w="2268" w:type="dxa"/>
          </w:tcPr>
          <w:p w14:paraId="1F321326">
            <w:pPr>
              <w:spacing w:after="0"/>
              <w:jc w:val="left"/>
            </w:pPr>
            <w:r>
              <w:rPr>
                <w:rFonts w:ascii="Times New Roman" w:hAnsi="Times New Roman"/>
                <w:sz w:val="22"/>
              </w:rPr>
              <w:t>Developer</w:t>
            </w:r>
          </w:p>
        </w:tc>
      </w:tr>
    </w:tbl>
    <w:p w14:paraId="79294890">
      <w:pPr>
        <w:keepNext w:val="0"/>
        <w:spacing w:before="120" w:after="120"/>
        <w:jc w:val="center"/>
      </w:pPr>
      <w:r>
        <w:rPr>
          <w:rFonts w:ascii="Times New Roman" w:hAnsi="Times New Roman"/>
          <w:b/>
          <w:sz w:val="20"/>
        </w:rPr>
        <w:t xml:space="preserve">Table 3.7: </w:t>
      </w:r>
      <w:r>
        <w:rPr>
          <w:rFonts w:ascii="Times New Roman" w:hAnsi="Times New Roman"/>
          <w:sz w:val="20"/>
        </w:rPr>
        <w:t>Work breakdown structure of the project</w:t>
      </w:r>
    </w:p>
    <w:p w14:paraId="42D9834F">
      <w:pPr>
        <w:pStyle w:val="3"/>
        <w:keepNext/>
        <w:spacing w:before="280" w:after="160"/>
        <w:jc w:val="left"/>
      </w:pPr>
      <w:r>
        <w:rPr>
          <w:rFonts w:ascii="Times New Roman" w:hAnsi="Times New Roman"/>
          <w:b/>
          <w:color w:val="000000"/>
          <w:sz w:val="28"/>
        </w:rPr>
        <w:t>3.2 Analysis and Requirement Gathering</w:t>
      </w:r>
    </w:p>
    <w:p w14:paraId="07439787">
      <w:pPr>
        <w:pStyle w:val="4"/>
        <w:keepNext/>
        <w:spacing w:before="200" w:after="120"/>
        <w:jc w:val="left"/>
      </w:pPr>
      <w:r>
        <w:rPr>
          <w:rFonts w:ascii="Times New Roman" w:hAnsi="Times New Roman"/>
          <w:b/>
          <w:color w:val="000000"/>
          <w:sz w:val="24"/>
        </w:rPr>
        <w:t>3.2.1 Analysis</w:t>
      </w:r>
    </w:p>
    <w:p w14:paraId="38976FAE">
      <w:pPr>
        <w:spacing w:before="0" w:after="120" w:line="360" w:lineRule="auto"/>
        <w:ind w:firstLine="720"/>
        <w:jc w:val="both"/>
      </w:pPr>
      <w:r>
        <w:rPr>
          <w:rFonts w:ascii="Times New Roman" w:hAnsi="Times New Roman"/>
          <w:sz w:val="22"/>
        </w:rPr>
        <w:t>The analysis phase turns the literature review and the project proposal into a concrete set of requirements. Functional requirements describe what the system must do; non-functional requirements describe the qualities the system must have. The use case diagram (Figure 3.1) captures the actors and the major interactions.</w:t>
      </w:r>
    </w:p>
    <w:p w14:paraId="0D54B5AC">
      <w:pPr>
        <w:keepNext/>
        <w:spacing w:before="120" w:after="120"/>
        <w:jc w:val="center"/>
      </w:pPr>
      <w:r>
        <w:rPr>
          <w:rFonts w:ascii="Times New Roman" w:hAnsi="Times New Roman"/>
          <w:b/>
          <w:sz w:val="20"/>
        </w:rPr>
        <w:t xml:space="preserve">Figure 3.1: </w:t>
      </w:r>
      <w:r>
        <w:rPr>
          <w:rFonts w:ascii="Times New Roman" w:hAnsi="Times New Roman"/>
          <w:sz w:val="20"/>
        </w:rPr>
        <w:t>Use case diagram of the proposed training companion.</w:t>
      </w:r>
    </w:p>
    <w:p w14:paraId="1C7F1C8B">
      <w:pPr>
        <w:spacing w:before="0" w:after="0"/>
        <w:jc w:val="center"/>
      </w:pPr>
      <w:r>
        <w:drawing>
          <wp:inline distT="0" distB="0" distL="114300" distR="114300">
            <wp:extent cx="5669280" cy="3401060"/>
            <wp:effectExtent l="0" t="0" r="0" b="1270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669280" cy="3401568"/>
                    </a:xfrm>
                    <a:prstGeom prst="rect">
                      <a:avLst/>
                    </a:prstGeom>
                  </pic:spPr>
                </pic:pic>
              </a:graphicData>
            </a:graphic>
          </wp:inline>
        </w:drawing>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850"/>
        <w:gridCol w:w="2268"/>
        <w:gridCol w:w="5953"/>
      </w:tblGrid>
      <w:tr w14:paraId="49EB4DA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850" w:type="dxa"/>
          </w:tcPr>
          <w:p w14:paraId="3A69B88E">
            <w:pPr>
              <w:spacing w:after="0"/>
              <w:jc w:val="center"/>
            </w:pPr>
            <w:r>
              <w:rPr>
                <w:rFonts w:ascii="Times New Roman" w:hAnsi="Times New Roman"/>
                <w:b/>
                <w:sz w:val="22"/>
              </w:rPr>
              <w:t>ID</w:t>
            </w:r>
          </w:p>
        </w:tc>
        <w:tc>
          <w:tcPr>
            <w:tcW w:w="2268" w:type="dxa"/>
          </w:tcPr>
          <w:p w14:paraId="3EFA370A">
            <w:pPr>
              <w:spacing w:after="0"/>
              <w:jc w:val="center"/>
            </w:pPr>
            <w:r>
              <w:rPr>
                <w:rFonts w:ascii="Times New Roman" w:hAnsi="Times New Roman"/>
                <w:b/>
                <w:sz w:val="22"/>
              </w:rPr>
              <w:t>Type</w:t>
            </w:r>
          </w:p>
        </w:tc>
        <w:tc>
          <w:tcPr>
            <w:tcW w:w="5953" w:type="dxa"/>
          </w:tcPr>
          <w:p w14:paraId="23DCB510">
            <w:pPr>
              <w:spacing w:after="0"/>
              <w:jc w:val="center"/>
            </w:pPr>
            <w:r>
              <w:rPr>
                <w:rFonts w:ascii="Times New Roman" w:hAnsi="Times New Roman"/>
                <w:b/>
                <w:sz w:val="22"/>
              </w:rPr>
              <w:t>Requirement</w:t>
            </w:r>
          </w:p>
        </w:tc>
      </w:tr>
      <w:tr w14:paraId="0BEC3E6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850" w:type="dxa"/>
          </w:tcPr>
          <w:p w14:paraId="1749FE43">
            <w:pPr>
              <w:spacing w:after="0"/>
              <w:jc w:val="left"/>
            </w:pPr>
            <w:r>
              <w:rPr>
                <w:rFonts w:ascii="Times New Roman" w:hAnsi="Times New Roman"/>
                <w:sz w:val="22"/>
              </w:rPr>
              <w:t>FR-1</w:t>
            </w:r>
          </w:p>
        </w:tc>
        <w:tc>
          <w:tcPr>
            <w:tcW w:w="2268" w:type="dxa"/>
          </w:tcPr>
          <w:p w14:paraId="502F969F">
            <w:pPr>
              <w:spacing w:after="0"/>
              <w:jc w:val="left"/>
            </w:pPr>
            <w:r>
              <w:rPr>
                <w:rFonts w:ascii="Times New Roman" w:hAnsi="Times New Roman"/>
                <w:sz w:val="22"/>
              </w:rPr>
              <w:t>Functional</w:t>
            </w:r>
          </w:p>
        </w:tc>
        <w:tc>
          <w:tcPr>
            <w:tcW w:w="5953" w:type="dxa"/>
          </w:tcPr>
          <w:p w14:paraId="5DE09C1B">
            <w:pPr>
              <w:spacing w:after="0"/>
              <w:jc w:val="left"/>
            </w:pPr>
            <w:r>
              <w:rPr>
                <w:rFonts w:ascii="Times New Roman" w:hAnsi="Times New Roman"/>
                <w:sz w:val="22"/>
              </w:rPr>
              <w:t>Display a chest X-ray image from a curated public dataset to the student.</w:t>
            </w:r>
          </w:p>
        </w:tc>
      </w:tr>
      <w:tr w14:paraId="5E361A9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850" w:type="dxa"/>
          </w:tcPr>
          <w:p w14:paraId="58E7962C">
            <w:pPr>
              <w:spacing w:after="0"/>
              <w:jc w:val="left"/>
            </w:pPr>
            <w:r>
              <w:rPr>
                <w:rFonts w:ascii="Times New Roman" w:hAnsi="Times New Roman"/>
                <w:sz w:val="22"/>
              </w:rPr>
              <w:t>FR-2</w:t>
            </w:r>
          </w:p>
        </w:tc>
        <w:tc>
          <w:tcPr>
            <w:tcW w:w="2268" w:type="dxa"/>
          </w:tcPr>
          <w:p w14:paraId="62E1624A">
            <w:pPr>
              <w:spacing w:after="0"/>
              <w:jc w:val="left"/>
            </w:pPr>
            <w:r>
              <w:rPr>
                <w:rFonts w:ascii="Times New Roman" w:hAnsi="Times New Roman"/>
                <w:sz w:val="22"/>
              </w:rPr>
              <w:t>Functional</w:t>
            </w:r>
          </w:p>
        </w:tc>
        <w:tc>
          <w:tcPr>
            <w:tcW w:w="5953" w:type="dxa"/>
          </w:tcPr>
          <w:p w14:paraId="7C698DD0">
            <w:pPr>
              <w:spacing w:after="0"/>
              <w:jc w:val="left"/>
            </w:pPr>
            <w:r>
              <w:rPr>
                <w:rFonts w:ascii="Times New Roman" w:hAnsi="Times New Roman"/>
                <w:sz w:val="22"/>
              </w:rPr>
              <w:t>Allow the student to record their own interpretation before any AI output is shown.</w:t>
            </w:r>
          </w:p>
        </w:tc>
      </w:tr>
      <w:tr w14:paraId="72D8318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850" w:type="dxa"/>
          </w:tcPr>
          <w:p w14:paraId="6896C9EA">
            <w:pPr>
              <w:spacing w:after="0"/>
              <w:jc w:val="left"/>
            </w:pPr>
            <w:r>
              <w:rPr>
                <w:rFonts w:ascii="Times New Roman" w:hAnsi="Times New Roman"/>
                <w:sz w:val="22"/>
              </w:rPr>
              <w:t>FR-3</w:t>
            </w:r>
          </w:p>
        </w:tc>
        <w:tc>
          <w:tcPr>
            <w:tcW w:w="2268" w:type="dxa"/>
          </w:tcPr>
          <w:p w14:paraId="0AD775D0">
            <w:pPr>
              <w:spacing w:after="0"/>
              <w:jc w:val="left"/>
            </w:pPr>
            <w:r>
              <w:rPr>
                <w:rFonts w:ascii="Times New Roman" w:hAnsi="Times New Roman"/>
                <w:sz w:val="22"/>
              </w:rPr>
              <w:t>Functional</w:t>
            </w:r>
          </w:p>
        </w:tc>
        <w:tc>
          <w:tcPr>
            <w:tcW w:w="5953" w:type="dxa"/>
          </w:tcPr>
          <w:p w14:paraId="08BD34BA">
            <w:pPr>
              <w:spacing w:after="0"/>
              <w:jc w:val="left"/>
            </w:pPr>
            <w:r>
              <w:rPr>
                <w:rFonts w:ascii="Times New Roman" w:hAnsi="Times New Roman"/>
                <w:sz w:val="22"/>
              </w:rPr>
              <w:t>Analyse the image with MedGemma to propose likely findings and an initial explanation.</w:t>
            </w:r>
          </w:p>
        </w:tc>
      </w:tr>
      <w:tr w14:paraId="3F9DD83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850" w:type="dxa"/>
          </w:tcPr>
          <w:p w14:paraId="61399F7B">
            <w:pPr>
              <w:spacing w:after="0"/>
              <w:jc w:val="left"/>
            </w:pPr>
            <w:r>
              <w:rPr>
                <w:rFonts w:ascii="Times New Roman" w:hAnsi="Times New Roman"/>
                <w:sz w:val="22"/>
              </w:rPr>
              <w:t>FR-4</w:t>
            </w:r>
          </w:p>
        </w:tc>
        <w:tc>
          <w:tcPr>
            <w:tcW w:w="2268" w:type="dxa"/>
          </w:tcPr>
          <w:p w14:paraId="32A1F588">
            <w:pPr>
              <w:spacing w:after="0"/>
              <w:jc w:val="left"/>
            </w:pPr>
            <w:r>
              <w:rPr>
                <w:rFonts w:ascii="Times New Roman" w:hAnsi="Times New Roman"/>
                <w:sz w:val="22"/>
              </w:rPr>
              <w:t>Functional</w:t>
            </w:r>
          </w:p>
        </w:tc>
        <w:tc>
          <w:tcPr>
            <w:tcW w:w="5953" w:type="dxa"/>
          </w:tcPr>
          <w:p w14:paraId="63610E03">
            <w:pPr>
              <w:spacing w:after="0"/>
              <w:jc w:val="left"/>
            </w:pPr>
            <w:r>
              <w:rPr>
                <w:rFonts w:ascii="Times New Roman" w:hAnsi="Times New Roman"/>
                <w:sz w:val="22"/>
              </w:rPr>
              <w:t>Retrieve relevant teaching evidence from a curated corpus using RAG.</w:t>
            </w:r>
          </w:p>
        </w:tc>
      </w:tr>
      <w:tr w14:paraId="07E06E8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850" w:type="dxa"/>
          </w:tcPr>
          <w:p w14:paraId="2D584452">
            <w:pPr>
              <w:spacing w:after="0"/>
              <w:jc w:val="left"/>
            </w:pPr>
            <w:r>
              <w:rPr>
                <w:rFonts w:ascii="Times New Roman" w:hAnsi="Times New Roman"/>
                <w:sz w:val="22"/>
              </w:rPr>
              <w:t>FR-5</w:t>
            </w:r>
          </w:p>
        </w:tc>
        <w:tc>
          <w:tcPr>
            <w:tcW w:w="2268" w:type="dxa"/>
          </w:tcPr>
          <w:p w14:paraId="66B4ED74">
            <w:pPr>
              <w:spacing w:after="0"/>
              <w:jc w:val="left"/>
            </w:pPr>
            <w:r>
              <w:rPr>
                <w:rFonts w:ascii="Times New Roman" w:hAnsi="Times New Roman"/>
                <w:sz w:val="22"/>
              </w:rPr>
              <w:t>Functional</w:t>
            </w:r>
          </w:p>
        </w:tc>
        <w:tc>
          <w:tcPr>
            <w:tcW w:w="5953" w:type="dxa"/>
          </w:tcPr>
          <w:p w14:paraId="45D18B12">
            <w:pPr>
              <w:spacing w:after="0"/>
              <w:jc w:val="left"/>
            </w:pPr>
            <w:r>
              <w:rPr>
                <w:rFonts w:ascii="Times New Roman" w:hAnsi="Times New Roman"/>
                <w:sz w:val="22"/>
              </w:rPr>
              <w:t>Generate a feedback note: likely finding, key signs, comparison with the student's answer, missed clues, supporting evidence, and a learning point.</w:t>
            </w:r>
          </w:p>
        </w:tc>
      </w:tr>
      <w:tr w14:paraId="47DF94C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850" w:type="dxa"/>
          </w:tcPr>
          <w:p w14:paraId="4C6F90FB">
            <w:pPr>
              <w:spacing w:after="0"/>
              <w:jc w:val="left"/>
            </w:pPr>
            <w:r>
              <w:rPr>
                <w:rFonts w:ascii="Times New Roman" w:hAnsi="Times New Roman"/>
                <w:sz w:val="22"/>
              </w:rPr>
              <w:t>FR-6</w:t>
            </w:r>
          </w:p>
        </w:tc>
        <w:tc>
          <w:tcPr>
            <w:tcW w:w="2268" w:type="dxa"/>
          </w:tcPr>
          <w:p w14:paraId="038DF8C9">
            <w:pPr>
              <w:spacing w:after="0"/>
              <w:jc w:val="left"/>
            </w:pPr>
            <w:r>
              <w:rPr>
                <w:rFonts w:ascii="Times New Roman" w:hAnsi="Times New Roman"/>
                <w:sz w:val="22"/>
              </w:rPr>
              <w:t>Functional</w:t>
            </w:r>
          </w:p>
        </w:tc>
        <w:tc>
          <w:tcPr>
            <w:tcW w:w="5953" w:type="dxa"/>
          </w:tcPr>
          <w:p w14:paraId="1B492AB1">
            <w:pPr>
              <w:spacing w:after="0"/>
              <w:jc w:val="left"/>
            </w:pPr>
            <w:r>
              <w:rPr>
                <w:rFonts w:ascii="Times New Roman" w:hAnsi="Times New Roman"/>
                <w:sz w:val="22"/>
              </w:rPr>
              <w:t>Display retrieved source citations alongside the feedback.</w:t>
            </w:r>
          </w:p>
        </w:tc>
      </w:tr>
      <w:tr w14:paraId="2922C7B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850" w:type="dxa"/>
          </w:tcPr>
          <w:p w14:paraId="39A2F12A">
            <w:pPr>
              <w:spacing w:after="0"/>
              <w:jc w:val="left"/>
            </w:pPr>
            <w:r>
              <w:rPr>
                <w:rFonts w:ascii="Times New Roman" w:hAnsi="Times New Roman"/>
                <w:sz w:val="22"/>
              </w:rPr>
              <w:t>FR-7</w:t>
            </w:r>
          </w:p>
        </w:tc>
        <w:tc>
          <w:tcPr>
            <w:tcW w:w="2268" w:type="dxa"/>
          </w:tcPr>
          <w:p w14:paraId="0217AE40">
            <w:pPr>
              <w:spacing w:after="0"/>
              <w:jc w:val="left"/>
            </w:pPr>
            <w:r>
              <w:rPr>
                <w:rFonts w:ascii="Times New Roman" w:hAnsi="Times New Roman"/>
                <w:sz w:val="22"/>
              </w:rPr>
              <w:t>Functional</w:t>
            </w:r>
          </w:p>
        </w:tc>
        <w:tc>
          <w:tcPr>
            <w:tcW w:w="5953" w:type="dxa"/>
          </w:tcPr>
          <w:p w14:paraId="0E799530">
            <w:pPr>
              <w:spacing w:after="0"/>
              <w:jc w:val="left"/>
            </w:pPr>
            <w:r>
              <w:rPr>
                <w:rFonts w:ascii="Times New Roman" w:hAnsi="Times New Roman"/>
                <w:sz w:val="22"/>
              </w:rPr>
              <w:t>Allow the educator / reviewer to browse a queue of submitted attempts and submit rubric-based reviews.</w:t>
            </w:r>
          </w:p>
        </w:tc>
      </w:tr>
      <w:tr w14:paraId="1F6F675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850" w:type="dxa"/>
          </w:tcPr>
          <w:p w14:paraId="6AD5A679">
            <w:pPr>
              <w:spacing w:after="0"/>
              <w:jc w:val="left"/>
            </w:pPr>
            <w:r>
              <w:rPr>
                <w:rFonts w:ascii="Times New Roman" w:hAnsi="Times New Roman"/>
                <w:sz w:val="22"/>
              </w:rPr>
              <w:t>FR-8</w:t>
            </w:r>
          </w:p>
        </w:tc>
        <w:tc>
          <w:tcPr>
            <w:tcW w:w="2268" w:type="dxa"/>
          </w:tcPr>
          <w:p w14:paraId="5B4DBBCB">
            <w:pPr>
              <w:spacing w:after="0"/>
              <w:jc w:val="left"/>
            </w:pPr>
            <w:r>
              <w:rPr>
                <w:rFonts w:ascii="Times New Roman" w:hAnsi="Times New Roman"/>
                <w:sz w:val="22"/>
              </w:rPr>
              <w:t>Functional</w:t>
            </w:r>
          </w:p>
        </w:tc>
        <w:tc>
          <w:tcPr>
            <w:tcW w:w="5953" w:type="dxa"/>
          </w:tcPr>
          <w:p w14:paraId="5CBCBA20">
            <w:pPr>
              <w:spacing w:after="0"/>
              <w:jc w:val="left"/>
            </w:pPr>
            <w:r>
              <w:rPr>
                <w:rFonts w:ascii="Times New Roman" w:hAnsi="Times New Roman"/>
                <w:sz w:val="22"/>
              </w:rPr>
              <w:t>Enforce role separation: STUDENT, EDUCATOR, ADMIN.</w:t>
            </w:r>
          </w:p>
        </w:tc>
      </w:tr>
      <w:tr w14:paraId="6841BEA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850" w:type="dxa"/>
          </w:tcPr>
          <w:p w14:paraId="6294A280">
            <w:pPr>
              <w:spacing w:after="0"/>
              <w:jc w:val="left"/>
            </w:pPr>
            <w:r>
              <w:rPr>
                <w:rFonts w:ascii="Times New Roman" w:hAnsi="Times New Roman"/>
                <w:sz w:val="22"/>
              </w:rPr>
              <w:t>NFR-1</w:t>
            </w:r>
          </w:p>
        </w:tc>
        <w:tc>
          <w:tcPr>
            <w:tcW w:w="2268" w:type="dxa"/>
          </w:tcPr>
          <w:p w14:paraId="09E74F15">
            <w:pPr>
              <w:spacing w:after="0"/>
              <w:jc w:val="left"/>
            </w:pPr>
            <w:r>
              <w:rPr>
                <w:rFonts w:ascii="Times New Roman" w:hAnsi="Times New Roman"/>
                <w:sz w:val="22"/>
              </w:rPr>
              <w:t>Non-functional (Usability)</w:t>
            </w:r>
          </w:p>
        </w:tc>
        <w:tc>
          <w:tcPr>
            <w:tcW w:w="5953" w:type="dxa"/>
          </w:tcPr>
          <w:p w14:paraId="295250F4">
            <w:pPr>
              <w:spacing w:after="0"/>
              <w:jc w:val="left"/>
            </w:pPr>
            <w:r>
              <w:rPr>
                <w:rFonts w:ascii="Times New Roman" w:hAnsi="Times New Roman"/>
                <w:sz w:val="22"/>
              </w:rPr>
              <w:t>Feedback must be clear and understandable at the intended student level.</w:t>
            </w:r>
          </w:p>
        </w:tc>
      </w:tr>
      <w:tr w14:paraId="4B9185B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850" w:type="dxa"/>
          </w:tcPr>
          <w:p w14:paraId="345A446F">
            <w:pPr>
              <w:spacing w:after="0"/>
              <w:jc w:val="left"/>
            </w:pPr>
            <w:r>
              <w:rPr>
                <w:rFonts w:ascii="Times New Roman" w:hAnsi="Times New Roman"/>
                <w:sz w:val="22"/>
              </w:rPr>
              <w:t>NFR-2</w:t>
            </w:r>
          </w:p>
        </w:tc>
        <w:tc>
          <w:tcPr>
            <w:tcW w:w="2268" w:type="dxa"/>
          </w:tcPr>
          <w:p w14:paraId="42DF1195">
            <w:pPr>
              <w:spacing w:after="0"/>
              <w:jc w:val="left"/>
            </w:pPr>
            <w:r>
              <w:rPr>
                <w:rFonts w:ascii="Times New Roman" w:hAnsi="Times New Roman"/>
                <w:sz w:val="22"/>
              </w:rPr>
              <w:t>Non-functional (Reliability)</w:t>
            </w:r>
          </w:p>
        </w:tc>
        <w:tc>
          <w:tcPr>
            <w:tcW w:w="5953" w:type="dxa"/>
          </w:tcPr>
          <w:p w14:paraId="611868D5">
            <w:pPr>
              <w:spacing w:after="0"/>
              <w:jc w:val="left"/>
            </w:pPr>
            <w:r>
              <w:rPr>
                <w:rFonts w:ascii="Times New Roman" w:hAnsi="Times New Roman"/>
                <w:sz w:val="22"/>
              </w:rPr>
              <w:t>Separate model-suggested findings from retrieved teaching evidence; state uncertainty where appropriate.</w:t>
            </w:r>
          </w:p>
        </w:tc>
      </w:tr>
      <w:tr w14:paraId="5173B2C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850" w:type="dxa"/>
          </w:tcPr>
          <w:p w14:paraId="70B1BA78">
            <w:pPr>
              <w:spacing w:after="0"/>
              <w:jc w:val="left"/>
            </w:pPr>
            <w:r>
              <w:rPr>
                <w:rFonts w:ascii="Times New Roman" w:hAnsi="Times New Roman"/>
                <w:sz w:val="22"/>
              </w:rPr>
              <w:t>NFR-3</w:t>
            </w:r>
          </w:p>
        </w:tc>
        <w:tc>
          <w:tcPr>
            <w:tcW w:w="2268" w:type="dxa"/>
          </w:tcPr>
          <w:p w14:paraId="2C8917E2">
            <w:pPr>
              <w:spacing w:after="0"/>
              <w:jc w:val="left"/>
            </w:pPr>
            <w:r>
              <w:rPr>
                <w:rFonts w:ascii="Times New Roman" w:hAnsi="Times New Roman"/>
                <w:sz w:val="22"/>
              </w:rPr>
              <w:t>Non-functional (Security)</w:t>
            </w:r>
          </w:p>
        </w:tc>
        <w:tc>
          <w:tcPr>
            <w:tcW w:w="5953" w:type="dxa"/>
          </w:tcPr>
          <w:p w14:paraId="4096F84D">
            <w:pPr>
              <w:spacing w:after="0"/>
              <w:jc w:val="left"/>
            </w:pPr>
            <w:r>
              <w:rPr>
                <w:rFonts w:ascii="Times New Roman" w:hAnsi="Times New Roman"/>
                <w:sz w:val="22"/>
              </w:rPr>
              <w:t>Enforce role separation, secure secret handling, input / file validation.</w:t>
            </w:r>
          </w:p>
        </w:tc>
      </w:tr>
      <w:tr w14:paraId="5B81FCA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850" w:type="dxa"/>
          </w:tcPr>
          <w:p w14:paraId="1442AED4">
            <w:pPr>
              <w:spacing w:after="0"/>
              <w:jc w:val="left"/>
            </w:pPr>
            <w:r>
              <w:rPr>
                <w:rFonts w:ascii="Times New Roman" w:hAnsi="Times New Roman"/>
                <w:sz w:val="22"/>
              </w:rPr>
              <w:t>NFR-4</w:t>
            </w:r>
          </w:p>
        </w:tc>
        <w:tc>
          <w:tcPr>
            <w:tcW w:w="2268" w:type="dxa"/>
          </w:tcPr>
          <w:p w14:paraId="1131DBA1">
            <w:pPr>
              <w:spacing w:after="0"/>
              <w:jc w:val="left"/>
            </w:pPr>
            <w:r>
              <w:rPr>
                <w:rFonts w:ascii="Times New Roman" w:hAnsi="Times New Roman"/>
                <w:sz w:val="22"/>
              </w:rPr>
              <w:t>Non-functional (Traceability)</w:t>
            </w:r>
          </w:p>
        </w:tc>
        <w:tc>
          <w:tcPr>
            <w:tcW w:w="5953" w:type="dxa"/>
          </w:tcPr>
          <w:p w14:paraId="69E09854">
            <w:pPr>
              <w:spacing w:after="0"/>
              <w:jc w:val="left"/>
            </w:pPr>
            <w:r>
              <w:rPr>
                <w:rFonts w:ascii="Times New Roman" w:hAnsi="Times New Roman"/>
                <w:sz w:val="22"/>
              </w:rPr>
              <w:t>Log prompt version, model version and retrieved passages for each feedback item to support evaluation.</w:t>
            </w:r>
          </w:p>
        </w:tc>
      </w:tr>
      <w:tr w14:paraId="48A8553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850" w:type="dxa"/>
          </w:tcPr>
          <w:p w14:paraId="20E2CD3D">
            <w:pPr>
              <w:spacing w:after="0"/>
              <w:jc w:val="left"/>
            </w:pPr>
            <w:r>
              <w:rPr>
                <w:rFonts w:ascii="Times New Roman" w:hAnsi="Times New Roman"/>
                <w:sz w:val="22"/>
              </w:rPr>
              <w:t>NFR-5</w:t>
            </w:r>
          </w:p>
        </w:tc>
        <w:tc>
          <w:tcPr>
            <w:tcW w:w="2268" w:type="dxa"/>
          </w:tcPr>
          <w:p w14:paraId="3CC64B28">
            <w:pPr>
              <w:spacing w:after="0"/>
              <w:jc w:val="left"/>
            </w:pPr>
            <w:r>
              <w:rPr>
                <w:rFonts w:ascii="Times New Roman" w:hAnsi="Times New Roman"/>
                <w:sz w:val="22"/>
              </w:rPr>
              <w:t>Non-functional (Performance)</w:t>
            </w:r>
          </w:p>
        </w:tc>
        <w:tc>
          <w:tcPr>
            <w:tcW w:w="5953" w:type="dxa"/>
          </w:tcPr>
          <w:p w14:paraId="073A374E">
            <w:pPr>
              <w:spacing w:after="0"/>
              <w:jc w:val="left"/>
            </w:pPr>
            <w:r>
              <w:rPr>
                <w:rFonts w:ascii="Times New Roman" w:hAnsi="Times New Roman"/>
                <w:sz w:val="22"/>
              </w:rPr>
              <w:t>Return feedback within a reasonable interactive time on available hardware.</w:t>
            </w:r>
          </w:p>
        </w:tc>
      </w:tr>
      <w:tr w14:paraId="2C38354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850" w:type="dxa"/>
          </w:tcPr>
          <w:p w14:paraId="3B259548">
            <w:pPr>
              <w:spacing w:after="0"/>
              <w:jc w:val="left"/>
            </w:pPr>
            <w:r>
              <w:rPr>
                <w:rFonts w:ascii="Times New Roman" w:hAnsi="Times New Roman"/>
                <w:sz w:val="22"/>
              </w:rPr>
              <w:t>NFR-6</w:t>
            </w:r>
          </w:p>
        </w:tc>
        <w:tc>
          <w:tcPr>
            <w:tcW w:w="2268" w:type="dxa"/>
          </w:tcPr>
          <w:p w14:paraId="459723CB">
            <w:pPr>
              <w:spacing w:after="0"/>
              <w:jc w:val="left"/>
            </w:pPr>
            <w:r>
              <w:rPr>
                <w:rFonts w:ascii="Times New Roman" w:hAnsi="Times New Roman"/>
                <w:sz w:val="22"/>
              </w:rPr>
              <w:t>Non-functional (Privacy)</w:t>
            </w:r>
          </w:p>
        </w:tc>
        <w:tc>
          <w:tcPr>
            <w:tcW w:w="5953" w:type="dxa"/>
          </w:tcPr>
          <w:p w14:paraId="18581787">
            <w:pPr>
              <w:spacing w:after="0"/>
              <w:jc w:val="left"/>
            </w:pPr>
            <w:r>
              <w:rPr>
                <w:rFonts w:ascii="Times New Roman" w:hAnsi="Times New Roman"/>
                <w:sz w:val="22"/>
              </w:rPr>
              <w:t>Use only de-identified public CXR data and never log the student's free-text interpretation alongside an identifier.</w:t>
            </w:r>
          </w:p>
        </w:tc>
      </w:tr>
      <w:tr w14:paraId="6251DBA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850" w:type="dxa"/>
          </w:tcPr>
          <w:p w14:paraId="01EAF5F1">
            <w:pPr>
              <w:spacing w:after="0"/>
              <w:jc w:val="left"/>
            </w:pPr>
            <w:r>
              <w:rPr>
                <w:rFonts w:ascii="Times New Roman" w:hAnsi="Times New Roman"/>
                <w:sz w:val="22"/>
              </w:rPr>
              <w:t>NFR-7</w:t>
            </w:r>
          </w:p>
        </w:tc>
        <w:tc>
          <w:tcPr>
            <w:tcW w:w="2268" w:type="dxa"/>
          </w:tcPr>
          <w:p w14:paraId="1C76B127">
            <w:pPr>
              <w:spacing w:after="0"/>
              <w:jc w:val="left"/>
            </w:pPr>
            <w:r>
              <w:rPr>
                <w:rFonts w:ascii="Times New Roman" w:hAnsi="Times New Roman"/>
                <w:sz w:val="22"/>
              </w:rPr>
              <w:t>Non-functional (Maintainability)</w:t>
            </w:r>
          </w:p>
        </w:tc>
        <w:tc>
          <w:tcPr>
            <w:tcW w:w="5953" w:type="dxa"/>
          </w:tcPr>
          <w:p w14:paraId="16B81432">
            <w:pPr>
              <w:spacing w:after="0"/>
              <w:jc w:val="left"/>
            </w:pPr>
            <w:r>
              <w:rPr>
                <w:rFonts w:ascii="Times New Roman" w:hAnsi="Times New Roman"/>
                <w:sz w:val="22"/>
              </w:rPr>
              <w:t>Organise the code so that the model, the retriever and the dataset can be replaced without changing the application code.</w:t>
            </w:r>
          </w:p>
        </w:tc>
      </w:tr>
    </w:tbl>
    <w:p w14:paraId="36AE3DB1">
      <w:pPr>
        <w:keepNext w:val="0"/>
        <w:spacing w:before="120" w:after="120"/>
        <w:jc w:val="center"/>
      </w:pPr>
      <w:r>
        <w:rPr>
          <w:rFonts w:ascii="Times New Roman" w:hAnsi="Times New Roman"/>
          <w:b/>
          <w:sz w:val="20"/>
        </w:rPr>
        <w:t xml:space="preserve">Table 3.8: </w:t>
      </w:r>
      <w:r>
        <w:rPr>
          <w:rFonts w:ascii="Times New Roman" w:hAnsi="Times New Roman"/>
          <w:sz w:val="20"/>
        </w:rPr>
        <w:t>Functional and non-functional requirements</w:t>
      </w:r>
    </w:p>
    <w:p w14:paraId="750E38FC">
      <w:pPr>
        <w:spacing w:before="0" w:after="120" w:line="360" w:lineRule="auto"/>
        <w:ind w:firstLine="720"/>
        <w:jc w:val="both"/>
      </w:pPr>
      <w:r>
        <w:rPr>
          <w:rFonts w:ascii="Times New Roman" w:hAnsi="Times New Roman"/>
          <w:sz w:val="22"/>
        </w:rPr>
        <w:t>Table 3.9 maps the requirements to the design decisions that realise them. The traceability between requirement and design is what allows the methodology chapter to be checked against the academic questions in Chapter 1.</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451"/>
        <w:gridCol w:w="2759"/>
        <w:gridCol w:w="5366"/>
      </w:tblGrid>
      <w:tr w14:paraId="0DF39D3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24FDD86F">
            <w:pPr>
              <w:spacing w:after="0"/>
              <w:jc w:val="center"/>
            </w:pPr>
            <w:r>
              <w:rPr>
                <w:rFonts w:ascii="Times New Roman" w:hAnsi="Times New Roman"/>
                <w:b/>
                <w:sz w:val="22"/>
              </w:rPr>
              <w:t>Requirement</w:t>
            </w:r>
          </w:p>
        </w:tc>
        <w:tc>
          <w:tcPr>
            <w:tcW w:w="3969" w:type="dxa"/>
          </w:tcPr>
          <w:p w14:paraId="176AB233">
            <w:pPr>
              <w:spacing w:after="0"/>
              <w:jc w:val="center"/>
            </w:pPr>
            <w:r>
              <w:rPr>
                <w:rFonts w:ascii="Times New Roman" w:hAnsi="Times New Roman"/>
                <w:b/>
                <w:sz w:val="22"/>
              </w:rPr>
              <w:t>Design decision</w:t>
            </w:r>
          </w:p>
        </w:tc>
        <w:tc>
          <w:tcPr>
            <w:tcW w:w="3969" w:type="dxa"/>
          </w:tcPr>
          <w:p w14:paraId="61CA83C2">
            <w:pPr>
              <w:spacing w:after="0"/>
              <w:jc w:val="center"/>
            </w:pPr>
            <w:r>
              <w:rPr>
                <w:rFonts w:ascii="Times New Roman" w:hAnsi="Times New Roman"/>
                <w:b/>
                <w:sz w:val="22"/>
              </w:rPr>
              <w:t>Where in the artefact</w:t>
            </w:r>
          </w:p>
        </w:tc>
      </w:tr>
      <w:tr w14:paraId="02A28A7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1602A8AA">
            <w:pPr>
              <w:spacing w:after="0"/>
              <w:jc w:val="left"/>
            </w:pPr>
            <w:r>
              <w:rPr>
                <w:rFonts w:ascii="Times New Roman" w:hAnsi="Times New Roman"/>
                <w:sz w:val="22"/>
              </w:rPr>
              <w:t>FR-1</w:t>
            </w:r>
          </w:p>
        </w:tc>
        <w:tc>
          <w:tcPr>
            <w:tcW w:w="3969" w:type="dxa"/>
          </w:tcPr>
          <w:p w14:paraId="26904E6A">
            <w:pPr>
              <w:spacing w:after="0"/>
              <w:jc w:val="left"/>
            </w:pPr>
            <w:r>
              <w:rPr>
                <w:rFonts w:ascii="Times New Roman" w:hAnsi="Times New Roman"/>
                <w:sz w:val="22"/>
              </w:rPr>
              <w:t>ManifestRepository reads a CSV of cases; images are served by a FastAPI StaticFiles mount on /images.</w:t>
            </w:r>
          </w:p>
        </w:tc>
        <w:tc>
          <w:tcPr>
            <w:tcW w:w="3969" w:type="dxa"/>
          </w:tcPr>
          <w:p w14:paraId="33DB483B">
            <w:pPr>
              <w:spacing w:after="0"/>
              <w:jc w:val="left"/>
            </w:pPr>
            <w:r>
              <w:rPr>
                <w:rFonts w:ascii="Times New Roman" w:hAnsi="Times New Roman"/>
                <w:sz w:val="22"/>
              </w:rPr>
              <w:t>backend/src/cxt/infrastructure/data/manifest_repository.py</w:t>
            </w:r>
          </w:p>
        </w:tc>
      </w:tr>
      <w:tr w14:paraId="7E7B6B0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47CC2032">
            <w:pPr>
              <w:spacing w:after="0"/>
              <w:jc w:val="left"/>
            </w:pPr>
            <w:r>
              <w:rPr>
                <w:rFonts w:ascii="Times New Roman" w:hAnsi="Times New Roman"/>
                <w:sz w:val="22"/>
              </w:rPr>
              <w:t>FR-2</w:t>
            </w:r>
          </w:p>
        </w:tc>
        <w:tc>
          <w:tcPr>
            <w:tcW w:w="3969" w:type="dxa"/>
          </w:tcPr>
          <w:p w14:paraId="607BB887">
            <w:pPr>
              <w:spacing w:after="0"/>
              <w:jc w:val="left"/>
            </w:pPr>
            <w:r>
              <w:rPr>
                <w:rFonts w:ascii="Times New Roman" w:hAnsi="Times New Roman"/>
                <w:sz w:val="22"/>
              </w:rPr>
              <w:t>AttemptForm is a controlled, validated React form with a 20-2000 character range enforced by Zod.</w:t>
            </w:r>
          </w:p>
        </w:tc>
        <w:tc>
          <w:tcPr>
            <w:tcW w:w="3969" w:type="dxa"/>
          </w:tcPr>
          <w:p w14:paraId="6E57DDE1">
            <w:pPr>
              <w:spacing w:after="0"/>
              <w:jc w:val="left"/>
            </w:pPr>
            <w:r>
              <w:rPr>
                <w:rFonts w:ascii="Times New Roman" w:hAnsi="Times New Roman"/>
                <w:sz w:val="22"/>
              </w:rPr>
              <w:t>frontend/src/components/AttemptForm.tsx</w:t>
            </w:r>
          </w:p>
        </w:tc>
      </w:tr>
      <w:tr w14:paraId="7F3D90F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25B414F1">
            <w:pPr>
              <w:spacing w:after="0"/>
              <w:jc w:val="left"/>
            </w:pPr>
            <w:r>
              <w:rPr>
                <w:rFonts w:ascii="Times New Roman" w:hAnsi="Times New Roman"/>
                <w:sz w:val="22"/>
              </w:rPr>
              <w:t>FR-3</w:t>
            </w:r>
          </w:p>
        </w:tc>
        <w:tc>
          <w:tcPr>
            <w:tcW w:w="3969" w:type="dxa"/>
          </w:tcPr>
          <w:p w14:paraId="2555B6D7">
            <w:pPr>
              <w:spacing w:after="0"/>
              <w:jc w:val="left"/>
            </w:pPr>
            <w:r>
              <w:rPr>
                <w:rFonts w:ascii="Times New Roman" w:hAnsi="Times New Roman"/>
                <w:sz w:val="22"/>
              </w:rPr>
              <w:t>MedGemmaAnalyzer is the IImageAnalyzer that builds the prompt, calls the model and parses the output.</w:t>
            </w:r>
          </w:p>
        </w:tc>
        <w:tc>
          <w:tcPr>
            <w:tcW w:w="3969" w:type="dxa"/>
          </w:tcPr>
          <w:p w14:paraId="43792DA8">
            <w:pPr>
              <w:spacing w:after="0"/>
              <w:jc w:val="left"/>
            </w:pPr>
            <w:r>
              <w:rPr>
                <w:rFonts w:ascii="Times New Roman" w:hAnsi="Times New Roman"/>
                <w:sz w:val="22"/>
              </w:rPr>
              <w:t>backend/src/cxt/infrastructure/ml/medgemma_analyzer.py</w:t>
            </w:r>
          </w:p>
        </w:tc>
      </w:tr>
      <w:tr w14:paraId="1110C04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300C65B2">
            <w:pPr>
              <w:spacing w:after="0"/>
              <w:jc w:val="left"/>
            </w:pPr>
            <w:r>
              <w:rPr>
                <w:rFonts w:ascii="Times New Roman" w:hAnsi="Times New Roman"/>
                <w:sz w:val="22"/>
              </w:rPr>
              <w:t>FR-4</w:t>
            </w:r>
          </w:p>
        </w:tc>
        <w:tc>
          <w:tcPr>
            <w:tcW w:w="3969" w:type="dxa"/>
          </w:tcPr>
          <w:p w14:paraId="564695F9">
            <w:pPr>
              <w:spacing w:after="0"/>
              <w:jc w:val="left"/>
            </w:pPr>
            <w:r>
              <w:rPr>
                <w:rFonts w:ascii="Times New Roman" w:hAnsi="Times New Roman"/>
                <w:sz w:val="22"/>
              </w:rPr>
              <w:t>IRetriever port with a NullRetriever default and a corpus-backed retriever for the RAG path.</w:t>
            </w:r>
          </w:p>
        </w:tc>
        <w:tc>
          <w:tcPr>
            <w:tcW w:w="3969" w:type="dxa"/>
          </w:tcPr>
          <w:p w14:paraId="1EB831CB">
            <w:pPr>
              <w:spacing w:after="0"/>
              <w:jc w:val="left"/>
            </w:pPr>
            <w:r>
              <w:rPr>
                <w:rFonts w:ascii="Times New Roman" w:hAnsi="Times New Roman"/>
                <w:sz w:val="22"/>
              </w:rPr>
              <w:t>backend/src/cxt/infrastructure/retrieval/</w:t>
            </w:r>
          </w:p>
        </w:tc>
      </w:tr>
      <w:tr w14:paraId="0F4CCAB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68706886">
            <w:pPr>
              <w:spacing w:after="0"/>
              <w:jc w:val="left"/>
            </w:pPr>
            <w:r>
              <w:rPr>
                <w:rFonts w:ascii="Times New Roman" w:hAnsi="Times New Roman"/>
                <w:sz w:val="22"/>
              </w:rPr>
              <w:t>FR-5</w:t>
            </w:r>
          </w:p>
        </w:tc>
        <w:tc>
          <w:tcPr>
            <w:tcW w:w="3969" w:type="dxa"/>
          </w:tcPr>
          <w:p w14:paraId="4016E258">
            <w:pPr>
              <w:spacing w:after="0"/>
              <w:jc w:val="left"/>
            </w:pPr>
            <w:r>
              <w:rPr>
                <w:rFonts w:ascii="Times New Roman" w:hAnsi="Times New Roman"/>
                <w:sz w:val="22"/>
              </w:rPr>
              <w:t>Feedback entity composed of likely_finding, key_signs, comparison, missed_clues, learning_point, confidence, sources.</w:t>
            </w:r>
          </w:p>
        </w:tc>
        <w:tc>
          <w:tcPr>
            <w:tcW w:w="3969" w:type="dxa"/>
          </w:tcPr>
          <w:p w14:paraId="71EBBD68">
            <w:pPr>
              <w:spacing w:after="0"/>
              <w:jc w:val="left"/>
            </w:pPr>
            <w:r>
              <w:rPr>
                <w:rFonts w:ascii="Times New Roman" w:hAnsi="Times New Roman"/>
                <w:sz w:val="22"/>
              </w:rPr>
              <w:t>backend/src/cxt/domain/entities/feedback.py</w:t>
            </w:r>
          </w:p>
        </w:tc>
      </w:tr>
      <w:tr w14:paraId="46B1D40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3FFE9A43">
            <w:pPr>
              <w:spacing w:after="0"/>
              <w:jc w:val="left"/>
            </w:pPr>
            <w:r>
              <w:rPr>
                <w:rFonts w:ascii="Times New Roman" w:hAnsi="Times New Roman"/>
                <w:sz w:val="22"/>
              </w:rPr>
              <w:t>FR-6</w:t>
            </w:r>
          </w:p>
        </w:tc>
        <w:tc>
          <w:tcPr>
            <w:tcW w:w="3969" w:type="dxa"/>
          </w:tcPr>
          <w:p w14:paraId="368C75BB">
            <w:pPr>
              <w:spacing w:after="0"/>
              <w:jc w:val="left"/>
            </w:pPr>
            <w:r>
              <w:rPr>
                <w:rFonts w:ascii="Times New Roman" w:hAnsi="Times New Roman"/>
                <w:sz w:val="22"/>
              </w:rPr>
              <w:t>Sources tuple on the Feedback entity is rendered as a list of citations in FeedbackSection.</w:t>
            </w:r>
          </w:p>
        </w:tc>
        <w:tc>
          <w:tcPr>
            <w:tcW w:w="3969" w:type="dxa"/>
          </w:tcPr>
          <w:p w14:paraId="532BFDDC">
            <w:pPr>
              <w:spacing w:after="0"/>
              <w:jc w:val="left"/>
            </w:pPr>
            <w:r>
              <w:rPr>
                <w:rFonts w:ascii="Times New Roman" w:hAnsi="Times New Roman"/>
                <w:sz w:val="22"/>
              </w:rPr>
              <w:t>frontend/src/components/FeedbackSection.tsx</w:t>
            </w:r>
          </w:p>
        </w:tc>
      </w:tr>
      <w:tr w14:paraId="68E3F04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5DC2C4B3">
            <w:pPr>
              <w:spacing w:after="0"/>
              <w:jc w:val="left"/>
            </w:pPr>
            <w:r>
              <w:rPr>
                <w:rFonts w:ascii="Times New Roman" w:hAnsi="Times New Roman"/>
                <w:sz w:val="22"/>
              </w:rPr>
              <w:t>FR-7</w:t>
            </w:r>
          </w:p>
        </w:tc>
        <w:tc>
          <w:tcPr>
            <w:tcW w:w="3969" w:type="dxa"/>
          </w:tcPr>
          <w:p w14:paraId="6AEE4A29">
            <w:pPr>
              <w:spacing w:after="0"/>
              <w:jc w:val="left"/>
            </w:pPr>
            <w:r>
              <w:rPr>
                <w:rFonts w:ascii="Times New Roman" w:hAnsi="Times New Roman"/>
                <w:sz w:val="22"/>
              </w:rPr>
              <w:t>ReviewQueuePage and ReviewPage in the React frontend; ReviewAttemptUseCase and ListReviewQueueUseCase in the backend.</w:t>
            </w:r>
          </w:p>
        </w:tc>
        <w:tc>
          <w:tcPr>
            <w:tcW w:w="3969" w:type="dxa"/>
          </w:tcPr>
          <w:p w14:paraId="031B8224">
            <w:pPr>
              <w:spacing w:after="0"/>
              <w:jc w:val="left"/>
            </w:pPr>
            <w:r>
              <w:rPr>
                <w:rFonts w:ascii="Times New Roman" w:hAnsi="Times New Roman"/>
                <w:sz w:val="22"/>
              </w:rPr>
              <w:t>frontend/src/pages/, backend/src/cxt/application/use_cases/</w:t>
            </w:r>
          </w:p>
        </w:tc>
      </w:tr>
      <w:tr w14:paraId="0C3256B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07BC9E62">
            <w:pPr>
              <w:spacing w:after="0"/>
              <w:jc w:val="left"/>
            </w:pPr>
            <w:r>
              <w:rPr>
                <w:rFonts w:ascii="Times New Roman" w:hAnsi="Times New Roman"/>
                <w:sz w:val="22"/>
              </w:rPr>
              <w:t>FR-8</w:t>
            </w:r>
          </w:p>
        </w:tc>
        <w:tc>
          <w:tcPr>
            <w:tcW w:w="3969" w:type="dxa"/>
          </w:tcPr>
          <w:p w14:paraId="6BCA2C2B">
            <w:pPr>
              <w:spacing w:after="0"/>
              <w:jc w:val="left"/>
            </w:pPr>
            <w:r>
              <w:rPr>
                <w:rFonts w:ascii="Times New Roman" w:hAnsi="Times New Roman"/>
                <w:sz w:val="22"/>
              </w:rPr>
              <w:t>Role enum in the domain; require_role(...) dependency in the FastAPI routes.</w:t>
            </w:r>
          </w:p>
        </w:tc>
        <w:tc>
          <w:tcPr>
            <w:tcW w:w="3969" w:type="dxa"/>
          </w:tcPr>
          <w:p w14:paraId="1BA878BB">
            <w:pPr>
              <w:spacing w:after="0"/>
              <w:jc w:val="left"/>
            </w:pPr>
            <w:r>
              <w:rPr>
                <w:rFonts w:ascii="Times New Roman" w:hAnsi="Times New Roman"/>
                <w:sz w:val="22"/>
              </w:rPr>
              <w:t>backend/src/cxt/domain/entities/user.py, backend/src/cxt/interfaces/api/dependencies.py</w:t>
            </w:r>
          </w:p>
        </w:tc>
      </w:tr>
      <w:tr w14:paraId="5EB50F8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05E29AE2">
            <w:pPr>
              <w:spacing w:after="0"/>
              <w:jc w:val="left"/>
            </w:pPr>
            <w:r>
              <w:rPr>
                <w:rFonts w:ascii="Times New Roman" w:hAnsi="Times New Roman"/>
                <w:sz w:val="22"/>
              </w:rPr>
              <w:t>NFR-1</w:t>
            </w:r>
          </w:p>
        </w:tc>
        <w:tc>
          <w:tcPr>
            <w:tcW w:w="3969" w:type="dxa"/>
          </w:tcPr>
          <w:p w14:paraId="26061F33">
            <w:pPr>
              <w:spacing w:after="0"/>
              <w:jc w:val="left"/>
            </w:pPr>
            <w:r>
              <w:rPr>
                <w:rFonts w:ascii="Times New Roman" w:hAnsi="Times New Roman"/>
                <w:sz w:val="22"/>
              </w:rPr>
              <w:t>Student-friendly labels and short rationale; key_signs and learning_point capped at a 500-character snippet with a plain-language default.</w:t>
            </w:r>
          </w:p>
        </w:tc>
        <w:tc>
          <w:tcPr>
            <w:tcW w:w="3969" w:type="dxa"/>
          </w:tcPr>
          <w:p w14:paraId="3F236C6E">
            <w:pPr>
              <w:spacing w:after="0"/>
              <w:jc w:val="left"/>
            </w:pPr>
            <w:r>
              <w:rPr>
                <w:rFonts w:ascii="Times New Roman" w:hAnsi="Times New Roman"/>
                <w:sz w:val="22"/>
              </w:rPr>
              <w:t>backend/src/cxt/infrastructure/ml/output_parser.py</w:t>
            </w:r>
          </w:p>
        </w:tc>
      </w:tr>
      <w:tr w14:paraId="03DCC93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4F098726">
            <w:pPr>
              <w:spacing w:after="0"/>
              <w:jc w:val="left"/>
            </w:pPr>
            <w:r>
              <w:rPr>
                <w:rFonts w:ascii="Times New Roman" w:hAnsi="Times New Roman"/>
                <w:sz w:val="22"/>
              </w:rPr>
              <w:t>NFR-2</w:t>
            </w:r>
          </w:p>
        </w:tc>
        <w:tc>
          <w:tcPr>
            <w:tcW w:w="3969" w:type="dxa"/>
          </w:tcPr>
          <w:p w14:paraId="2354727E">
            <w:pPr>
              <w:spacing w:after="0"/>
              <w:jc w:val="left"/>
            </w:pPr>
            <w:r>
              <w:rPr>
                <w:rFonts w:ascii="Times New Roman" w:hAnsi="Times New Roman"/>
                <w:sz w:val="22"/>
              </w:rPr>
              <w:t>Parser separates the model's primary finding from the retrieved passages; uncertainty is shown as the confidence percentage.</w:t>
            </w:r>
          </w:p>
        </w:tc>
        <w:tc>
          <w:tcPr>
            <w:tcW w:w="3969" w:type="dxa"/>
          </w:tcPr>
          <w:p w14:paraId="769036C0">
            <w:pPr>
              <w:spacing w:after="0"/>
              <w:jc w:val="left"/>
            </w:pPr>
            <w:r>
              <w:rPr>
                <w:rFonts w:ascii="Times New Roman" w:hAnsi="Times New Roman"/>
                <w:sz w:val="22"/>
              </w:rPr>
              <w:t>backend/src/cxt/infrastructure/ml/output_parser.py</w:t>
            </w:r>
          </w:p>
        </w:tc>
      </w:tr>
      <w:tr w14:paraId="3861E50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5FD0B52D">
            <w:pPr>
              <w:spacing w:after="0"/>
              <w:jc w:val="left"/>
            </w:pPr>
            <w:r>
              <w:rPr>
                <w:rFonts w:ascii="Times New Roman" w:hAnsi="Times New Roman"/>
                <w:sz w:val="22"/>
              </w:rPr>
              <w:t>NFR-3</w:t>
            </w:r>
          </w:p>
        </w:tc>
        <w:tc>
          <w:tcPr>
            <w:tcW w:w="3969" w:type="dxa"/>
          </w:tcPr>
          <w:p w14:paraId="2FA3A9E6">
            <w:pPr>
              <w:spacing w:after="0"/>
              <w:jc w:val="left"/>
            </w:pPr>
            <w:r>
              <w:rPr>
                <w:rFonts w:ascii="Times New Roman" w:hAnsi="Times New Roman"/>
                <w:sz w:val="22"/>
              </w:rPr>
              <w:t>argon2id for password hashing; PyJWT HS256 with iss / aud claims; CORS allow-list in Settings.</w:t>
            </w:r>
          </w:p>
        </w:tc>
        <w:tc>
          <w:tcPr>
            <w:tcW w:w="3969" w:type="dxa"/>
          </w:tcPr>
          <w:p w14:paraId="460243D5">
            <w:pPr>
              <w:spacing w:after="0"/>
              <w:jc w:val="left"/>
            </w:pPr>
            <w:r>
              <w:rPr>
                <w:rFonts w:ascii="Times New Roman" w:hAnsi="Times New Roman"/>
                <w:sz w:val="22"/>
              </w:rPr>
              <w:t>backend/src/cxt/infrastructure/auth/, backend/src/cxt/infrastructure/config/settings.py</w:t>
            </w:r>
          </w:p>
        </w:tc>
      </w:tr>
      <w:tr w14:paraId="56B63E6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40D5A61B">
            <w:pPr>
              <w:spacing w:after="0"/>
              <w:jc w:val="left"/>
            </w:pPr>
            <w:r>
              <w:rPr>
                <w:rFonts w:ascii="Times New Roman" w:hAnsi="Times New Roman"/>
                <w:sz w:val="22"/>
              </w:rPr>
              <w:t>NFR-4</w:t>
            </w:r>
          </w:p>
        </w:tc>
        <w:tc>
          <w:tcPr>
            <w:tcW w:w="3969" w:type="dxa"/>
          </w:tcPr>
          <w:p w14:paraId="4716FD4C">
            <w:pPr>
              <w:spacing w:after="0"/>
              <w:jc w:val="left"/>
            </w:pPr>
            <w:r>
              <w:rPr>
                <w:rFonts w:ascii="Times New Roman" w:hAnsi="Times New Roman"/>
                <w:sz w:val="22"/>
              </w:rPr>
              <w:t>Feedback.raw stores the prompt version, model version and retrieved passages alongside the parsed JSON.</w:t>
            </w:r>
          </w:p>
        </w:tc>
        <w:tc>
          <w:tcPr>
            <w:tcW w:w="3969" w:type="dxa"/>
          </w:tcPr>
          <w:p w14:paraId="6E873655">
            <w:pPr>
              <w:spacing w:after="0"/>
              <w:jc w:val="left"/>
            </w:pPr>
            <w:r>
              <w:rPr>
                <w:rFonts w:ascii="Times New Roman" w:hAnsi="Times New Roman"/>
                <w:sz w:val="22"/>
              </w:rPr>
              <w:t>backend/src/cxt/domain/entities/feedback.py</w:t>
            </w:r>
          </w:p>
        </w:tc>
      </w:tr>
      <w:tr w14:paraId="788D628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7EDB69FB">
            <w:pPr>
              <w:spacing w:after="0"/>
              <w:jc w:val="left"/>
            </w:pPr>
            <w:r>
              <w:rPr>
                <w:rFonts w:ascii="Times New Roman" w:hAnsi="Times New Roman"/>
                <w:sz w:val="22"/>
              </w:rPr>
              <w:t>NFR-5</w:t>
            </w:r>
          </w:p>
        </w:tc>
        <w:tc>
          <w:tcPr>
            <w:tcW w:w="3969" w:type="dxa"/>
          </w:tcPr>
          <w:p w14:paraId="29A0AC2F">
            <w:pPr>
              <w:spacing w:after="0"/>
              <w:jc w:val="left"/>
            </w:pPr>
            <w:r>
              <w:rPr>
                <w:rFonts w:ascii="Times New Roman" w:hAnsi="Times New Roman"/>
                <w:sz w:val="22"/>
              </w:rPr>
              <w:t>Run the analyzer in the background from the API request; return a structured response on success and a 503 with a retry message on model timeout.</w:t>
            </w:r>
          </w:p>
        </w:tc>
        <w:tc>
          <w:tcPr>
            <w:tcW w:w="3969" w:type="dxa"/>
          </w:tcPr>
          <w:p w14:paraId="43B56FA5">
            <w:pPr>
              <w:spacing w:after="0"/>
              <w:jc w:val="left"/>
            </w:pPr>
            <w:r>
              <w:rPr>
                <w:rFonts w:ascii="Times New Roman" w:hAnsi="Times New Roman"/>
                <w:sz w:val="22"/>
              </w:rPr>
              <w:t>backend/src/cxt/interfaces/api/routes/attempts.py</w:t>
            </w:r>
          </w:p>
        </w:tc>
      </w:tr>
      <w:tr w14:paraId="69DA6C0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77910007">
            <w:pPr>
              <w:spacing w:after="0"/>
              <w:jc w:val="left"/>
            </w:pPr>
            <w:r>
              <w:rPr>
                <w:rFonts w:ascii="Times New Roman" w:hAnsi="Times New Roman"/>
                <w:sz w:val="22"/>
              </w:rPr>
              <w:t>NFR-6</w:t>
            </w:r>
          </w:p>
        </w:tc>
        <w:tc>
          <w:tcPr>
            <w:tcW w:w="3969" w:type="dxa"/>
          </w:tcPr>
          <w:p w14:paraId="7C243DCB">
            <w:pPr>
              <w:spacing w:after="0"/>
              <w:jc w:val="left"/>
            </w:pPr>
            <w:r>
              <w:rPr>
                <w:rFonts w:ascii="Times New Roman" w:hAnsi="Times New Roman"/>
                <w:sz w:val="22"/>
              </w:rPr>
              <w:t>Only de-identified public CXR images are loaded. No student free-text is logged alongside an identifier.</w:t>
            </w:r>
          </w:p>
        </w:tc>
        <w:tc>
          <w:tcPr>
            <w:tcW w:w="3969" w:type="dxa"/>
          </w:tcPr>
          <w:p w14:paraId="29F83F0E">
            <w:pPr>
              <w:spacing w:after="0"/>
              <w:jc w:val="left"/>
            </w:pPr>
            <w:r>
              <w:rPr>
                <w:rFonts w:ascii="Times New Roman" w:hAnsi="Times New Roman"/>
                <w:sz w:val="22"/>
              </w:rPr>
              <w:t>backend/src/cxt/infrastructure/data/manifest_repository.py</w:t>
            </w:r>
          </w:p>
        </w:tc>
      </w:tr>
      <w:tr w14:paraId="6D2B615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128A6D4C">
            <w:pPr>
              <w:spacing w:after="0"/>
              <w:jc w:val="left"/>
            </w:pPr>
            <w:r>
              <w:rPr>
                <w:rFonts w:ascii="Times New Roman" w:hAnsi="Times New Roman"/>
                <w:sz w:val="22"/>
              </w:rPr>
              <w:t>NFR-7</w:t>
            </w:r>
          </w:p>
        </w:tc>
        <w:tc>
          <w:tcPr>
            <w:tcW w:w="3969" w:type="dxa"/>
          </w:tcPr>
          <w:p w14:paraId="472A03D7">
            <w:pPr>
              <w:spacing w:after="0"/>
              <w:jc w:val="left"/>
            </w:pPr>
            <w:r>
              <w:rPr>
                <w:rFonts w:ascii="Times New Roman" w:hAnsi="Times New Roman"/>
                <w:sz w:val="22"/>
              </w:rPr>
              <w:t>Clean Architecture: domain / application / infrastructure / interfaces layers, with the composition root in interfaces/api/app.py.</w:t>
            </w:r>
          </w:p>
        </w:tc>
        <w:tc>
          <w:tcPr>
            <w:tcW w:w="3969" w:type="dxa"/>
          </w:tcPr>
          <w:p w14:paraId="1D210883">
            <w:pPr>
              <w:spacing w:after="0"/>
              <w:jc w:val="left"/>
            </w:pPr>
            <w:r>
              <w:rPr>
                <w:rFonts w:ascii="Times New Roman" w:hAnsi="Times New Roman"/>
                <w:sz w:val="22"/>
              </w:rPr>
              <w:t>backend/src/cxt/</w:t>
            </w:r>
          </w:p>
        </w:tc>
      </w:tr>
    </w:tbl>
    <w:p w14:paraId="4F7AB3CA">
      <w:pPr>
        <w:keepNext w:val="0"/>
        <w:spacing w:before="120" w:after="120"/>
        <w:jc w:val="center"/>
      </w:pPr>
      <w:r>
        <w:rPr>
          <w:rFonts w:ascii="Times New Roman" w:hAnsi="Times New Roman"/>
          <w:b/>
          <w:sz w:val="20"/>
        </w:rPr>
        <w:t xml:space="preserve">Table 3.9: </w:t>
      </w:r>
      <w:r>
        <w:rPr>
          <w:rFonts w:ascii="Times New Roman" w:hAnsi="Times New Roman"/>
          <w:sz w:val="20"/>
        </w:rPr>
        <w:t>Mapping of requirements to design decisions</w:t>
      </w:r>
    </w:p>
    <w:p w14:paraId="30C126C0">
      <w:pPr>
        <w:pStyle w:val="4"/>
        <w:keepNext/>
        <w:spacing w:before="200" w:after="120"/>
        <w:jc w:val="left"/>
      </w:pPr>
      <w:r>
        <w:rPr>
          <w:rFonts w:ascii="Times New Roman" w:hAnsi="Times New Roman"/>
          <w:b/>
          <w:color w:val="000000"/>
          <w:sz w:val="24"/>
        </w:rPr>
        <w:t>3.2.2 Requirement Gathering</w:t>
      </w:r>
    </w:p>
    <w:p w14:paraId="713232F7">
      <w:pPr>
        <w:spacing w:before="0" w:after="120" w:line="360" w:lineRule="auto"/>
        <w:ind w:firstLine="720"/>
        <w:jc w:val="both"/>
      </w:pPr>
      <w:r>
        <w:rPr>
          <w:rFonts w:ascii="Times New Roman" w:hAnsi="Times New Roman"/>
          <w:sz w:val="22"/>
        </w:rPr>
        <w:t>Requirements were elicited from three primary sources.</w:t>
      </w:r>
    </w:p>
    <w:p w14:paraId="6EE715A9">
      <w:pPr>
        <w:pStyle w:val="23"/>
        <w:spacing w:after="40" w:line="360" w:lineRule="auto"/>
        <w:jc w:val="both"/>
      </w:pPr>
      <w:r>
        <w:rPr>
          <w:rFonts w:ascii="Times New Roman" w:hAnsi="Times New Roman"/>
          <w:sz w:val="22"/>
        </w:rPr>
        <w:t>Document analysis. The main primary sources were the Project Proposal, the Literature Review, the Professionalism Assessment, the NIH ChestX-ray8 documentation, the MedGemma Technical Report, the WHO Ethics and Governance of AI for Health guidance, and the OWASP Top 10 for LLM Applications.</w:t>
      </w:r>
    </w:p>
    <w:p w14:paraId="51B2B912">
      <w:pPr>
        <w:pStyle w:val="23"/>
        <w:spacing w:after="40" w:line="360" w:lineRule="auto"/>
        <w:jc w:val="both"/>
      </w:pPr>
      <w:r>
        <w:rPr>
          <w:rFonts w:ascii="Times New Roman" w:hAnsi="Times New Roman"/>
          <w:sz w:val="22"/>
        </w:rPr>
        <w:t>Inference from comparable systems. The user-facing workflow and the feedback components were refined by studying the reported workflows of similar CXR VLMs and the structure of the existing radiology e-learning platforms reviewed in Section 2.2.</w:t>
      </w:r>
    </w:p>
    <w:p w14:paraId="7994D92B">
      <w:pPr>
        <w:pStyle w:val="23"/>
        <w:spacing w:after="40" w:line="360" w:lineRule="auto"/>
        <w:jc w:val="both"/>
      </w:pPr>
      <w:r>
        <w:rPr>
          <w:rFonts w:ascii="Times New Roman" w:hAnsi="Times New Roman"/>
          <w:sz w:val="22"/>
        </w:rPr>
        <w:t>Supervisor review. The proposed list of findings, the architecture, the feasibility plan and the WBS were reviewed with the project supervisor in regular supervision meetings and were revised in response to feedback.</w:t>
      </w:r>
    </w:p>
    <w:p w14:paraId="0B8EF0BB">
      <w:pPr>
        <w:spacing w:before="0" w:after="120" w:line="360" w:lineRule="auto"/>
        <w:ind w:firstLine="720"/>
        <w:jc w:val="both"/>
      </w:pPr>
      <w:r>
        <w:rPr>
          <w:rFonts w:ascii="Times New Roman" w:hAnsi="Times New Roman"/>
          <w:sz w:val="22"/>
        </w:rPr>
        <w:t>Secondary data-gathering methods included reading the standard CXR benchmarks (ReXVQA, pathology localisation) to understand the evaluation surface, and reading the Kaggle runtime and ngrok documentation to size the technical feasibility analysis. The RAG corpus was selected by document analysis of the open-access radiology teaching material indexed by Radiopaedia and the structured reporting guidelines published by the Royal College of Radiologists and the Fleischner Society, with a source register recording every document used.</w:t>
      </w:r>
    </w:p>
    <w:p w14:paraId="07B7D2DC">
      <w:pPr>
        <w:pStyle w:val="3"/>
        <w:keepNext/>
        <w:spacing w:before="280" w:after="160"/>
        <w:jc w:val="left"/>
      </w:pPr>
      <w:r>
        <w:rPr>
          <w:rFonts w:ascii="Times New Roman" w:hAnsi="Times New Roman"/>
          <w:b/>
          <w:color w:val="000000"/>
          <w:sz w:val="28"/>
        </w:rPr>
        <w:t>3.3 Designing</w:t>
      </w:r>
    </w:p>
    <w:p w14:paraId="4E870145">
      <w:pPr>
        <w:spacing w:before="0" w:after="120" w:line="360" w:lineRule="auto"/>
        <w:ind w:firstLine="720"/>
        <w:jc w:val="both"/>
      </w:pPr>
      <w:r>
        <w:rPr>
          <w:rFonts w:ascii="Times New Roman" w:hAnsi="Times New Roman"/>
          <w:sz w:val="22"/>
        </w:rPr>
        <w:t>The design phase translates the requirements into the structure of the artefact. The physical design (Section 3.3.1) describes the data flow between the student, the frontend, the backend, the retriever and the model. The architecture design (Section 3.3.2) describes the layered Clean Architecture that organises the backend code. The interface design (Section 3.3.3) describes the screens and the screen flow that the student and the educator use.</w:t>
      </w:r>
    </w:p>
    <w:p w14:paraId="43E556A0">
      <w:pPr>
        <w:pStyle w:val="4"/>
        <w:keepNext/>
        <w:spacing w:before="200" w:after="120"/>
        <w:jc w:val="left"/>
      </w:pPr>
      <w:r>
        <w:rPr>
          <w:rFonts w:ascii="Times New Roman" w:hAnsi="Times New Roman"/>
          <w:b/>
          <w:color w:val="000000"/>
          <w:sz w:val="24"/>
        </w:rPr>
        <w:t>3.3.1 Physical Design</w:t>
      </w:r>
    </w:p>
    <w:p w14:paraId="0EDD2917">
      <w:pPr>
        <w:spacing w:before="0" w:after="120" w:line="360" w:lineRule="auto"/>
        <w:ind w:firstLine="720"/>
        <w:jc w:val="both"/>
      </w:pPr>
      <w:r>
        <w:rPr>
          <w:rFonts w:ascii="Times New Roman" w:hAnsi="Times New Roman"/>
          <w:sz w:val="22"/>
        </w:rPr>
        <w:t>The physical design is captured in the data flow diagrams. Figure 3.2 shows the context-level data flow diagram (DFD Level 0), and Figure 3.3 shows the level-1 DFD with the eight sub-processes (auth, manifest build, MedGemma analyse, generate feedback, RAG retrieve, merge and parse, persist, UI render). The processes map onto the use cases in the application layer, the data stores map onto the SQLite database and the manifest CSV, and the external entities map onto the student, the educator / reviewer and the Kaggle notebook server.</w:t>
      </w:r>
    </w:p>
    <w:p w14:paraId="5AF830B8">
      <w:pPr>
        <w:keepNext/>
        <w:spacing w:before="120" w:after="120"/>
        <w:jc w:val="center"/>
      </w:pPr>
      <w:r>
        <w:rPr>
          <w:rFonts w:ascii="Times New Roman" w:hAnsi="Times New Roman"/>
          <w:b/>
          <w:sz w:val="20"/>
        </w:rPr>
        <w:t xml:space="preserve">Figure 3.2: </w:t>
      </w:r>
      <w:r>
        <w:rPr>
          <w:rFonts w:ascii="Times New Roman" w:hAnsi="Times New Roman"/>
          <w:sz w:val="20"/>
        </w:rPr>
        <w:t>Context-level Data Flow Diagram (Level 0).</w:t>
      </w:r>
    </w:p>
    <w:p w14:paraId="6A59F542">
      <w:pPr>
        <w:spacing w:before="0" w:after="0"/>
        <w:jc w:val="center"/>
      </w:pPr>
      <w:r>
        <w:drawing>
          <wp:inline distT="0" distB="0" distL="114300" distR="114300">
            <wp:extent cx="5669280" cy="2872105"/>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669280" cy="2872435"/>
                    </a:xfrm>
                    <a:prstGeom prst="rect">
                      <a:avLst/>
                    </a:prstGeom>
                  </pic:spPr>
                </pic:pic>
              </a:graphicData>
            </a:graphic>
          </wp:inline>
        </w:drawing>
      </w:r>
    </w:p>
    <w:p w14:paraId="11C1213B">
      <w:pPr>
        <w:keepNext/>
        <w:spacing w:before="120" w:after="120"/>
        <w:jc w:val="center"/>
      </w:pPr>
      <w:r>
        <w:rPr>
          <w:rFonts w:ascii="Times New Roman" w:hAnsi="Times New Roman"/>
          <w:b/>
          <w:sz w:val="20"/>
        </w:rPr>
        <w:t xml:space="preserve">Figure 3.3: </w:t>
      </w:r>
      <w:r>
        <w:rPr>
          <w:rFonts w:ascii="Times New Roman" w:hAnsi="Times New Roman"/>
          <w:sz w:val="20"/>
        </w:rPr>
        <w:t>Level-1 Data Flow Diagram: sub-processes of the system.</w:t>
      </w:r>
    </w:p>
    <w:p w14:paraId="567FD07F">
      <w:pPr>
        <w:spacing w:before="0" w:after="0"/>
        <w:jc w:val="center"/>
      </w:pPr>
      <w:r>
        <w:drawing>
          <wp:inline distT="0" distB="0" distL="114300" distR="114300">
            <wp:extent cx="5669280" cy="3212465"/>
            <wp:effectExtent l="0" t="0" r="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2"/>
                    <a:stretch>
                      <a:fillRect/>
                    </a:stretch>
                  </pic:blipFill>
                  <pic:spPr>
                    <a:xfrm>
                      <a:off x="0" y="0"/>
                      <a:ext cx="5669280" cy="3212592"/>
                    </a:xfrm>
                    <a:prstGeom prst="rect">
                      <a:avLst/>
                    </a:prstGeom>
                  </pic:spPr>
                </pic:pic>
              </a:graphicData>
            </a:graphic>
          </wp:inline>
        </w:drawing>
      </w:r>
    </w:p>
    <w:p w14:paraId="6F26D44D">
      <w:pPr>
        <w:spacing w:before="0" w:after="120" w:line="360" w:lineRule="auto"/>
        <w:ind w:firstLine="720"/>
        <w:jc w:val="both"/>
      </w:pPr>
      <w:r>
        <w:rPr>
          <w:rFonts w:ascii="Times New Roman" w:hAnsi="Times New Roman"/>
          <w:sz w:val="22"/>
        </w:rPr>
        <w:t>Equation 3.1 is used in the cardiomegaly prompt template and is reproduced here as the only formal equation in the methodology chapter.</w:t>
      </w:r>
    </w:p>
    <w:p w14:paraId="48D68032">
      <w:pPr>
        <w:jc w:val="center"/>
      </w:pPr>
      <w:r>
        <w:rPr>
          <w:rFonts w:ascii="Cambria Math" w:hAnsi="Cambria Math"/>
          <w:b/>
          <w:sz w:val="22"/>
        </w:rPr>
        <w:t>CTR = max(cardiac width) / max(thoracic width)         (Equation 3.1)</w:t>
      </w:r>
    </w:p>
    <w:p w14:paraId="12A8E0A0">
      <w:pPr>
        <w:spacing w:before="0" w:after="120" w:line="360" w:lineRule="auto"/>
        <w:jc w:val="both"/>
      </w:pPr>
      <w:r>
        <w:rPr>
          <w:rFonts w:ascii="Times New Roman" w:hAnsi="Times New Roman"/>
          <w:sz w:val="22"/>
        </w:rPr>
        <w:t>where CTR is the cardiothoracic ratio. The conventional screening threshold for cardiomegaly on a true PA film is CTR greater than 0.5 (Zambrano Chaves et al., 2025).</w:t>
      </w:r>
    </w:p>
    <w:p w14:paraId="567F4C95">
      <w:pPr>
        <w:pStyle w:val="4"/>
        <w:keepNext/>
        <w:spacing w:before="200" w:after="120"/>
        <w:jc w:val="left"/>
      </w:pPr>
      <w:r>
        <w:rPr>
          <w:rFonts w:ascii="Times New Roman" w:hAnsi="Times New Roman"/>
          <w:b/>
          <w:color w:val="000000"/>
          <w:sz w:val="24"/>
        </w:rPr>
        <w:t>3.3.2 Architecture Design</w:t>
      </w:r>
    </w:p>
    <w:p w14:paraId="579DCC3E">
      <w:pPr>
        <w:spacing w:before="0" w:after="120" w:line="360" w:lineRule="auto"/>
        <w:ind w:firstLine="720"/>
        <w:jc w:val="both"/>
      </w:pPr>
      <w:r>
        <w:rPr>
          <w:rFonts w:ascii="Times New Roman" w:hAnsi="Times New Roman"/>
          <w:sz w:val="22"/>
        </w:rPr>
        <w:t>The backend follows a Clean Architecture organised around four layers: domain, application, infrastructure, and interfaces. The domain layer is pure Python and contains the entities, value objects, errors and ports. The application layer contains the use cases that orchestrate the ports. The infrastructure layer provides the concrete adapters for SQLite, the manifest CSV, the Kaggle tunnel, the dry-run analyzer and the JWT auth service. The interfaces layer contains the FastAPI app, the routes, the schemas and the dependency wiring. Figure 3.4 shows the layer diagram and the direction of dependencies (always inward toward the domain).</w:t>
      </w:r>
    </w:p>
    <w:p w14:paraId="31D56DEE">
      <w:pPr>
        <w:keepNext/>
        <w:spacing w:before="120" w:after="120"/>
        <w:jc w:val="center"/>
      </w:pPr>
      <w:r>
        <w:rPr>
          <w:rFonts w:ascii="Times New Roman" w:hAnsi="Times New Roman"/>
          <w:b/>
          <w:sz w:val="20"/>
        </w:rPr>
        <w:t xml:space="preserve">Figure 3.4: </w:t>
      </w:r>
      <w:r>
        <w:rPr>
          <w:rFonts w:ascii="Times New Roman" w:hAnsi="Times New Roman"/>
          <w:sz w:val="20"/>
        </w:rPr>
        <w:t>High-level system architecture (Clean Architecture + hexagonal ports).</w:t>
      </w:r>
    </w:p>
    <w:p w14:paraId="6741F952">
      <w:pPr>
        <w:spacing w:before="0" w:after="0"/>
        <w:jc w:val="center"/>
      </w:pPr>
      <w:r>
        <w:drawing>
          <wp:inline distT="0" distB="0" distL="114300" distR="114300">
            <wp:extent cx="5669280" cy="3401060"/>
            <wp:effectExtent l="0" t="0" r="0" b="1270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5669280" cy="3401568"/>
                    </a:xfrm>
                    <a:prstGeom prst="rect">
                      <a:avLst/>
                    </a:prstGeom>
                  </pic:spPr>
                </pic:pic>
              </a:graphicData>
            </a:graphic>
          </wp:inline>
        </w:drawing>
      </w:r>
    </w:p>
    <w:p w14:paraId="6B52B41E">
      <w:pPr>
        <w:spacing w:before="0" w:after="120" w:line="360" w:lineRule="auto"/>
        <w:ind w:firstLine="720"/>
        <w:jc w:val="both"/>
      </w:pPr>
      <w:r>
        <w:rPr>
          <w:rFonts w:ascii="Times New Roman" w:hAnsi="Times New Roman"/>
          <w:sz w:val="22"/>
        </w:rPr>
        <w:t>The principle of dependency inversion means that use cases import protocols (ICaseRepository, IMedGemmaClient, IImageAnalyzer, IRetriever, IFeedbackGenerator, IUserRepository, IAttemptRepository, IReviewRepository, IAuthService), not concrete classes. The composition root in backend/src/cxt/interfaces/api/app.py is the only file that binds the concrete adapters to the use cases. This is what allows the model, the retriever, the dataset, the database and the auth backend to be swapped without changing the application code. Table 3.10 lists the backend folder structure that realises this architecture.</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904"/>
        <w:gridCol w:w="6236"/>
      </w:tblGrid>
      <w:tr w14:paraId="318766B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35" w:type="dxa"/>
          </w:tcPr>
          <w:p w14:paraId="54BA7ECC">
            <w:pPr>
              <w:spacing w:after="0"/>
              <w:jc w:val="center"/>
            </w:pPr>
            <w:r>
              <w:rPr>
                <w:rFonts w:ascii="Times New Roman" w:hAnsi="Times New Roman"/>
                <w:b/>
                <w:sz w:val="22"/>
              </w:rPr>
              <w:t>Folder</w:t>
            </w:r>
          </w:p>
        </w:tc>
        <w:tc>
          <w:tcPr>
            <w:tcW w:w="6236" w:type="dxa"/>
          </w:tcPr>
          <w:p w14:paraId="2551F740">
            <w:pPr>
              <w:spacing w:after="0"/>
              <w:jc w:val="center"/>
            </w:pPr>
            <w:r>
              <w:rPr>
                <w:rFonts w:ascii="Times New Roman" w:hAnsi="Times New Roman"/>
                <w:b/>
                <w:sz w:val="22"/>
              </w:rPr>
              <w:t>Contents</w:t>
            </w:r>
          </w:p>
        </w:tc>
      </w:tr>
      <w:tr w14:paraId="3BFB466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35" w:type="dxa"/>
          </w:tcPr>
          <w:p w14:paraId="72ED30B8">
            <w:pPr>
              <w:spacing w:after="0"/>
              <w:jc w:val="left"/>
            </w:pPr>
            <w:r>
              <w:rPr>
                <w:rFonts w:ascii="Times New Roman" w:hAnsi="Times New Roman"/>
                <w:sz w:val="22"/>
              </w:rPr>
              <w:t>backend/src/cxt/domain/</w:t>
            </w:r>
          </w:p>
        </w:tc>
        <w:tc>
          <w:tcPr>
            <w:tcW w:w="6236" w:type="dxa"/>
          </w:tcPr>
          <w:p w14:paraId="4AF13662">
            <w:pPr>
              <w:spacing w:after="0"/>
              <w:jc w:val="left"/>
            </w:pPr>
            <w:r>
              <w:rPr>
                <w:rFonts w:ascii="Times New Roman" w:hAnsi="Times New Roman"/>
                <w:sz w:val="22"/>
              </w:rPr>
              <w:t>Entities (Case, User, StudentAttempt, Feedback, Review), value objects (FindingLabel, Confidence, Rationale, Email), ports (ICaseRepository, IMedGemmaClient, IImageAnalyzer, IRetriever, IFeedbackGenerator, IUserRepository, IAttemptRepository, IReviewRepository, IAuthService), errors.</w:t>
            </w:r>
          </w:p>
        </w:tc>
      </w:tr>
      <w:tr w14:paraId="27EFE98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35" w:type="dxa"/>
          </w:tcPr>
          <w:p w14:paraId="448B2C9B">
            <w:pPr>
              <w:spacing w:after="0"/>
              <w:jc w:val="left"/>
            </w:pPr>
            <w:r>
              <w:rPr>
                <w:rFonts w:ascii="Times New Roman" w:hAnsi="Times New Roman"/>
                <w:sz w:val="22"/>
              </w:rPr>
              <w:t>backend/src/cxt/application/</w:t>
            </w:r>
          </w:p>
        </w:tc>
        <w:tc>
          <w:tcPr>
            <w:tcW w:w="6236" w:type="dxa"/>
          </w:tcPr>
          <w:p w14:paraId="426213AB">
            <w:pPr>
              <w:spacing w:after="0"/>
              <w:jc w:val="left"/>
            </w:pPr>
            <w:r>
              <w:rPr>
                <w:rFonts w:ascii="Times New Roman" w:hAnsi="Times New Roman"/>
                <w:sz w:val="22"/>
              </w:rPr>
              <w:t>Use cases (auth, list_cases, submit_attempt, generate_feedback, review_attempt, list_reviews), DTOs, JWT service.</w:t>
            </w:r>
          </w:p>
        </w:tc>
      </w:tr>
      <w:tr w14:paraId="15E56BE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35" w:type="dxa"/>
          </w:tcPr>
          <w:p w14:paraId="494C39FB">
            <w:pPr>
              <w:spacing w:after="0"/>
              <w:jc w:val="left"/>
            </w:pPr>
            <w:r>
              <w:rPr>
                <w:rFonts w:ascii="Times New Roman" w:hAnsi="Times New Roman"/>
                <w:sz w:val="22"/>
              </w:rPr>
              <w:t>backend/src/cxt/infrastructure/</w:t>
            </w:r>
          </w:p>
        </w:tc>
        <w:tc>
          <w:tcPr>
            <w:tcW w:w="6236" w:type="dxa"/>
          </w:tcPr>
          <w:p w14:paraId="363AF72C">
            <w:pPr>
              <w:spacing w:after="0"/>
              <w:jc w:val="left"/>
            </w:pPr>
            <w:r>
              <w:rPr>
                <w:rFonts w:ascii="Times New Roman" w:hAnsi="Times New Roman"/>
                <w:sz w:val="22"/>
              </w:rPr>
              <w:t>Config (Pydantic Settings), data (SQLite repos, manifest repo, NIH loader), auth (argon2 hasher, JWT service), ml (MedGemma analyzer, Kaggle tunnel client, dry-run analyzer, output parser, prompts), retrieval (NullRetriever, corpus-backed retriever), eval (the evaluation harness), logging setup.</w:t>
            </w:r>
          </w:p>
        </w:tc>
      </w:tr>
      <w:tr w14:paraId="18F6478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35" w:type="dxa"/>
          </w:tcPr>
          <w:p w14:paraId="073533D6">
            <w:pPr>
              <w:spacing w:after="0"/>
              <w:jc w:val="left"/>
            </w:pPr>
            <w:r>
              <w:rPr>
                <w:rFonts w:ascii="Times New Roman" w:hAnsi="Times New Roman"/>
                <w:sz w:val="22"/>
              </w:rPr>
              <w:t>backend/src/cxt/interfaces/</w:t>
            </w:r>
          </w:p>
        </w:tc>
        <w:tc>
          <w:tcPr>
            <w:tcW w:w="6236" w:type="dxa"/>
          </w:tcPr>
          <w:p w14:paraId="756DE80E">
            <w:pPr>
              <w:spacing w:after="0"/>
              <w:jc w:val="left"/>
            </w:pPr>
            <w:r>
              <w:rPr>
                <w:rFonts w:ascii="Times New Roman" w:hAnsi="Times New Roman"/>
                <w:sz w:val="22"/>
              </w:rPr>
              <w:t>FastAPI app (composition root), routes (auth, cases, attempts, feedback, reviews), schemas, middleware (CORS, request_id), exception handlers.</w:t>
            </w:r>
          </w:p>
        </w:tc>
      </w:tr>
      <w:tr w14:paraId="490BAD1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35" w:type="dxa"/>
          </w:tcPr>
          <w:p w14:paraId="037AA555">
            <w:pPr>
              <w:spacing w:after="0"/>
              <w:jc w:val="left"/>
            </w:pPr>
            <w:r>
              <w:rPr>
                <w:rFonts w:ascii="Times New Roman" w:hAnsi="Times New Roman"/>
                <w:sz w:val="22"/>
              </w:rPr>
              <w:t>backend/src/cxt/shared/</w:t>
            </w:r>
          </w:p>
        </w:tc>
        <w:tc>
          <w:tcPr>
            <w:tcW w:w="6236" w:type="dxa"/>
          </w:tcPr>
          <w:p w14:paraId="2B5DE0C4">
            <w:pPr>
              <w:spacing w:after="0"/>
              <w:jc w:val="left"/>
            </w:pPr>
            <w:r>
              <w:rPr>
                <w:rFonts w:ascii="Times New Roman" w:hAnsi="Times New Roman"/>
                <w:sz w:val="22"/>
              </w:rPr>
              <w:t>DomainError hierarchy, shared types.</w:t>
            </w:r>
          </w:p>
        </w:tc>
      </w:tr>
      <w:tr w14:paraId="2951C76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35" w:type="dxa"/>
          </w:tcPr>
          <w:p w14:paraId="45687A12">
            <w:pPr>
              <w:spacing w:after="0"/>
              <w:jc w:val="left"/>
            </w:pPr>
            <w:r>
              <w:rPr>
                <w:rFonts w:ascii="Times New Roman" w:hAnsi="Times New Roman"/>
                <w:sz w:val="22"/>
              </w:rPr>
              <w:t>backend/src/cxt/notebooks/</w:t>
            </w:r>
          </w:p>
        </w:tc>
        <w:tc>
          <w:tcPr>
            <w:tcW w:w="6236" w:type="dxa"/>
          </w:tcPr>
          <w:p w14:paraId="6F0C7EBD">
            <w:pPr>
              <w:spacing w:after="0"/>
              <w:jc w:val="left"/>
            </w:pPr>
            <w:r>
              <w:rPr>
                <w:rFonts w:ascii="Times New Roman" w:hAnsi="Times New Roman"/>
                <w:sz w:val="22"/>
              </w:rPr>
              <w:t>Prompt-experiments notebook (evaluate_variation, VARIATIONS).</w:t>
            </w:r>
          </w:p>
        </w:tc>
      </w:tr>
      <w:tr w14:paraId="0684F85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35" w:type="dxa"/>
          </w:tcPr>
          <w:p w14:paraId="343BF2AC">
            <w:pPr>
              <w:spacing w:after="0"/>
              <w:jc w:val="left"/>
            </w:pPr>
            <w:r>
              <w:rPr>
                <w:rFonts w:ascii="Times New Roman" w:hAnsi="Times New Roman"/>
                <w:sz w:val="22"/>
              </w:rPr>
              <w:t>backend/scripts/</w:t>
            </w:r>
          </w:p>
        </w:tc>
        <w:tc>
          <w:tcPr>
            <w:tcW w:w="6236" w:type="dxa"/>
          </w:tcPr>
          <w:p w14:paraId="757A9DF2">
            <w:pPr>
              <w:spacing w:after="0"/>
              <w:jc w:val="left"/>
            </w:pPr>
            <w:r>
              <w:rPr>
                <w:rFonts w:ascii="Times New Roman" w:hAnsi="Times New Roman"/>
                <w:sz w:val="22"/>
              </w:rPr>
              <w:t>download_nih_subset.py, build_manifest.py, run_eval.py, seed_admin.py, dev.py.</w:t>
            </w:r>
          </w:p>
        </w:tc>
      </w:tr>
      <w:tr w14:paraId="63E23F2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35" w:type="dxa"/>
          </w:tcPr>
          <w:p w14:paraId="090BF322">
            <w:pPr>
              <w:spacing w:after="0"/>
              <w:jc w:val="left"/>
            </w:pPr>
            <w:r>
              <w:rPr>
                <w:rFonts w:ascii="Times New Roman" w:hAnsi="Times New Roman"/>
                <w:sz w:val="22"/>
              </w:rPr>
              <w:t>kaggle_runtime/</w:t>
            </w:r>
          </w:p>
        </w:tc>
        <w:tc>
          <w:tcPr>
            <w:tcW w:w="6236" w:type="dxa"/>
          </w:tcPr>
          <w:p w14:paraId="6336FAC4">
            <w:pPr>
              <w:spacing w:after="0"/>
              <w:jc w:val="left"/>
            </w:pPr>
            <w:r>
              <w:rPr>
                <w:rFonts w:ascii="Times New Roman" w:hAnsi="Times New Roman"/>
                <w:sz w:val="22"/>
              </w:rPr>
              <w:t>medgemma_server.py, prompts/system.txt, prompts/user.txt, README.md.</w:t>
            </w:r>
          </w:p>
        </w:tc>
      </w:tr>
      <w:tr w14:paraId="700ACF5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35" w:type="dxa"/>
          </w:tcPr>
          <w:p w14:paraId="42344ADA">
            <w:pPr>
              <w:spacing w:after="0"/>
              <w:jc w:val="left"/>
            </w:pPr>
            <w:r>
              <w:rPr>
                <w:rFonts w:ascii="Times New Roman" w:hAnsi="Times New Roman"/>
                <w:sz w:val="22"/>
              </w:rPr>
              <w:t>backend/tests/</w:t>
            </w:r>
          </w:p>
        </w:tc>
        <w:tc>
          <w:tcPr>
            <w:tcW w:w="6236" w:type="dxa"/>
          </w:tcPr>
          <w:p w14:paraId="3930F51A">
            <w:pPr>
              <w:spacing w:after="0"/>
              <w:jc w:val="left"/>
            </w:pPr>
            <w:r>
              <w:rPr>
                <w:rFonts w:ascii="Times New Roman" w:hAnsi="Times New Roman"/>
                <w:sz w:val="22"/>
              </w:rPr>
              <w:t>Mirror the source tree; unit, integration, and golden tests.</w:t>
            </w:r>
          </w:p>
        </w:tc>
      </w:tr>
    </w:tbl>
    <w:p w14:paraId="5F291ECF">
      <w:pPr>
        <w:keepNext w:val="0"/>
        <w:spacing w:before="120" w:after="120"/>
        <w:jc w:val="center"/>
      </w:pPr>
      <w:r>
        <w:rPr>
          <w:rFonts w:ascii="Times New Roman" w:hAnsi="Times New Roman"/>
          <w:b/>
          <w:sz w:val="20"/>
        </w:rPr>
        <w:t xml:space="preserve">Table 3.10: </w:t>
      </w:r>
      <w:r>
        <w:rPr>
          <w:rFonts w:ascii="Times New Roman" w:hAnsi="Times New Roman"/>
          <w:sz w:val="20"/>
        </w:rPr>
        <w:t>Backend folder structure (Clean Architecture)</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950"/>
        <w:gridCol w:w="3495"/>
        <w:gridCol w:w="1416"/>
        <w:gridCol w:w="3715"/>
      </w:tblGrid>
      <w:tr w14:paraId="712B7FD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850" w:type="dxa"/>
          </w:tcPr>
          <w:p w14:paraId="71A94B9D">
            <w:pPr>
              <w:spacing w:after="0"/>
              <w:jc w:val="center"/>
            </w:pPr>
            <w:r>
              <w:rPr>
                <w:rFonts w:ascii="Times New Roman" w:hAnsi="Times New Roman"/>
                <w:b/>
                <w:sz w:val="22"/>
              </w:rPr>
              <w:t>Method</w:t>
            </w:r>
          </w:p>
        </w:tc>
        <w:tc>
          <w:tcPr>
            <w:tcW w:w="2268" w:type="dxa"/>
          </w:tcPr>
          <w:p w14:paraId="483D35FC">
            <w:pPr>
              <w:spacing w:after="0"/>
              <w:jc w:val="center"/>
            </w:pPr>
            <w:r>
              <w:rPr>
                <w:rFonts w:ascii="Times New Roman" w:hAnsi="Times New Roman"/>
                <w:b/>
                <w:sz w:val="22"/>
              </w:rPr>
              <w:t>Path</w:t>
            </w:r>
          </w:p>
        </w:tc>
        <w:tc>
          <w:tcPr>
            <w:tcW w:w="1417" w:type="dxa"/>
          </w:tcPr>
          <w:p w14:paraId="2B42A3B9">
            <w:pPr>
              <w:spacing w:after="0"/>
              <w:jc w:val="center"/>
            </w:pPr>
            <w:r>
              <w:rPr>
                <w:rFonts w:ascii="Times New Roman" w:hAnsi="Times New Roman"/>
                <w:b/>
                <w:sz w:val="22"/>
              </w:rPr>
              <w:t>Auth</w:t>
            </w:r>
          </w:p>
        </w:tc>
        <w:tc>
          <w:tcPr>
            <w:tcW w:w="4535" w:type="dxa"/>
          </w:tcPr>
          <w:p w14:paraId="7509C05A">
            <w:pPr>
              <w:spacing w:after="0"/>
              <w:jc w:val="center"/>
            </w:pPr>
            <w:r>
              <w:rPr>
                <w:rFonts w:ascii="Times New Roman" w:hAnsi="Times New Roman"/>
                <w:b/>
                <w:sz w:val="22"/>
              </w:rPr>
              <w:t>Purpose</w:t>
            </w:r>
          </w:p>
        </w:tc>
      </w:tr>
      <w:tr w14:paraId="32AB87F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850" w:type="dxa"/>
          </w:tcPr>
          <w:p w14:paraId="2D5AD290">
            <w:pPr>
              <w:spacing w:after="0"/>
              <w:jc w:val="left"/>
            </w:pPr>
            <w:r>
              <w:rPr>
                <w:rFonts w:ascii="Times New Roman" w:hAnsi="Times New Roman"/>
                <w:sz w:val="22"/>
              </w:rPr>
              <w:t>POST</w:t>
            </w:r>
          </w:p>
        </w:tc>
        <w:tc>
          <w:tcPr>
            <w:tcW w:w="2268" w:type="dxa"/>
          </w:tcPr>
          <w:p w14:paraId="004D723D">
            <w:pPr>
              <w:spacing w:after="0"/>
              <w:jc w:val="left"/>
            </w:pPr>
            <w:r>
              <w:rPr>
                <w:rFonts w:ascii="Times New Roman" w:hAnsi="Times New Roman"/>
                <w:sz w:val="22"/>
              </w:rPr>
              <w:t>/api/v1/auth/register</w:t>
            </w:r>
          </w:p>
        </w:tc>
        <w:tc>
          <w:tcPr>
            <w:tcW w:w="1417" w:type="dxa"/>
          </w:tcPr>
          <w:p w14:paraId="04809F04">
            <w:pPr>
              <w:spacing w:after="0"/>
              <w:jc w:val="left"/>
            </w:pPr>
            <w:r>
              <w:rPr>
                <w:rFonts w:ascii="Times New Roman" w:hAnsi="Times New Roman"/>
                <w:sz w:val="22"/>
              </w:rPr>
              <w:t>open</w:t>
            </w:r>
          </w:p>
        </w:tc>
        <w:tc>
          <w:tcPr>
            <w:tcW w:w="4535" w:type="dxa"/>
          </w:tcPr>
          <w:p w14:paraId="06114270">
            <w:pPr>
              <w:spacing w:after="0"/>
              <w:jc w:val="left"/>
            </w:pPr>
            <w:r>
              <w:rPr>
                <w:rFonts w:ascii="Times New Roman" w:hAnsi="Times New Roman"/>
                <w:sz w:val="22"/>
              </w:rPr>
              <w:t>Register a new user (STUDENT open; EDUCATOR / ADMIN invite-only)</w:t>
            </w:r>
          </w:p>
        </w:tc>
      </w:tr>
      <w:tr w14:paraId="18F3099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850" w:type="dxa"/>
          </w:tcPr>
          <w:p w14:paraId="1037633B">
            <w:pPr>
              <w:spacing w:after="0"/>
              <w:jc w:val="left"/>
            </w:pPr>
            <w:r>
              <w:rPr>
                <w:rFonts w:ascii="Times New Roman" w:hAnsi="Times New Roman"/>
                <w:sz w:val="22"/>
              </w:rPr>
              <w:t>POST</w:t>
            </w:r>
          </w:p>
        </w:tc>
        <w:tc>
          <w:tcPr>
            <w:tcW w:w="2268" w:type="dxa"/>
          </w:tcPr>
          <w:p w14:paraId="6D468B5B">
            <w:pPr>
              <w:spacing w:after="0"/>
              <w:jc w:val="left"/>
            </w:pPr>
            <w:r>
              <w:rPr>
                <w:rFonts w:ascii="Times New Roman" w:hAnsi="Times New Roman"/>
                <w:sz w:val="22"/>
              </w:rPr>
              <w:t>/api/v1/auth/login</w:t>
            </w:r>
          </w:p>
        </w:tc>
        <w:tc>
          <w:tcPr>
            <w:tcW w:w="1417" w:type="dxa"/>
          </w:tcPr>
          <w:p w14:paraId="07481903">
            <w:pPr>
              <w:spacing w:after="0"/>
              <w:jc w:val="left"/>
            </w:pPr>
            <w:r>
              <w:rPr>
                <w:rFonts w:ascii="Times New Roman" w:hAnsi="Times New Roman"/>
                <w:sz w:val="22"/>
              </w:rPr>
              <w:t>open</w:t>
            </w:r>
          </w:p>
        </w:tc>
        <w:tc>
          <w:tcPr>
            <w:tcW w:w="4535" w:type="dxa"/>
          </w:tcPr>
          <w:p w14:paraId="0EEFD810">
            <w:pPr>
              <w:spacing w:after="0"/>
              <w:jc w:val="left"/>
            </w:pPr>
            <w:r>
              <w:rPr>
                <w:rFonts w:ascii="Times New Roman" w:hAnsi="Times New Roman"/>
                <w:sz w:val="22"/>
              </w:rPr>
              <w:t>Authenticate and receive a JWT</w:t>
            </w:r>
          </w:p>
        </w:tc>
      </w:tr>
      <w:tr w14:paraId="499446F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850" w:type="dxa"/>
          </w:tcPr>
          <w:p w14:paraId="5490FDB0">
            <w:pPr>
              <w:spacing w:after="0"/>
              <w:jc w:val="left"/>
            </w:pPr>
            <w:r>
              <w:rPr>
                <w:rFonts w:ascii="Times New Roman" w:hAnsi="Times New Roman"/>
                <w:sz w:val="22"/>
              </w:rPr>
              <w:t>GET</w:t>
            </w:r>
          </w:p>
        </w:tc>
        <w:tc>
          <w:tcPr>
            <w:tcW w:w="2268" w:type="dxa"/>
          </w:tcPr>
          <w:p w14:paraId="1C2AC48B">
            <w:pPr>
              <w:spacing w:after="0"/>
              <w:jc w:val="left"/>
            </w:pPr>
            <w:r>
              <w:rPr>
                <w:rFonts w:ascii="Times New Roman" w:hAnsi="Times New Roman"/>
                <w:sz w:val="22"/>
              </w:rPr>
              <w:t>/api/v1/auth/me</w:t>
            </w:r>
          </w:p>
        </w:tc>
        <w:tc>
          <w:tcPr>
            <w:tcW w:w="1417" w:type="dxa"/>
          </w:tcPr>
          <w:p w14:paraId="5B319684">
            <w:pPr>
              <w:spacing w:after="0"/>
              <w:jc w:val="left"/>
            </w:pPr>
            <w:r>
              <w:rPr>
                <w:rFonts w:ascii="Times New Roman" w:hAnsi="Times New Roman"/>
                <w:sz w:val="22"/>
              </w:rPr>
              <w:t>bearer</w:t>
            </w:r>
          </w:p>
        </w:tc>
        <w:tc>
          <w:tcPr>
            <w:tcW w:w="4535" w:type="dxa"/>
          </w:tcPr>
          <w:p w14:paraId="06CADA1F">
            <w:pPr>
              <w:spacing w:after="0"/>
              <w:jc w:val="left"/>
            </w:pPr>
            <w:r>
              <w:rPr>
                <w:rFonts w:ascii="Times New Roman" w:hAnsi="Times New Roman"/>
                <w:sz w:val="22"/>
              </w:rPr>
              <w:t>Current user</w:t>
            </w:r>
          </w:p>
        </w:tc>
      </w:tr>
      <w:tr w14:paraId="6B8741F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850" w:type="dxa"/>
          </w:tcPr>
          <w:p w14:paraId="108C4136">
            <w:pPr>
              <w:spacing w:after="0"/>
              <w:jc w:val="left"/>
            </w:pPr>
            <w:r>
              <w:rPr>
                <w:rFonts w:ascii="Times New Roman" w:hAnsi="Times New Roman"/>
                <w:sz w:val="22"/>
              </w:rPr>
              <w:t>GET</w:t>
            </w:r>
          </w:p>
        </w:tc>
        <w:tc>
          <w:tcPr>
            <w:tcW w:w="2268" w:type="dxa"/>
          </w:tcPr>
          <w:p w14:paraId="3BB8B55F">
            <w:pPr>
              <w:spacing w:after="0"/>
              <w:jc w:val="left"/>
            </w:pPr>
            <w:r>
              <w:rPr>
                <w:rFonts w:ascii="Times New Roman" w:hAnsi="Times New Roman"/>
                <w:sz w:val="22"/>
              </w:rPr>
              <w:t>/api/v1/cases</w:t>
            </w:r>
          </w:p>
        </w:tc>
        <w:tc>
          <w:tcPr>
            <w:tcW w:w="1417" w:type="dxa"/>
          </w:tcPr>
          <w:p w14:paraId="0017A87C">
            <w:pPr>
              <w:spacing w:after="0"/>
              <w:jc w:val="left"/>
            </w:pPr>
            <w:r>
              <w:rPr>
                <w:rFonts w:ascii="Times New Roman" w:hAnsi="Times New Roman"/>
                <w:sz w:val="22"/>
              </w:rPr>
              <w:t>bearer</w:t>
            </w:r>
          </w:p>
        </w:tc>
        <w:tc>
          <w:tcPr>
            <w:tcW w:w="4535" w:type="dxa"/>
          </w:tcPr>
          <w:p w14:paraId="529D2629">
            <w:pPr>
              <w:spacing w:after="0"/>
              <w:jc w:val="left"/>
            </w:pPr>
            <w:r>
              <w:rPr>
                <w:rFonts w:ascii="Times New Roman" w:hAnsi="Times New Roman"/>
                <w:sz w:val="22"/>
              </w:rPr>
              <w:t>List curated cases (filter: split, finding, limit, offset)</w:t>
            </w:r>
          </w:p>
        </w:tc>
      </w:tr>
      <w:tr w14:paraId="479D2BD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850" w:type="dxa"/>
          </w:tcPr>
          <w:p w14:paraId="7E9B7BBC">
            <w:pPr>
              <w:spacing w:after="0"/>
              <w:jc w:val="left"/>
            </w:pPr>
            <w:r>
              <w:rPr>
                <w:rFonts w:ascii="Times New Roman" w:hAnsi="Times New Roman"/>
                <w:sz w:val="22"/>
              </w:rPr>
              <w:t>GET</w:t>
            </w:r>
          </w:p>
        </w:tc>
        <w:tc>
          <w:tcPr>
            <w:tcW w:w="2268" w:type="dxa"/>
          </w:tcPr>
          <w:p w14:paraId="7D2E82B1">
            <w:pPr>
              <w:spacing w:after="0"/>
              <w:jc w:val="left"/>
            </w:pPr>
            <w:r>
              <w:rPr>
                <w:rFonts w:ascii="Times New Roman" w:hAnsi="Times New Roman"/>
                <w:sz w:val="22"/>
              </w:rPr>
              <w:t>/api/v1/cases/{id}</w:t>
            </w:r>
          </w:p>
        </w:tc>
        <w:tc>
          <w:tcPr>
            <w:tcW w:w="1417" w:type="dxa"/>
          </w:tcPr>
          <w:p w14:paraId="52AC2F0B">
            <w:pPr>
              <w:spacing w:after="0"/>
              <w:jc w:val="left"/>
            </w:pPr>
            <w:r>
              <w:rPr>
                <w:rFonts w:ascii="Times New Roman" w:hAnsi="Times New Roman"/>
                <w:sz w:val="22"/>
              </w:rPr>
              <w:t>bearer</w:t>
            </w:r>
          </w:p>
        </w:tc>
        <w:tc>
          <w:tcPr>
            <w:tcW w:w="4535" w:type="dxa"/>
          </w:tcPr>
          <w:p w14:paraId="532DA200">
            <w:pPr>
              <w:spacing w:after="0"/>
              <w:jc w:val="left"/>
            </w:pPr>
            <w:r>
              <w:rPr>
                <w:rFonts w:ascii="Times New Roman" w:hAnsi="Times New Roman"/>
                <w:sz w:val="22"/>
              </w:rPr>
              <w:t>Single case detail</w:t>
            </w:r>
          </w:p>
        </w:tc>
      </w:tr>
      <w:tr w14:paraId="2F0A887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850" w:type="dxa"/>
          </w:tcPr>
          <w:p w14:paraId="4DA266CE">
            <w:pPr>
              <w:spacing w:after="0"/>
              <w:jc w:val="left"/>
            </w:pPr>
            <w:r>
              <w:rPr>
                <w:rFonts w:ascii="Times New Roman" w:hAnsi="Times New Roman"/>
                <w:sz w:val="22"/>
              </w:rPr>
              <w:t>POST</w:t>
            </w:r>
          </w:p>
        </w:tc>
        <w:tc>
          <w:tcPr>
            <w:tcW w:w="2268" w:type="dxa"/>
          </w:tcPr>
          <w:p w14:paraId="2961BC10">
            <w:pPr>
              <w:spacing w:after="0"/>
              <w:jc w:val="left"/>
            </w:pPr>
            <w:r>
              <w:rPr>
                <w:rFonts w:ascii="Times New Roman" w:hAnsi="Times New Roman"/>
                <w:sz w:val="22"/>
              </w:rPr>
              <w:t>/api/v1/attempts</w:t>
            </w:r>
          </w:p>
        </w:tc>
        <w:tc>
          <w:tcPr>
            <w:tcW w:w="1417" w:type="dxa"/>
          </w:tcPr>
          <w:p w14:paraId="7ED1C6BF">
            <w:pPr>
              <w:spacing w:after="0"/>
              <w:jc w:val="left"/>
            </w:pPr>
            <w:r>
              <w:rPr>
                <w:rFonts w:ascii="Times New Roman" w:hAnsi="Times New Roman"/>
                <w:sz w:val="22"/>
              </w:rPr>
              <w:t>STUDENT</w:t>
            </w:r>
          </w:p>
        </w:tc>
        <w:tc>
          <w:tcPr>
            <w:tcW w:w="4535" w:type="dxa"/>
          </w:tcPr>
          <w:p w14:paraId="2AC89B54">
            <w:pPr>
              <w:spacing w:after="0"/>
              <w:jc w:val="left"/>
            </w:pPr>
            <w:r>
              <w:rPr>
                <w:rFonts w:ascii="Times New Roman" w:hAnsi="Times New Roman"/>
                <w:sz w:val="22"/>
              </w:rPr>
              <w:t>Submit a free-text interpretation; receive structured feedback</w:t>
            </w:r>
          </w:p>
        </w:tc>
      </w:tr>
      <w:tr w14:paraId="2B7E698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850" w:type="dxa"/>
          </w:tcPr>
          <w:p w14:paraId="7BA24542">
            <w:pPr>
              <w:spacing w:after="0"/>
              <w:jc w:val="left"/>
            </w:pPr>
            <w:r>
              <w:rPr>
                <w:rFonts w:ascii="Times New Roman" w:hAnsi="Times New Roman"/>
                <w:sz w:val="22"/>
              </w:rPr>
              <w:t>GET</w:t>
            </w:r>
          </w:p>
        </w:tc>
        <w:tc>
          <w:tcPr>
            <w:tcW w:w="2268" w:type="dxa"/>
          </w:tcPr>
          <w:p w14:paraId="3A9E35FA">
            <w:pPr>
              <w:spacing w:after="0"/>
              <w:jc w:val="left"/>
            </w:pPr>
            <w:r>
              <w:rPr>
                <w:rFonts w:ascii="Times New Roman" w:hAnsi="Times New Roman"/>
                <w:sz w:val="22"/>
              </w:rPr>
              <w:t>/api/v1/attempts</w:t>
            </w:r>
          </w:p>
        </w:tc>
        <w:tc>
          <w:tcPr>
            <w:tcW w:w="1417" w:type="dxa"/>
          </w:tcPr>
          <w:p w14:paraId="19699901">
            <w:pPr>
              <w:spacing w:after="0"/>
              <w:jc w:val="left"/>
            </w:pPr>
            <w:r>
              <w:rPr>
                <w:rFonts w:ascii="Times New Roman" w:hAnsi="Times New Roman"/>
                <w:sz w:val="22"/>
              </w:rPr>
              <w:t>bearer</w:t>
            </w:r>
          </w:p>
        </w:tc>
        <w:tc>
          <w:tcPr>
            <w:tcW w:w="4535" w:type="dxa"/>
          </w:tcPr>
          <w:p w14:paraId="5B3569A7">
            <w:pPr>
              <w:spacing w:after="0"/>
              <w:jc w:val="left"/>
            </w:pPr>
            <w:r>
              <w:rPr>
                <w:rFonts w:ascii="Times New Roman" w:hAnsi="Times New Roman"/>
                <w:sz w:val="22"/>
              </w:rPr>
              <w:t>List attempts (own for STUDENT, all for EDUCATOR / ADMIN)</w:t>
            </w:r>
          </w:p>
        </w:tc>
      </w:tr>
      <w:tr w14:paraId="6227B8B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850" w:type="dxa"/>
          </w:tcPr>
          <w:p w14:paraId="2DEF0FAD">
            <w:pPr>
              <w:spacing w:after="0"/>
              <w:jc w:val="left"/>
            </w:pPr>
            <w:r>
              <w:rPr>
                <w:rFonts w:ascii="Times New Roman" w:hAnsi="Times New Roman"/>
                <w:sz w:val="22"/>
              </w:rPr>
              <w:t>GET</w:t>
            </w:r>
          </w:p>
        </w:tc>
        <w:tc>
          <w:tcPr>
            <w:tcW w:w="2268" w:type="dxa"/>
          </w:tcPr>
          <w:p w14:paraId="267499F5">
            <w:pPr>
              <w:spacing w:after="0"/>
              <w:jc w:val="left"/>
            </w:pPr>
            <w:r>
              <w:rPr>
                <w:rFonts w:ascii="Times New Roman" w:hAnsi="Times New Roman"/>
                <w:sz w:val="22"/>
              </w:rPr>
              <w:t>/api/v1/attempts/{id}</w:t>
            </w:r>
          </w:p>
        </w:tc>
        <w:tc>
          <w:tcPr>
            <w:tcW w:w="1417" w:type="dxa"/>
          </w:tcPr>
          <w:p w14:paraId="668F4062">
            <w:pPr>
              <w:spacing w:after="0"/>
              <w:jc w:val="left"/>
            </w:pPr>
            <w:r>
              <w:rPr>
                <w:rFonts w:ascii="Times New Roman" w:hAnsi="Times New Roman"/>
                <w:sz w:val="22"/>
              </w:rPr>
              <w:t>bearer</w:t>
            </w:r>
          </w:p>
        </w:tc>
        <w:tc>
          <w:tcPr>
            <w:tcW w:w="4535" w:type="dxa"/>
          </w:tcPr>
          <w:p w14:paraId="371CED17">
            <w:pPr>
              <w:spacing w:after="0"/>
              <w:jc w:val="left"/>
            </w:pPr>
            <w:r>
              <w:rPr>
                <w:rFonts w:ascii="Times New Roman" w:hAnsi="Times New Roman"/>
                <w:sz w:val="22"/>
              </w:rPr>
              <w:t>Single attempt with feedback</w:t>
            </w:r>
          </w:p>
        </w:tc>
      </w:tr>
      <w:tr w14:paraId="12E5265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850" w:type="dxa"/>
          </w:tcPr>
          <w:p w14:paraId="06CDC167">
            <w:pPr>
              <w:spacing w:after="0"/>
              <w:jc w:val="left"/>
            </w:pPr>
            <w:r>
              <w:rPr>
                <w:rFonts w:ascii="Times New Roman" w:hAnsi="Times New Roman"/>
                <w:sz w:val="22"/>
              </w:rPr>
              <w:t>GET</w:t>
            </w:r>
          </w:p>
        </w:tc>
        <w:tc>
          <w:tcPr>
            <w:tcW w:w="2268" w:type="dxa"/>
          </w:tcPr>
          <w:p w14:paraId="75ECABC4">
            <w:pPr>
              <w:spacing w:after="0"/>
              <w:jc w:val="left"/>
            </w:pPr>
            <w:r>
              <w:rPr>
                <w:rFonts w:ascii="Times New Roman" w:hAnsi="Times New Roman"/>
                <w:sz w:val="22"/>
              </w:rPr>
              <w:t>/api/v1/reviews/queue</w:t>
            </w:r>
          </w:p>
        </w:tc>
        <w:tc>
          <w:tcPr>
            <w:tcW w:w="1417" w:type="dxa"/>
          </w:tcPr>
          <w:p w14:paraId="2C319D3C">
            <w:pPr>
              <w:spacing w:after="0"/>
              <w:jc w:val="left"/>
            </w:pPr>
            <w:r>
              <w:rPr>
                <w:rFonts w:ascii="Times New Roman" w:hAnsi="Times New Roman"/>
                <w:sz w:val="22"/>
              </w:rPr>
              <w:t>EDUCATOR / ADMIN</w:t>
            </w:r>
          </w:p>
        </w:tc>
        <w:tc>
          <w:tcPr>
            <w:tcW w:w="4535" w:type="dxa"/>
          </w:tcPr>
          <w:p w14:paraId="138A94DD">
            <w:pPr>
              <w:spacing w:after="0"/>
              <w:jc w:val="left"/>
            </w:pPr>
            <w:r>
              <w:rPr>
                <w:rFonts w:ascii="Times New Roman" w:hAnsi="Times New Roman"/>
                <w:sz w:val="22"/>
              </w:rPr>
              <w:t>List attempts awaiting review</w:t>
            </w:r>
          </w:p>
        </w:tc>
      </w:tr>
      <w:tr w14:paraId="0A6E8AA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850" w:type="dxa"/>
          </w:tcPr>
          <w:p w14:paraId="3F4CF1D5">
            <w:pPr>
              <w:spacing w:after="0"/>
              <w:jc w:val="left"/>
            </w:pPr>
            <w:r>
              <w:rPr>
                <w:rFonts w:ascii="Times New Roman" w:hAnsi="Times New Roman"/>
                <w:sz w:val="22"/>
              </w:rPr>
              <w:t>GET</w:t>
            </w:r>
          </w:p>
        </w:tc>
        <w:tc>
          <w:tcPr>
            <w:tcW w:w="2268" w:type="dxa"/>
          </w:tcPr>
          <w:p w14:paraId="3FEB8EA8">
            <w:pPr>
              <w:spacing w:after="0"/>
              <w:jc w:val="left"/>
            </w:pPr>
            <w:r>
              <w:rPr>
                <w:rFonts w:ascii="Times New Roman" w:hAnsi="Times New Roman"/>
                <w:sz w:val="22"/>
              </w:rPr>
              <w:t>/api/v1/reviews/queue/{attemptId}</w:t>
            </w:r>
          </w:p>
        </w:tc>
        <w:tc>
          <w:tcPr>
            <w:tcW w:w="1417" w:type="dxa"/>
          </w:tcPr>
          <w:p w14:paraId="307928D4">
            <w:pPr>
              <w:spacing w:after="0"/>
              <w:jc w:val="left"/>
            </w:pPr>
            <w:r>
              <w:rPr>
                <w:rFonts w:ascii="Times New Roman" w:hAnsi="Times New Roman"/>
                <w:sz w:val="22"/>
              </w:rPr>
              <w:t>EDUCATOR / ADMIN</w:t>
            </w:r>
          </w:p>
        </w:tc>
        <w:tc>
          <w:tcPr>
            <w:tcW w:w="4535" w:type="dxa"/>
          </w:tcPr>
          <w:p w14:paraId="1C0E8BDA">
            <w:pPr>
              <w:spacing w:after="0"/>
              <w:jc w:val="left"/>
            </w:pPr>
            <w:r>
              <w:rPr>
                <w:rFonts w:ascii="Times New Roman" w:hAnsi="Times New Roman"/>
                <w:sz w:val="22"/>
              </w:rPr>
              <w:t>Fetch one attempt with feedback</w:t>
            </w:r>
          </w:p>
        </w:tc>
      </w:tr>
      <w:tr w14:paraId="646EA22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850" w:type="dxa"/>
          </w:tcPr>
          <w:p w14:paraId="1D744C08">
            <w:pPr>
              <w:spacing w:after="0"/>
              <w:jc w:val="left"/>
            </w:pPr>
            <w:r>
              <w:rPr>
                <w:rFonts w:ascii="Times New Roman" w:hAnsi="Times New Roman"/>
                <w:sz w:val="22"/>
              </w:rPr>
              <w:t>GET</w:t>
            </w:r>
          </w:p>
        </w:tc>
        <w:tc>
          <w:tcPr>
            <w:tcW w:w="2268" w:type="dxa"/>
          </w:tcPr>
          <w:p w14:paraId="576B55FA">
            <w:pPr>
              <w:spacing w:after="0"/>
              <w:jc w:val="left"/>
            </w:pPr>
            <w:r>
              <w:rPr>
                <w:rFonts w:ascii="Times New Roman" w:hAnsi="Times New Roman"/>
                <w:sz w:val="22"/>
              </w:rPr>
              <w:t>/api/v1/reviews/attempts/{attemptId}</w:t>
            </w:r>
          </w:p>
        </w:tc>
        <w:tc>
          <w:tcPr>
            <w:tcW w:w="1417" w:type="dxa"/>
          </w:tcPr>
          <w:p w14:paraId="4D2003C6">
            <w:pPr>
              <w:spacing w:after="0"/>
              <w:jc w:val="left"/>
            </w:pPr>
            <w:r>
              <w:rPr>
                <w:rFonts w:ascii="Times New Roman" w:hAnsi="Times New Roman"/>
                <w:sz w:val="22"/>
              </w:rPr>
              <w:t>EDUCATOR / ADMIN</w:t>
            </w:r>
          </w:p>
        </w:tc>
        <w:tc>
          <w:tcPr>
            <w:tcW w:w="4535" w:type="dxa"/>
          </w:tcPr>
          <w:p w14:paraId="299D6133">
            <w:pPr>
              <w:spacing w:after="0"/>
              <w:jc w:val="left"/>
            </w:pPr>
            <w:r>
              <w:rPr>
                <w:rFonts w:ascii="Times New Roman" w:hAnsi="Times New Roman"/>
                <w:sz w:val="22"/>
              </w:rPr>
              <w:t>List reviews for an attempt</w:t>
            </w:r>
          </w:p>
        </w:tc>
      </w:tr>
      <w:tr w14:paraId="6162620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850" w:type="dxa"/>
          </w:tcPr>
          <w:p w14:paraId="528FB8B1">
            <w:pPr>
              <w:spacing w:after="0"/>
              <w:jc w:val="left"/>
            </w:pPr>
            <w:r>
              <w:rPr>
                <w:rFonts w:ascii="Times New Roman" w:hAnsi="Times New Roman"/>
                <w:sz w:val="22"/>
              </w:rPr>
              <w:t>POST</w:t>
            </w:r>
          </w:p>
        </w:tc>
        <w:tc>
          <w:tcPr>
            <w:tcW w:w="2268" w:type="dxa"/>
          </w:tcPr>
          <w:p w14:paraId="4784CB55">
            <w:pPr>
              <w:spacing w:after="0"/>
              <w:jc w:val="left"/>
            </w:pPr>
            <w:r>
              <w:rPr>
                <w:rFonts w:ascii="Times New Roman" w:hAnsi="Times New Roman"/>
                <w:sz w:val="22"/>
              </w:rPr>
              <w:t>/api/v1/reviews</w:t>
            </w:r>
          </w:p>
        </w:tc>
        <w:tc>
          <w:tcPr>
            <w:tcW w:w="1417" w:type="dxa"/>
          </w:tcPr>
          <w:p w14:paraId="4272FEC0">
            <w:pPr>
              <w:spacing w:after="0"/>
              <w:jc w:val="left"/>
            </w:pPr>
            <w:r>
              <w:rPr>
                <w:rFonts w:ascii="Times New Roman" w:hAnsi="Times New Roman"/>
                <w:sz w:val="22"/>
              </w:rPr>
              <w:t>EDUCATOR / ADMIN</w:t>
            </w:r>
          </w:p>
        </w:tc>
        <w:tc>
          <w:tcPr>
            <w:tcW w:w="4535" w:type="dxa"/>
          </w:tcPr>
          <w:p w14:paraId="5910B9A2">
            <w:pPr>
              <w:spacing w:after="0"/>
              <w:jc w:val="left"/>
            </w:pPr>
            <w:r>
              <w:rPr>
                <w:rFonts w:ascii="Times New Roman" w:hAnsi="Times New Roman"/>
                <w:sz w:val="22"/>
              </w:rPr>
              <w:t>Submit a rubric-based review</w:t>
            </w:r>
          </w:p>
        </w:tc>
      </w:tr>
      <w:tr w14:paraId="13BBD79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850" w:type="dxa"/>
          </w:tcPr>
          <w:p w14:paraId="07FF24DF">
            <w:pPr>
              <w:spacing w:after="0"/>
              <w:jc w:val="left"/>
            </w:pPr>
            <w:r>
              <w:rPr>
                <w:rFonts w:ascii="Times New Roman" w:hAnsi="Times New Roman"/>
                <w:sz w:val="22"/>
              </w:rPr>
              <w:t>GET</w:t>
            </w:r>
          </w:p>
        </w:tc>
        <w:tc>
          <w:tcPr>
            <w:tcW w:w="2268" w:type="dxa"/>
          </w:tcPr>
          <w:p w14:paraId="560B7BFE">
            <w:pPr>
              <w:spacing w:after="0"/>
              <w:jc w:val="left"/>
            </w:pPr>
            <w:r>
              <w:rPr>
                <w:rFonts w:ascii="Times New Roman" w:hAnsi="Times New Roman"/>
                <w:sz w:val="22"/>
              </w:rPr>
              <w:t>/images/{file}.png</w:t>
            </w:r>
          </w:p>
        </w:tc>
        <w:tc>
          <w:tcPr>
            <w:tcW w:w="1417" w:type="dxa"/>
          </w:tcPr>
          <w:p w14:paraId="4AEAB641">
            <w:pPr>
              <w:spacing w:after="0"/>
              <w:jc w:val="left"/>
            </w:pPr>
            <w:r>
              <w:rPr>
                <w:rFonts w:ascii="Times New Roman" w:hAnsi="Times New Roman"/>
                <w:sz w:val="22"/>
              </w:rPr>
              <w:t>open (in dev)</w:t>
            </w:r>
          </w:p>
        </w:tc>
        <w:tc>
          <w:tcPr>
            <w:tcW w:w="4535" w:type="dxa"/>
          </w:tcPr>
          <w:p w14:paraId="1FFF9E36">
            <w:pPr>
              <w:spacing w:after="0"/>
              <w:jc w:val="left"/>
            </w:pPr>
            <w:r>
              <w:rPr>
                <w:rFonts w:ascii="Times New Roman" w:hAnsi="Times New Roman"/>
                <w:sz w:val="22"/>
              </w:rPr>
              <w:t>Static CXR images from the manifest</w:t>
            </w:r>
          </w:p>
        </w:tc>
      </w:tr>
      <w:tr w14:paraId="7F2B7B7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850" w:type="dxa"/>
          </w:tcPr>
          <w:p w14:paraId="266D0BBF">
            <w:pPr>
              <w:spacing w:after="0"/>
              <w:jc w:val="left"/>
            </w:pPr>
            <w:r>
              <w:rPr>
                <w:rFonts w:ascii="Times New Roman" w:hAnsi="Times New Roman"/>
                <w:sz w:val="22"/>
              </w:rPr>
              <w:t>GET</w:t>
            </w:r>
          </w:p>
        </w:tc>
        <w:tc>
          <w:tcPr>
            <w:tcW w:w="2268" w:type="dxa"/>
          </w:tcPr>
          <w:p w14:paraId="3D025A0C">
            <w:pPr>
              <w:spacing w:after="0"/>
              <w:jc w:val="left"/>
            </w:pPr>
            <w:r>
              <w:rPr>
                <w:rFonts w:ascii="Times New Roman" w:hAnsi="Times New Roman"/>
                <w:sz w:val="22"/>
              </w:rPr>
              <w:t>/api/v1/healthz</w:t>
            </w:r>
          </w:p>
        </w:tc>
        <w:tc>
          <w:tcPr>
            <w:tcW w:w="1417" w:type="dxa"/>
          </w:tcPr>
          <w:p w14:paraId="17668250">
            <w:pPr>
              <w:spacing w:after="0"/>
              <w:jc w:val="left"/>
            </w:pPr>
            <w:r>
              <w:rPr>
                <w:rFonts w:ascii="Times New Roman" w:hAnsi="Times New Roman"/>
                <w:sz w:val="22"/>
              </w:rPr>
              <w:t>open</w:t>
            </w:r>
          </w:p>
        </w:tc>
        <w:tc>
          <w:tcPr>
            <w:tcW w:w="4535" w:type="dxa"/>
          </w:tcPr>
          <w:p w14:paraId="0F34B407">
            <w:pPr>
              <w:spacing w:after="0"/>
              <w:jc w:val="left"/>
            </w:pPr>
            <w:r>
              <w:rPr>
                <w:rFonts w:ascii="Times New Roman" w:hAnsi="Times New Roman"/>
                <w:sz w:val="22"/>
              </w:rPr>
              <w:t>Health check</w:t>
            </w:r>
          </w:p>
        </w:tc>
      </w:tr>
      <w:tr w14:paraId="34E1B22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850" w:type="dxa"/>
          </w:tcPr>
          <w:p w14:paraId="7B4414E1">
            <w:pPr>
              <w:spacing w:after="0"/>
              <w:jc w:val="left"/>
            </w:pPr>
            <w:r>
              <w:rPr>
                <w:rFonts w:ascii="Times New Roman" w:hAnsi="Times New Roman"/>
                <w:sz w:val="22"/>
              </w:rPr>
              <w:t>GET</w:t>
            </w:r>
          </w:p>
        </w:tc>
        <w:tc>
          <w:tcPr>
            <w:tcW w:w="2268" w:type="dxa"/>
          </w:tcPr>
          <w:p w14:paraId="0CE55687">
            <w:pPr>
              <w:spacing w:after="0"/>
              <w:jc w:val="left"/>
            </w:pPr>
            <w:r>
              <w:rPr>
                <w:rFonts w:ascii="Times New Roman" w:hAnsi="Times New Roman"/>
                <w:sz w:val="22"/>
              </w:rPr>
              <w:t>/api/v1/docs</w:t>
            </w:r>
          </w:p>
        </w:tc>
        <w:tc>
          <w:tcPr>
            <w:tcW w:w="1417" w:type="dxa"/>
          </w:tcPr>
          <w:p w14:paraId="6220AA66">
            <w:pPr>
              <w:spacing w:after="0"/>
              <w:jc w:val="left"/>
            </w:pPr>
            <w:r>
              <w:rPr>
                <w:rFonts w:ascii="Times New Roman" w:hAnsi="Times New Roman"/>
                <w:sz w:val="22"/>
              </w:rPr>
              <w:t>open</w:t>
            </w:r>
          </w:p>
        </w:tc>
        <w:tc>
          <w:tcPr>
            <w:tcW w:w="4535" w:type="dxa"/>
          </w:tcPr>
          <w:p w14:paraId="47449670">
            <w:pPr>
              <w:spacing w:after="0"/>
              <w:jc w:val="left"/>
            </w:pPr>
            <w:r>
              <w:rPr>
                <w:rFonts w:ascii="Times New Roman" w:hAnsi="Times New Roman"/>
                <w:sz w:val="22"/>
              </w:rPr>
              <w:t>Swagger UI</w:t>
            </w:r>
          </w:p>
        </w:tc>
      </w:tr>
    </w:tbl>
    <w:p w14:paraId="14859713">
      <w:pPr>
        <w:keepNext w:val="0"/>
        <w:spacing w:before="120" w:after="120"/>
        <w:jc w:val="center"/>
      </w:pPr>
      <w:r>
        <w:rPr>
          <w:rFonts w:ascii="Times New Roman" w:hAnsi="Times New Roman"/>
          <w:b/>
          <w:sz w:val="20"/>
        </w:rPr>
        <w:t xml:space="preserve">Table 3.11: </w:t>
      </w:r>
      <w:r>
        <w:rPr>
          <w:rFonts w:ascii="Times New Roman" w:hAnsi="Times New Roman"/>
          <w:sz w:val="20"/>
        </w:rPr>
        <w:t>Endpoints exposed by the FastAPI backend</w:t>
      </w:r>
    </w:p>
    <w:p w14:paraId="54F9DEF9">
      <w:pPr>
        <w:pStyle w:val="4"/>
        <w:keepNext/>
        <w:spacing w:before="200" w:after="120"/>
        <w:jc w:val="left"/>
      </w:pPr>
      <w:r>
        <w:rPr>
          <w:rFonts w:ascii="Times New Roman" w:hAnsi="Times New Roman"/>
          <w:b/>
          <w:color w:val="000000"/>
          <w:sz w:val="24"/>
        </w:rPr>
        <w:t>3.3.3 Interface Design</w:t>
      </w:r>
    </w:p>
    <w:p w14:paraId="1EAA3583">
      <w:pPr>
        <w:spacing w:before="0" w:after="120" w:line="360" w:lineRule="auto"/>
        <w:ind w:firstLine="720"/>
        <w:jc w:val="both"/>
      </w:pPr>
      <w:r>
        <w:rPr>
          <w:rFonts w:ascii="Times New Roman" w:hAnsi="Times New Roman"/>
          <w:sz w:val="22"/>
        </w:rPr>
        <w:t>The interface design focuses on the student workflow and the educator workflow. Figure 3.7 shows the student screen flow (login, case list, case, feedback), and Figure 3.8 shows the educator screen flow (login, review queue, review form). The frontend route structure is summarised in Table 3.12.</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077"/>
        <w:gridCol w:w="2268"/>
        <w:gridCol w:w="5102"/>
      </w:tblGrid>
      <w:tr w14:paraId="6D9FD23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01" w:type="dxa"/>
          </w:tcPr>
          <w:p w14:paraId="68C32EA0">
            <w:pPr>
              <w:spacing w:after="0"/>
              <w:jc w:val="center"/>
            </w:pPr>
            <w:r>
              <w:rPr>
                <w:rFonts w:ascii="Times New Roman" w:hAnsi="Times New Roman"/>
                <w:b/>
                <w:sz w:val="22"/>
              </w:rPr>
              <w:t>Route</w:t>
            </w:r>
          </w:p>
        </w:tc>
        <w:tc>
          <w:tcPr>
            <w:tcW w:w="2268" w:type="dxa"/>
          </w:tcPr>
          <w:p w14:paraId="317EAFE6">
            <w:pPr>
              <w:spacing w:after="0"/>
              <w:jc w:val="center"/>
            </w:pPr>
            <w:r>
              <w:rPr>
                <w:rFonts w:ascii="Times New Roman" w:hAnsi="Times New Roman"/>
                <w:b/>
                <w:sz w:val="22"/>
              </w:rPr>
              <w:t>Page</w:t>
            </w:r>
          </w:p>
        </w:tc>
        <w:tc>
          <w:tcPr>
            <w:tcW w:w="5102" w:type="dxa"/>
          </w:tcPr>
          <w:p w14:paraId="112BD123">
            <w:pPr>
              <w:spacing w:after="0"/>
              <w:jc w:val="center"/>
            </w:pPr>
            <w:r>
              <w:rPr>
                <w:rFonts w:ascii="Times New Roman" w:hAnsi="Times New Roman"/>
                <w:b/>
                <w:sz w:val="22"/>
              </w:rPr>
              <w:t>Purpose</w:t>
            </w:r>
          </w:p>
        </w:tc>
      </w:tr>
      <w:tr w14:paraId="50886AE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01" w:type="dxa"/>
          </w:tcPr>
          <w:p w14:paraId="4A0DE248">
            <w:pPr>
              <w:spacing w:after="0"/>
              <w:jc w:val="left"/>
            </w:pPr>
            <w:r>
              <w:rPr>
                <w:rFonts w:ascii="Times New Roman" w:hAnsi="Times New Roman"/>
                <w:sz w:val="22"/>
              </w:rPr>
              <w:t>/login</w:t>
            </w:r>
          </w:p>
        </w:tc>
        <w:tc>
          <w:tcPr>
            <w:tcW w:w="2268" w:type="dxa"/>
          </w:tcPr>
          <w:p w14:paraId="25DFAB63">
            <w:pPr>
              <w:spacing w:after="0"/>
              <w:jc w:val="left"/>
            </w:pPr>
            <w:r>
              <w:rPr>
                <w:rFonts w:ascii="Times New Roman" w:hAnsi="Times New Roman"/>
                <w:sz w:val="22"/>
              </w:rPr>
              <w:t>LoginPage</w:t>
            </w:r>
          </w:p>
        </w:tc>
        <w:tc>
          <w:tcPr>
            <w:tcW w:w="5102" w:type="dxa"/>
          </w:tcPr>
          <w:p w14:paraId="58B55A9C">
            <w:pPr>
              <w:spacing w:after="0"/>
              <w:jc w:val="left"/>
            </w:pPr>
            <w:r>
              <w:rPr>
                <w:rFonts w:ascii="Times New Roman" w:hAnsi="Times New Roman"/>
                <w:sz w:val="22"/>
              </w:rPr>
              <w:t>Email + password sign-in</w:t>
            </w:r>
          </w:p>
        </w:tc>
      </w:tr>
      <w:tr w14:paraId="1998502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01" w:type="dxa"/>
          </w:tcPr>
          <w:p w14:paraId="4713B184">
            <w:pPr>
              <w:spacing w:after="0"/>
              <w:jc w:val="left"/>
            </w:pPr>
            <w:r>
              <w:rPr>
                <w:rFonts w:ascii="Times New Roman" w:hAnsi="Times New Roman"/>
                <w:sz w:val="22"/>
              </w:rPr>
              <w:t>/register</w:t>
            </w:r>
          </w:p>
        </w:tc>
        <w:tc>
          <w:tcPr>
            <w:tcW w:w="2268" w:type="dxa"/>
          </w:tcPr>
          <w:p w14:paraId="2A206588">
            <w:pPr>
              <w:spacing w:after="0"/>
              <w:jc w:val="left"/>
            </w:pPr>
            <w:r>
              <w:rPr>
                <w:rFonts w:ascii="Times New Roman" w:hAnsi="Times New Roman"/>
                <w:sz w:val="22"/>
              </w:rPr>
              <w:t>RegisterPage</w:t>
            </w:r>
          </w:p>
        </w:tc>
        <w:tc>
          <w:tcPr>
            <w:tcW w:w="5102" w:type="dxa"/>
          </w:tcPr>
          <w:p w14:paraId="074D23B1">
            <w:pPr>
              <w:spacing w:after="0"/>
              <w:jc w:val="left"/>
            </w:pPr>
            <w:r>
              <w:rPr>
                <w:rFonts w:ascii="Times New Roman" w:hAnsi="Times New Roman"/>
                <w:sz w:val="22"/>
              </w:rPr>
              <w:t>Self-registration as STUDENT</w:t>
            </w:r>
          </w:p>
        </w:tc>
      </w:tr>
      <w:tr w14:paraId="4E24E37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01" w:type="dxa"/>
          </w:tcPr>
          <w:p w14:paraId="37E3ED60">
            <w:pPr>
              <w:spacing w:after="0"/>
              <w:jc w:val="left"/>
            </w:pPr>
            <w:r>
              <w:rPr>
                <w:rFonts w:ascii="Times New Roman" w:hAnsi="Times New Roman"/>
                <w:sz w:val="22"/>
              </w:rPr>
              <w:t>/cases</w:t>
            </w:r>
          </w:p>
        </w:tc>
        <w:tc>
          <w:tcPr>
            <w:tcW w:w="2268" w:type="dxa"/>
          </w:tcPr>
          <w:p w14:paraId="541B125C">
            <w:pPr>
              <w:spacing w:after="0"/>
              <w:jc w:val="left"/>
            </w:pPr>
            <w:r>
              <w:rPr>
                <w:rFonts w:ascii="Times New Roman" w:hAnsi="Times New Roman"/>
                <w:sz w:val="22"/>
              </w:rPr>
              <w:t>CaseListPage</w:t>
            </w:r>
          </w:p>
        </w:tc>
        <w:tc>
          <w:tcPr>
            <w:tcW w:w="5102" w:type="dxa"/>
          </w:tcPr>
          <w:p w14:paraId="673C35E2">
            <w:pPr>
              <w:spacing w:after="0"/>
              <w:jc w:val="left"/>
            </w:pPr>
            <w:r>
              <w:rPr>
                <w:rFonts w:ascii="Times New Roman" w:hAnsi="Times New Roman"/>
                <w:sz w:val="22"/>
              </w:rPr>
              <w:t>Grid of curated CXR cases with thumbnails and 'Case of {Label}' titles</w:t>
            </w:r>
          </w:p>
        </w:tc>
      </w:tr>
      <w:tr w14:paraId="6037705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01" w:type="dxa"/>
          </w:tcPr>
          <w:p w14:paraId="72828AA3">
            <w:pPr>
              <w:spacing w:after="0"/>
              <w:jc w:val="left"/>
            </w:pPr>
            <w:r>
              <w:rPr>
                <w:rFonts w:ascii="Times New Roman" w:hAnsi="Times New Roman"/>
                <w:sz w:val="22"/>
              </w:rPr>
              <w:t>/cases/{id}</w:t>
            </w:r>
          </w:p>
        </w:tc>
        <w:tc>
          <w:tcPr>
            <w:tcW w:w="2268" w:type="dxa"/>
          </w:tcPr>
          <w:p w14:paraId="1CE3F75D">
            <w:pPr>
              <w:spacing w:after="0"/>
              <w:jc w:val="left"/>
            </w:pPr>
            <w:r>
              <w:rPr>
                <w:rFonts w:ascii="Times New Roman" w:hAnsi="Times New Roman"/>
                <w:sz w:val="22"/>
              </w:rPr>
              <w:t>CasePage</w:t>
            </w:r>
          </w:p>
        </w:tc>
        <w:tc>
          <w:tcPr>
            <w:tcW w:w="5102" w:type="dxa"/>
          </w:tcPr>
          <w:p w14:paraId="28EDDF23">
            <w:pPr>
              <w:spacing w:after="0"/>
              <w:jc w:val="left"/>
            </w:pPr>
            <w:r>
              <w:rPr>
                <w:rFonts w:ascii="Times New Roman" w:hAnsi="Times New Roman"/>
                <w:sz w:val="22"/>
              </w:rPr>
              <w:t>CXR viewer + AttemptForm + FeedbackSection after submission</w:t>
            </w:r>
          </w:p>
        </w:tc>
      </w:tr>
      <w:tr w14:paraId="322D85C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01" w:type="dxa"/>
          </w:tcPr>
          <w:p w14:paraId="686462C5">
            <w:pPr>
              <w:spacing w:after="0"/>
              <w:jc w:val="left"/>
            </w:pPr>
            <w:r>
              <w:rPr>
                <w:rFonts w:ascii="Times New Roman" w:hAnsi="Times New Roman"/>
                <w:sz w:val="22"/>
              </w:rPr>
              <w:t>/reviews</w:t>
            </w:r>
          </w:p>
        </w:tc>
        <w:tc>
          <w:tcPr>
            <w:tcW w:w="2268" w:type="dxa"/>
          </w:tcPr>
          <w:p w14:paraId="19656ECD">
            <w:pPr>
              <w:spacing w:after="0"/>
              <w:jc w:val="left"/>
            </w:pPr>
            <w:r>
              <w:rPr>
                <w:rFonts w:ascii="Times New Roman" w:hAnsi="Times New Roman"/>
                <w:sz w:val="22"/>
              </w:rPr>
              <w:t>ReviewQueuePage</w:t>
            </w:r>
          </w:p>
        </w:tc>
        <w:tc>
          <w:tcPr>
            <w:tcW w:w="5102" w:type="dxa"/>
          </w:tcPr>
          <w:p w14:paraId="5D0F1587">
            <w:pPr>
              <w:spacing w:after="0"/>
              <w:jc w:val="left"/>
            </w:pPr>
            <w:r>
              <w:rPr>
                <w:rFonts w:ascii="Times New Roman" w:hAnsi="Times New Roman"/>
                <w:sz w:val="22"/>
              </w:rPr>
              <w:t>Educator / admin queue of submitted attempts</w:t>
            </w:r>
          </w:p>
        </w:tc>
      </w:tr>
      <w:tr w14:paraId="54805D9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01" w:type="dxa"/>
          </w:tcPr>
          <w:p w14:paraId="30723AE2">
            <w:pPr>
              <w:spacing w:after="0"/>
              <w:jc w:val="left"/>
            </w:pPr>
            <w:r>
              <w:rPr>
                <w:rFonts w:ascii="Times New Roman" w:hAnsi="Times New Roman"/>
                <w:sz w:val="22"/>
              </w:rPr>
              <w:t>/reviews/{attemptId}</w:t>
            </w:r>
          </w:p>
        </w:tc>
        <w:tc>
          <w:tcPr>
            <w:tcW w:w="2268" w:type="dxa"/>
          </w:tcPr>
          <w:p w14:paraId="280160CF">
            <w:pPr>
              <w:spacing w:after="0"/>
              <w:jc w:val="left"/>
            </w:pPr>
            <w:r>
              <w:rPr>
                <w:rFonts w:ascii="Times New Roman" w:hAnsi="Times New Roman"/>
                <w:sz w:val="22"/>
              </w:rPr>
              <w:t>ReviewPage</w:t>
            </w:r>
          </w:p>
        </w:tc>
        <w:tc>
          <w:tcPr>
            <w:tcW w:w="5102" w:type="dxa"/>
          </w:tcPr>
          <w:p w14:paraId="07AB5D17">
            <w:pPr>
              <w:spacing w:after="0"/>
              <w:jc w:val="left"/>
            </w:pPr>
            <w:r>
              <w:rPr>
                <w:rFonts w:ascii="Times New Roman" w:hAnsi="Times New Roman"/>
                <w:sz w:val="22"/>
              </w:rPr>
              <w:t>Educator / admin rubric scoring of a single attempt</w:t>
            </w:r>
          </w:p>
        </w:tc>
      </w:tr>
    </w:tbl>
    <w:p w14:paraId="2E8618CA">
      <w:pPr>
        <w:keepNext w:val="0"/>
        <w:spacing w:before="120" w:after="120"/>
        <w:jc w:val="center"/>
      </w:pPr>
      <w:r>
        <w:rPr>
          <w:rFonts w:ascii="Times New Roman" w:hAnsi="Times New Roman"/>
          <w:b/>
          <w:sz w:val="20"/>
        </w:rPr>
        <w:t xml:space="preserve">Table 3.12: </w:t>
      </w:r>
      <w:r>
        <w:rPr>
          <w:rFonts w:ascii="Times New Roman" w:hAnsi="Times New Roman"/>
          <w:sz w:val="20"/>
        </w:rPr>
        <w:t>Frontend route structure</w:t>
      </w:r>
    </w:p>
    <w:p w14:paraId="5FD32EC4">
      <w:pPr>
        <w:spacing w:before="0" w:after="120" w:line="360" w:lineRule="auto"/>
        <w:ind w:firstLine="720"/>
        <w:jc w:val="both"/>
      </w:pPr>
      <w:r>
        <w:rPr>
          <w:rFonts w:ascii="Times New Roman" w:hAnsi="Times New Roman"/>
          <w:sz w:val="22"/>
        </w:rPr>
        <w:t>The interface follows a number of consistent design principles:</w:t>
      </w:r>
    </w:p>
    <w:p w14:paraId="1557CE29">
      <w:pPr>
        <w:pStyle w:val="23"/>
        <w:spacing w:after="40" w:line="360" w:lineRule="auto"/>
        <w:jc w:val="both"/>
      </w:pPr>
      <w:r>
        <w:rPr>
          <w:rFonts w:ascii="Times New Roman" w:hAnsi="Times New Roman"/>
          <w:sz w:val="22"/>
        </w:rPr>
        <w:t>A persistent educational-use banner is shown on every page ('For educational use only. Not for clinical decision-making, diagnosis, treatment or patient management.').</w:t>
      </w:r>
    </w:p>
    <w:p w14:paraId="68F2CFD5">
      <w:pPr>
        <w:pStyle w:val="23"/>
        <w:spacing w:after="40" w:line="360" w:lineRule="auto"/>
        <w:jc w:val="both"/>
      </w:pPr>
      <w:r>
        <w:rPr>
          <w:rFonts w:ascii="Times New Roman" w:hAnsi="Times New Roman"/>
          <w:sz w:val="22"/>
        </w:rPr>
        <w:t>The student always sees the CXR first and writes their interpretation before any AI output is shown. The submit button is the only way to reveal the feedback.</w:t>
      </w:r>
    </w:p>
    <w:p w14:paraId="029CE96F">
      <w:pPr>
        <w:pStyle w:val="23"/>
        <w:spacing w:after="40" w:line="360" w:lineRule="auto"/>
        <w:jc w:val="both"/>
      </w:pPr>
      <w:r>
        <w:rPr>
          <w:rFonts w:ascii="Times New Roman" w:hAnsi="Times New Roman"/>
          <w:sz w:val="22"/>
        </w:rPr>
        <w:t>The feedback view separates the model's primary finding (with a confidence percentage) from the key signs, the comparison with the student's answer, the missed clues and the learning point.</w:t>
      </w:r>
    </w:p>
    <w:p w14:paraId="63C7CAAD">
      <w:pPr>
        <w:pStyle w:val="23"/>
        <w:spacing w:after="40" w:line="360" w:lineRule="auto"/>
        <w:jc w:val="both"/>
      </w:pPr>
      <w:r>
        <w:rPr>
          <w:rFonts w:ascii="Times New Roman" w:hAnsi="Times New Roman"/>
          <w:sz w:val="22"/>
        </w:rPr>
        <w:t>Retrieved sources are listed as a collapsible 'Show evidence' panel so the RAG contribution is visible to the student and to the educator but does not dominate the screen.</w:t>
      </w:r>
    </w:p>
    <w:p w14:paraId="30A06253">
      <w:pPr>
        <w:pStyle w:val="23"/>
        <w:spacing w:after="40" w:line="360" w:lineRule="auto"/>
        <w:jc w:val="both"/>
      </w:pPr>
      <w:r>
        <w:rPr>
          <w:rFonts w:ascii="Times New Roman" w:hAnsi="Times New Roman"/>
          <w:sz w:val="22"/>
        </w:rPr>
        <w:t>The case list shows a 1:1 thumbnail and a demographics subtitle ('56-year-old male - AP view') so the student can scan a case before opening it.</w:t>
      </w:r>
    </w:p>
    <w:p w14:paraId="1E3441FE">
      <w:pPr>
        <w:pStyle w:val="23"/>
        <w:spacing w:after="40" w:line="360" w:lineRule="auto"/>
        <w:jc w:val="both"/>
      </w:pPr>
      <w:r>
        <w:rPr>
          <w:rFonts w:ascii="Times New Roman" w:hAnsi="Times New Roman"/>
          <w:sz w:val="22"/>
        </w:rPr>
        <w:t>The educator review screen presents a structured rubric: finding recognition, evidence grounding, clarity, learning usefulness, safety. Each criterion is on a 1-5 scale with a free-text comment field.</w:t>
      </w:r>
    </w:p>
    <w:p w14:paraId="644AA00F">
      <w:pPr>
        <w:keepNext/>
        <w:spacing w:before="120" w:after="120"/>
        <w:jc w:val="center"/>
      </w:pPr>
      <w:r>
        <w:rPr>
          <w:rFonts w:ascii="Times New Roman" w:hAnsi="Times New Roman"/>
          <w:b/>
          <w:sz w:val="20"/>
        </w:rPr>
        <w:t xml:space="preserve">Figure 3.7: </w:t>
      </w:r>
      <w:r>
        <w:rPr>
          <w:rFonts w:ascii="Times New Roman" w:hAnsi="Times New Roman"/>
          <w:sz w:val="20"/>
        </w:rPr>
        <w:t>Student workflow screen flow (login, case list, case, feedback).</w:t>
      </w:r>
    </w:p>
    <w:p w14:paraId="0BEA8738">
      <w:pPr>
        <w:spacing w:before="0" w:after="0"/>
        <w:jc w:val="center"/>
      </w:pPr>
      <w:r>
        <w:drawing>
          <wp:inline distT="0" distB="0" distL="114300" distR="114300">
            <wp:extent cx="5669280" cy="1889125"/>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5669280" cy="1889759"/>
                    </a:xfrm>
                    <a:prstGeom prst="rect">
                      <a:avLst/>
                    </a:prstGeom>
                  </pic:spPr>
                </pic:pic>
              </a:graphicData>
            </a:graphic>
          </wp:inline>
        </w:drawing>
      </w:r>
    </w:p>
    <w:p w14:paraId="10D1B4E3">
      <w:pPr>
        <w:keepNext/>
        <w:spacing w:before="120" w:after="120"/>
        <w:jc w:val="center"/>
      </w:pPr>
      <w:r>
        <w:rPr>
          <w:rFonts w:ascii="Times New Roman" w:hAnsi="Times New Roman"/>
          <w:b/>
          <w:sz w:val="20"/>
        </w:rPr>
        <w:t xml:space="preserve">Figure 3.8: </w:t>
      </w:r>
      <w:r>
        <w:rPr>
          <w:rFonts w:ascii="Times New Roman" w:hAnsi="Times New Roman"/>
          <w:sz w:val="20"/>
        </w:rPr>
        <w:t>Educator workflow screen flow (login, review queue, review form).</w:t>
      </w:r>
    </w:p>
    <w:p w14:paraId="0337930B">
      <w:pPr>
        <w:spacing w:before="0" w:after="0"/>
        <w:jc w:val="center"/>
      </w:pPr>
      <w:r>
        <w:drawing>
          <wp:inline distT="0" distB="0" distL="114300" distR="114300">
            <wp:extent cx="5212080" cy="18440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5212080" cy="1844274"/>
                    </a:xfrm>
                    <a:prstGeom prst="rect">
                      <a:avLst/>
                    </a:prstGeom>
                  </pic:spPr>
                </pic:pic>
              </a:graphicData>
            </a:graphic>
          </wp:inline>
        </w:drawing>
      </w:r>
    </w:p>
    <w:p w14:paraId="4ED5DD9F">
      <w:pPr>
        <w:pStyle w:val="3"/>
        <w:keepNext/>
        <w:spacing w:before="280" w:after="160"/>
        <w:jc w:val="left"/>
      </w:pPr>
      <w:r>
        <w:rPr>
          <w:rFonts w:ascii="Times New Roman" w:hAnsi="Times New Roman"/>
          <w:b/>
          <w:color w:val="000000"/>
          <w:sz w:val="28"/>
        </w:rPr>
        <w:t>3.4 Implementation</w:t>
      </w:r>
    </w:p>
    <w:p w14:paraId="2BC3C107">
      <w:pPr>
        <w:spacing w:before="0" w:after="120" w:line="360" w:lineRule="auto"/>
        <w:ind w:firstLine="720"/>
        <w:jc w:val="both"/>
      </w:pPr>
      <w:r>
        <w:rPr>
          <w:rFonts w:ascii="Times New Roman" w:hAnsi="Times New Roman"/>
          <w:sz w:val="22"/>
        </w:rPr>
        <w:t>The implementation phase turns the architecture into code. Figure 3.5 shows the component diagram; Figure 3.6 shows the deployment diagram. The backend is implemented in Python 3.11+ with FastAPI, SQLAlchemy 2, Pydantic 2 and PyJWT. The frontend is implemented in TypeScript with React 18, Vite, TanStack Query, react-hook-form and Zod. The Kaggle runtime is implemented as a small Flask app inside the notebook, wrapped by pyngrok and called through a single POST /generate endpoint.</w:t>
      </w:r>
    </w:p>
    <w:p w14:paraId="1F34187C">
      <w:pPr>
        <w:keepNext/>
        <w:spacing w:before="120" w:after="120"/>
        <w:jc w:val="center"/>
      </w:pPr>
      <w:r>
        <w:rPr>
          <w:rFonts w:ascii="Times New Roman" w:hAnsi="Times New Roman"/>
          <w:b/>
          <w:sz w:val="20"/>
        </w:rPr>
        <w:t xml:space="preserve">Figure 3.5: </w:t>
      </w:r>
      <w:r>
        <w:rPr>
          <w:rFonts w:ascii="Times New Roman" w:hAnsi="Times New Roman"/>
          <w:sz w:val="20"/>
        </w:rPr>
        <w:t>Component diagram of the artefact.</w:t>
      </w:r>
    </w:p>
    <w:p w14:paraId="1B81773E">
      <w:pPr>
        <w:spacing w:before="0" w:after="0"/>
        <w:jc w:val="center"/>
      </w:pPr>
      <w:r>
        <w:drawing>
          <wp:inline distT="0" distB="0" distL="114300" distR="114300">
            <wp:extent cx="5669280" cy="3212465"/>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6"/>
                    <a:stretch>
                      <a:fillRect/>
                    </a:stretch>
                  </pic:blipFill>
                  <pic:spPr>
                    <a:xfrm>
                      <a:off x="0" y="0"/>
                      <a:ext cx="5669280" cy="3212592"/>
                    </a:xfrm>
                    <a:prstGeom prst="rect">
                      <a:avLst/>
                    </a:prstGeom>
                  </pic:spPr>
                </pic:pic>
              </a:graphicData>
            </a:graphic>
          </wp:inline>
        </w:drawing>
      </w:r>
    </w:p>
    <w:p w14:paraId="1F1D42E4">
      <w:pPr>
        <w:keepNext/>
        <w:spacing w:before="120" w:after="120"/>
        <w:jc w:val="center"/>
      </w:pPr>
      <w:r>
        <w:rPr>
          <w:rFonts w:ascii="Times New Roman" w:hAnsi="Times New Roman"/>
          <w:b/>
          <w:sz w:val="20"/>
        </w:rPr>
        <w:t xml:space="preserve">Figure 3.6: </w:t>
      </w:r>
      <w:r>
        <w:rPr>
          <w:rFonts w:ascii="Times New Roman" w:hAnsi="Times New Roman"/>
          <w:sz w:val="20"/>
        </w:rPr>
        <w:t>Deployment diagram.</w:t>
      </w:r>
    </w:p>
    <w:p w14:paraId="6B4935C1">
      <w:pPr>
        <w:spacing w:before="0" w:after="0"/>
        <w:jc w:val="center"/>
      </w:pPr>
      <w:r>
        <w:drawing>
          <wp:inline distT="0" distB="0" distL="114300" distR="114300">
            <wp:extent cx="5669280" cy="28346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5669280" cy="2834640"/>
                    </a:xfrm>
                    <a:prstGeom prst="rect">
                      <a:avLst/>
                    </a:prstGeom>
                  </pic:spPr>
                </pic:pic>
              </a:graphicData>
            </a:graphic>
          </wp:inline>
        </w:drawing>
      </w:r>
    </w:p>
    <w:p w14:paraId="6545D863">
      <w:pPr>
        <w:spacing w:before="0" w:after="120" w:line="360" w:lineRule="auto"/>
        <w:ind w:firstLine="720"/>
        <w:jc w:val="both"/>
      </w:pPr>
      <w:r>
        <w:rPr>
          <w:rFonts w:ascii="Times New Roman" w:hAnsi="Times New Roman"/>
          <w:sz w:val="22"/>
        </w:rPr>
        <w:t>The implementation followed an iterative prototyping plan with short cycles (1-3 days each). Each cycle ended in a runnable artefact plus the unit and integration tests that cover the new behaviour. The implementation was tracked in a task list and reviewed with the project supervisor at the end of each cycle.</w:t>
      </w:r>
    </w:p>
    <w:p w14:paraId="102D9941">
      <w:pPr>
        <w:pStyle w:val="3"/>
        <w:keepNext/>
        <w:spacing w:before="280" w:after="160"/>
        <w:jc w:val="left"/>
      </w:pPr>
      <w:r>
        <w:rPr>
          <w:rFonts w:ascii="Times New Roman" w:hAnsi="Times New Roman"/>
          <w:b/>
          <w:color w:val="000000"/>
          <w:sz w:val="28"/>
        </w:rPr>
        <w:t>3.5 Testing</w:t>
      </w:r>
    </w:p>
    <w:p w14:paraId="4A2DC670">
      <w:pPr>
        <w:spacing w:before="0" w:after="120" w:line="360" w:lineRule="auto"/>
        <w:ind w:firstLine="720"/>
        <w:jc w:val="both"/>
      </w:pPr>
      <w:r>
        <w:rPr>
          <w:rFonts w:ascii="Times New Roman" w:hAnsi="Times New Roman"/>
          <w:sz w:val="22"/>
        </w:rPr>
        <w:t>The testing strategy follows a layered model: unit tests at the domain and infrastructure level, integration tests at the API and data pipeline level, and system tests at the end-to-end level. The mapping of test layers to test scope and tools is summarised in Table 3.13. The full test plan and the test cases are delivered as part of the companion artefact document (Chapter 4); this methodology section summarises the layers, the tooling and the achieved test counts.</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701"/>
        <w:gridCol w:w="3402"/>
        <w:gridCol w:w="2268"/>
        <w:gridCol w:w="1701"/>
      </w:tblGrid>
      <w:tr w14:paraId="45513F2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01" w:type="dxa"/>
          </w:tcPr>
          <w:p w14:paraId="67701BC1">
            <w:pPr>
              <w:spacing w:after="0"/>
              <w:jc w:val="center"/>
            </w:pPr>
            <w:r>
              <w:rPr>
                <w:rFonts w:ascii="Times New Roman" w:hAnsi="Times New Roman"/>
                <w:b/>
                <w:sz w:val="22"/>
              </w:rPr>
              <w:t>Layer</w:t>
            </w:r>
          </w:p>
        </w:tc>
        <w:tc>
          <w:tcPr>
            <w:tcW w:w="3402" w:type="dxa"/>
          </w:tcPr>
          <w:p w14:paraId="6AB4A0C0">
            <w:pPr>
              <w:spacing w:after="0"/>
              <w:jc w:val="center"/>
            </w:pPr>
            <w:r>
              <w:rPr>
                <w:rFonts w:ascii="Times New Roman" w:hAnsi="Times New Roman"/>
                <w:b/>
                <w:sz w:val="22"/>
              </w:rPr>
              <w:t>Scope</w:t>
            </w:r>
          </w:p>
        </w:tc>
        <w:tc>
          <w:tcPr>
            <w:tcW w:w="2268" w:type="dxa"/>
          </w:tcPr>
          <w:p w14:paraId="7F22E543">
            <w:pPr>
              <w:spacing w:after="0"/>
              <w:jc w:val="center"/>
            </w:pPr>
            <w:r>
              <w:rPr>
                <w:rFonts w:ascii="Times New Roman" w:hAnsi="Times New Roman"/>
                <w:b/>
                <w:sz w:val="22"/>
              </w:rPr>
              <w:t>Tool</w:t>
            </w:r>
          </w:p>
        </w:tc>
        <w:tc>
          <w:tcPr>
            <w:tcW w:w="1701" w:type="dxa"/>
          </w:tcPr>
          <w:p w14:paraId="475EB851">
            <w:pPr>
              <w:spacing w:after="0"/>
              <w:jc w:val="center"/>
            </w:pPr>
            <w:r>
              <w:rPr>
                <w:rFonts w:ascii="Times New Roman" w:hAnsi="Times New Roman"/>
                <w:b/>
                <w:sz w:val="22"/>
              </w:rPr>
              <w:t>Run-time</w:t>
            </w:r>
          </w:p>
        </w:tc>
      </w:tr>
      <w:tr w14:paraId="3B16752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01" w:type="dxa"/>
          </w:tcPr>
          <w:p w14:paraId="5FBA82A2">
            <w:pPr>
              <w:spacing w:after="0"/>
              <w:jc w:val="left"/>
            </w:pPr>
            <w:r>
              <w:rPr>
                <w:rFonts w:ascii="Times New Roman" w:hAnsi="Times New Roman"/>
                <w:sz w:val="22"/>
              </w:rPr>
              <w:t>Unit (domain)</w:t>
            </w:r>
          </w:p>
        </w:tc>
        <w:tc>
          <w:tcPr>
            <w:tcW w:w="3402" w:type="dxa"/>
          </w:tcPr>
          <w:p w14:paraId="6757EEBE">
            <w:pPr>
              <w:spacing w:after="0"/>
              <w:jc w:val="left"/>
            </w:pPr>
            <w:r>
              <w:rPr>
                <w:rFonts w:ascii="Times New Roman" w:hAnsi="Times New Roman"/>
                <w:sz w:val="22"/>
              </w:rPr>
              <w:t>Entities, value objects, ports</w:t>
            </w:r>
          </w:p>
        </w:tc>
        <w:tc>
          <w:tcPr>
            <w:tcW w:w="2268" w:type="dxa"/>
          </w:tcPr>
          <w:p w14:paraId="391B001F">
            <w:pPr>
              <w:spacing w:after="0"/>
              <w:jc w:val="left"/>
            </w:pPr>
            <w:r>
              <w:rPr>
                <w:rFonts w:ascii="Times New Roman" w:hAnsi="Times New Roman"/>
                <w:sz w:val="22"/>
              </w:rPr>
              <w:t>pytest</w:t>
            </w:r>
          </w:p>
        </w:tc>
        <w:tc>
          <w:tcPr>
            <w:tcW w:w="1701" w:type="dxa"/>
          </w:tcPr>
          <w:p w14:paraId="0CEEB544">
            <w:pPr>
              <w:spacing w:after="0"/>
              <w:jc w:val="left"/>
            </w:pPr>
            <w:r>
              <w:rPr>
                <w:rFonts w:ascii="Times New Roman" w:hAnsi="Times New Roman"/>
                <w:sz w:val="22"/>
              </w:rPr>
              <w:t>&lt; 1 s</w:t>
            </w:r>
          </w:p>
        </w:tc>
      </w:tr>
      <w:tr w14:paraId="55EAA82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01" w:type="dxa"/>
          </w:tcPr>
          <w:p w14:paraId="1698714D">
            <w:pPr>
              <w:spacing w:after="0"/>
              <w:jc w:val="left"/>
            </w:pPr>
            <w:r>
              <w:rPr>
                <w:rFonts w:ascii="Times New Roman" w:hAnsi="Times New Roman"/>
                <w:sz w:val="22"/>
              </w:rPr>
              <w:t>Unit (application)</w:t>
            </w:r>
          </w:p>
        </w:tc>
        <w:tc>
          <w:tcPr>
            <w:tcW w:w="3402" w:type="dxa"/>
          </w:tcPr>
          <w:p w14:paraId="01B2D57A">
            <w:pPr>
              <w:spacing w:after="0"/>
              <w:jc w:val="left"/>
            </w:pPr>
            <w:r>
              <w:rPr>
                <w:rFonts w:ascii="Times New Roman" w:hAnsi="Times New Roman"/>
                <w:sz w:val="22"/>
              </w:rPr>
              <w:t>Use cases, with fake ports</w:t>
            </w:r>
          </w:p>
        </w:tc>
        <w:tc>
          <w:tcPr>
            <w:tcW w:w="2268" w:type="dxa"/>
          </w:tcPr>
          <w:p w14:paraId="0BD5A8B4">
            <w:pPr>
              <w:spacing w:after="0"/>
              <w:jc w:val="left"/>
            </w:pPr>
            <w:r>
              <w:rPr>
                <w:rFonts w:ascii="Times New Roman" w:hAnsi="Times New Roman"/>
                <w:sz w:val="22"/>
              </w:rPr>
              <w:t>pytest</w:t>
            </w:r>
          </w:p>
        </w:tc>
        <w:tc>
          <w:tcPr>
            <w:tcW w:w="1701" w:type="dxa"/>
          </w:tcPr>
          <w:p w14:paraId="2AC19B17">
            <w:pPr>
              <w:spacing w:after="0"/>
              <w:jc w:val="left"/>
            </w:pPr>
            <w:r>
              <w:rPr>
                <w:rFonts w:ascii="Times New Roman" w:hAnsi="Times New Roman"/>
                <w:sz w:val="22"/>
              </w:rPr>
              <w:t>&lt; 1 s</w:t>
            </w:r>
          </w:p>
        </w:tc>
      </w:tr>
      <w:tr w14:paraId="6D3F9E2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01" w:type="dxa"/>
          </w:tcPr>
          <w:p w14:paraId="47DA86B5">
            <w:pPr>
              <w:spacing w:after="0"/>
              <w:jc w:val="left"/>
            </w:pPr>
            <w:r>
              <w:rPr>
                <w:rFonts w:ascii="Times New Roman" w:hAnsi="Times New Roman"/>
                <w:sz w:val="22"/>
              </w:rPr>
              <w:t>Unit (infrastructure)</w:t>
            </w:r>
          </w:p>
        </w:tc>
        <w:tc>
          <w:tcPr>
            <w:tcW w:w="3402" w:type="dxa"/>
          </w:tcPr>
          <w:p w14:paraId="4FD77EEF">
            <w:pPr>
              <w:spacing w:after="0"/>
              <w:jc w:val="left"/>
            </w:pPr>
            <w:r>
              <w:rPr>
                <w:rFonts w:ascii="Times New Roman" w:hAnsi="Times New Roman"/>
                <w:sz w:val="22"/>
              </w:rPr>
              <w:t>Repos, parsers, auth, ML adapters, retrievers, eval harness</w:t>
            </w:r>
          </w:p>
        </w:tc>
        <w:tc>
          <w:tcPr>
            <w:tcW w:w="2268" w:type="dxa"/>
          </w:tcPr>
          <w:p w14:paraId="2110985F">
            <w:pPr>
              <w:spacing w:after="0"/>
              <w:jc w:val="left"/>
            </w:pPr>
            <w:r>
              <w:rPr>
                <w:rFonts w:ascii="Times New Roman" w:hAnsi="Times New Roman"/>
                <w:sz w:val="22"/>
              </w:rPr>
              <w:t>pytest</w:t>
            </w:r>
          </w:p>
        </w:tc>
        <w:tc>
          <w:tcPr>
            <w:tcW w:w="1701" w:type="dxa"/>
          </w:tcPr>
          <w:p w14:paraId="38C319A8">
            <w:pPr>
              <w:spacing w:after="0"/>
              <w:jc w:val="left"/>
            </w:pPr>
            <w:r>
              <w:rPr>
                <w:rFonts w:ascii="Times New Roman" w:hAnsi="Times New Roman"/>
                <w:sz w:val="22"/>
              </w:rPr>
              <w:t>&lt; 5 s</w:t>
            </w:r>
          </w:p>
        </w:tc>
      </w:tr>
      <w:tr w14:paraId="4EE2964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01" w:type="dxa"/>
          </w:tcPr>
          <w:p w14:paraId="532CC1A8">
            <w:pPr>
              <w:spacing w:after="0"/>
              <w:jc w:val="left"/>
            </w:pPr>
            <w:r>
              <w:rPr>
                <w:rFonts w:ascii="Times New Roman" w:hAnsi="Times New Roman"/>
                <w:sz w:val="22"/>
              </w:rPr>
              <w:t>Unit (interfaces)</w:t>
            </w:r>
          </w:p>
        </w:tc>
        <w:tc>
          <w:tcPr>
            <w:tcW w:w="3402" w:type="dxa"/>
          </w:tcPr>
          <w:p w14:paraId="1285936E">
            <w:pPr>
              <w:spacing w:after="0"/>
              <w:jc w:val="left"/>
            </w:pPr>
            <w:r>
              <w:rPr>
                <w:rFonts w:ascii="Times New Roman" w:hAnsi="Times New Roman"/>
                <w:sz w:val="22"/>
              </w:rPr>
              <w:t>Routes, exception handlers, schemas</w:t>
            </w:r>
          </w:p>
        </w:tc>
        <w:tc>
          <w:tcPr>
            <w:tcW w:w="2268" w:type="dxa"/>
          </w:tcPr>
          <w:p w14:paraId="2F9C4CE5">
            <w:pPr>
              <w:spacing w:after="0"/>
              <w:jc w:val="left"/>
            </w:pPr>
            <w:r>
              <w:rPr>
                <w:rFonts w:ascii="Times New Roman" w:hAnsi="Times New Roman"/>
                <w:sz w:val="22"/>
              </w:rPr>
              <w:t>pytest + httpx.AsyncClient</w:t>
            </w:r>
          </w:p>
        </w:tc>
        <w:tc>
          <w:tcPr>
            <w:tcW w:w="1701" w:type="dxa"/>
          </w:tcPr>
          <w:p w14:paraId="149A6620">
            <w:pPr>
              <w:spacing w:after="0"/>
              <w:jc w:val="left"/>
            </w:pPr>
            <w:r>
              <w:rPr>
                <w:rFonts w:ascii="Times New Roman" w:hAnsi="Times New Roman"/>
                <w:sz w:val="22"/>
              </w:rPr>
              <w:t>&lt; 5 s</w:t>
            </w:r>
          </w:p>
        </w:tc>
      </w:tr>
      <w:tr w14:paraId="76FFCBE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01" w:type="dxa"/>
          </w:tcPr>
          <w:p w14:paraId="231B6035">
            <w:pPr>
              <w:spacing w:after="0"/>
              <w:jc w:val="left"/>
            </w:pPr>
            <w:r>
              <w:rPr>
                <w:rFonts w:ascii="Times New Roman" w:hAnsi="Times New Roman"/>
                <w:sz w:val="22"/>
              </w:rPr>
              <w:t>Integration</w:t>
            </w:r>
          </w:p>
        </w:tc>
        <w:tc>
          <w:tcPr>
            <w:tcW w:w="3402" w:type="dxa"/>
          </w:tcPr>
          <w:p w14:paraId="7E7752A8">
            <w:pPr>
              <w:spacing w:after="0"/>
              <w:jc w:val="left"/>
            </w:pPr>
            <w:r>
              <w:rPr>
                <w:rFonts w:ascii="Times New Roman" w:hAnsi="Times New Roman"/>
                <w:sz w:val="22"/>
              </w:rPr>
              <w:t>End-to-end API with fake IMedGemmaClient and in-memory repos; auth roundtrip; attempt -&gt; feedback; review queue</w:t>
            </w:r>
          </w:p>
        </w:tc>
        <w:tc>
          <w:tcPr>
            <w:tcW w:w="2268" w:type="dxa"/>
          </w:tcPr>
          <w:p w14:paraId="2BFC3DC2">
            <w:pPr>
              <w:spacing w:after="0"/>
              <w:jc w:val="left"/>
            </w:pPr>
            <w:r>
              <w:rPr>
                <w:rFonts w:ascii="Times New Roman" w:hAnsi="Times New Roman"/>
                <w:sz w:val="22"/>
              </w:rPr>
              <w:t>pytest + httpx.AsyncClient</w:t>
            </w:r>
          </w:p>
        </w:tc>
        <w:tc>
          <w:tcPr>
            <w:tcW w:w="1701" w:type="dxa"/>
          </w:tcPr>
          <w:p w14:paraId="39BE8494">
            <w:pPr>
              <w:spacing w:after="0"/>
              <w:jc w:val="left"/>
            </w:pPr>
            <w:r>
              <w:rPr>
                <w:rFonts w:ascii="Times New Roman" w:hAnsi="Times New Roman"/>
                <w:sz w:val="22"/>
              </w:rPr>
              <w:t>&lt; 10 s</w:t>
            </w:r>
          </w:p>
        </w:tc>
      </w:tr>
      <w:tr w14:paraId="5F9BBE1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01" w:type="dxa"/>
          </w:tcPr>
          <w:p w14:paraId="04EA118E">
            <w:pPr>
              <w:spacing w:after="0"/>
              <w:jc w:val="left"/>
            </w:pPr>
            <w:r>
              <w:rPr>
                <w:rFonts w:ascii="Times New Roman" w:hAnsi="Times New Roman"/>
                <w:sz w:val="22"/>
              </w:rPr>
              <w:t>Integration (data)</w:t>
            </w:r>
          </w:p>
        </w:tc>
        <w:tc>
          <w:tcPr>
            <w:tcW w:w="3402" w:type="dxa"/>
          </w:tcPr>
          <w:p w14:paraId="378602CF">
            <w:pPr>
              <w:spacing w:after="0"/>
              <w:jc w:val="left"/>
            </w:pPr>
            <w:r>
              <w:rPr>
                <w:rFonts w:ascii="Times New Roman" w:hAnsi="Times New Roman"/>
                <w:sz w:val="22"/>
              </w:rPr>
              <w:t>NIH loader, manifest builder, image download</w:t>
            </w:r>
          </w:p>
        </w:tc>
        <w:tc>
          <w:tcPr>
            <w:tcW w:w="2268" w:type="dxa"/>
          </w:tcPr>
          <w:p w14:paraId="2C3F28BB">
            <w:pPr>
              <w:spacing w:after="0"/>
              <w:jc w:val="left"/>
            </w:pPr>
            <w:r>
              <w:rPr>
                <w:rFonts w:ascii="Times New Roman" w:hAnsi="Times New Roman"/>
                <w:sz w:val="22"/>
              </w:rPr>
              <w:t>pytest, real NIH subset</w:t>
            </w:r>
          </w:p>
        </w:tc>
        <w:tc>
          <w:tcPr>
            <w:tcW w:w="1701" w:type="dxa"/>
          </w:tcPr>
          <w:p w14:paraId="704AF7B9">
            <w:pPr>
              <w:spacing w:after="0"/>
              <w:jc w:val="left"/>
            </w:pPr>
            <w:r>
              <w:rPr>
                <w:rFonts w:ascii="Times New Roman" w:hAnsi="Times New Roman"/>
                <w:sz w:val="22"/>
              </w:rPr>
              <w:t>&lt; 60 s</w:t>
            </w:r>
          </w:p>
        </w:tc>
      </w:tr>
      <w:tr w14:paraId="3B9B61B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01" w:type="dxa"/>
          </w:tcPr>
          <w:p w14:paraId="0345D04E">
            <w:pPr>
              <w:spacing w:after="0"/>
              <w:jc w:val="left"/>
            </w:pPr>
            <w:r>
              <w:rPr>
                <w:rFonts w:ascii="Times New Roman" w:hAnsi="Times New Roman"/>
                <w:sz w:val="22"/>
              </w:rPr>
              <w:t>Golden</w:t>
            </w:r>
          </w:p>
        </w:tc>
        <w:tc>
          <w:tcPr>
            <w:tcW w:w="3402" w:type="dxa"/>
          </w:tcPr>
          <w:p w14:paraId="4975A0DD">
            <w:pPr>
              <w:spacing w:after="0"/>
              <w:jc w:val="left"/>
            </w:pPr>
            <w:r>
              <w:rPr>
                <w:rFonts w:ascii="Times New Roman" w:hAnsi="Times New Roman"/>
                <w:sz w:val="22"/>
              </w:rPr>
              <w:t>Prompt-builder and output-parser against golden JSON</w:t>
            </w:r>
          </w:p>
        </w:tc>
        <w:tc>
          <w:tcPr>
            <w:tcW w:w="2268" w:type="dxa"/>
          </w:tcPr>
          <w:p w14:paraId="1D2C7991">
            <w:pPr>
              <w:spacing w:after="0"/>
              <w:jc w:val="left"/>
            </w:pPr>
            <w:r>
              <w:rPr>
                <w:rFonts w:ascii="Times New Roman" w:hAnsi="Times New Roman"/>
                <w:sz w:val="22"/>
              </w:rPr>
              <w:t>pytest</w:t>
            </w:r>
          </w:p>
        </w:tc>
        <w:tc>
          <w:tcPr>
            <w:tcW w:w="1701" w:type="dxa"/>
          </w:tcPr>
          <w:p w14:paraId="05402783">
            <w:pPr>
              <w:spacing w:after="0"/>
              <w:jc w:val="left"/>
            </w:pPr>
            <w:r>
              <w:rPr>
                <w:rFonts w:ascii="Times New Roman" w:hAnsi="Times New Roman"/>
                <w:sz w:val="22"/>
              </w:rPr>
              <w:t>&lt; 1 s</w:t>
            </w:r>
          </w:p>
        </w:tc>
      </w:tr>
      <w:tr w14:paraId="406B2E0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01" w:type="dxa"/>
          </w:tcPr>
          <w:p w14:paraId="70381F7A">
            <w:pPr>
              <w:spacing w:after="0"/>
              <w:jc w:val="left"/>
            </w:pPr>
            <w:r>
              <w:rPr>
                <w:rFonts w:ascii="Times New Roman" w:hAnsi="Times New Roman"/>
                <w:sz w:val="22"/>
              </w:rPr>
              <w:t>System (manual)</w:t>
            </w:r>
          </w:p>
        </w:tc>
        <w:tc>
          <w:tcPr>
            <w:tcW w:w="3402" w:type="dxa"/>
          </w:tcPr>
          <w:p w14:paraId="3C3C6958">
            <w:pPr>
              <w:spacing w:after="0"/>
              <w:jc w:val="left"/>
            </w:pPr>
            <w:r>
              <w:rPr>
                <w:rFonts w:ascii="Times New Roman" w:hAnsi="Times New Roman"/>
                <w:sz w:val="22"/>
              </w:rPr>
              <w:t>Vite dev server, FastAPI, dry-run analyzer, real CXR case, manual submission of free text</w:t>
            </w:r>
          </w:p>
        </w:tc>
        <w:tc>
          <w:tcPr>
            <w:tcW w:w="2268" w:type="dxa"/>
          </w:tcPr>
          <w:p w14:paraId="6568F9C0">
            <w:pPr>
              <w:spacing w:after="0"/>
              <w:jc w:val="left"/>
            </w:pPr>
            <w:r>
              <w:rPr>
                <w:rFonts w:ascii="Times New Roman" w:hAnsi="Times New Roman"/>
                <w:sz w:val="22"/>
              </w:rPr>
              <w:t>manual smoke test</w:t>
            </w:r>
          </w:p>
        </w:tc>
        <w:tc>
          <w:tcPr>
            <w:tcW w:w="1701" w:type="dxa"/>
          </w:tcPr>
          <w:p w14:paraId="38706EF0">
            <w:pPr>
              <w:spacing w:after="0"/>
              <w:jc w:val="left"/>
            </w:pPr>
            <w:r>
              <w:rPr>
                <w:rFonts w:ascii="Times New Roman" w:hAnsi="Times New Roman"/>
                <w:sz w:val="22"/>
              </w:rPr>
              <w:t>manual</w:t>
            </w:r>
          </w:p>
        </w:tc>
      </w:tr>
      <w:tr w14:paraId="5D37763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01" w:type="dxa"/>
          </w:tcPr>
          <w:p w14:paraId="56737D49">
            <w:pPr>
              <w:spacing w:after="0"/>
              <w:jc w:val="left"/>
            </w:pPr>
            <w:r>
              <w:rPr>
                <w:rFonts w:ascii="Times New Roman" w:hAnsi="Times New Roman"/>
                <w:sz w:val="22"/>
              </w:rPr>
              <w:t>Evaluation</w:t>
            </w:r>
          </w:p>
        </w:tc>
        <w:tc>
          <w:tcPr>
            <w:tcW w:w="3402" w:type="dxa"/>
          </w:tcPr>
          <w:p w14:paraId="3EBF6768">
            <w:pPr>
              <w:spacing w:after="0"/>
              <w:jc w:val="left"/>
            </w:pPr>
            <w:r>
              <w:rPr>
                <w:rFonts w:ascii="Times New Roman" w:hAnsi="Times New Roman"/>
                <w:sz w:val="22"/>
              </w:rPr>
              <w:t>Phase 1 metrics on the curated subset</w:t>
            </w:r>
          </w:p>
        </w:tc>
        <w:tc>
          <w:tcPr>
            <w:tcW w:w="2268" w:type="dxa"/>
          </w:tcPr>
          <w:p w14:paraId="435DD1C0">
            <w:pPr>
              <w:spacing w:after="0"/>
              <w:jc w:val="left"/>
            </w:pPr>
            <w:r>
              <w:rPr>
                <w:rFonts w:ascii="Times New Roman" w:hAnsi="Times New Roman"/>
                <w:sz w:val="22"/>
              </w:rPr>
              <w:t>scripts/run_eval.py</w:t>
            </w:r>
          </w:p>
        </w:tc>
        <w:tc>
          <w:tcPr>
            <w:tcW w:w="1701" w:type="dxa"/>
          </w:tcPr>
          <w:p w14:paraId="1758EEA6">
            <w:pPr>
              <w:spacing w:after="0"/>
              <w:jc w:val="left"/>
            </w:pPr>
            <w:r>
              <w:rPr>
                <w:rFonts w:ascii="Times New Roman" w:hAnsi="Times New Roman"/>
                <w:sz w:val="22"/>
              </w:rPr>
              <w:t>&lt; 5 min (dry-run)</w:t>
            </w:r>
          </w:p>
        </w:tc>
      </w:tr>
    </w:tbl>
    <w:p w14:paraId="6F68E59B">
      <w:pPr>
        <w:keepNext w:val="0"/>
        <w:spacing w:before="120" w:after="120"/>
        <w:jc w:val="center"/>
      </w:pPr>
      <w:r>
        <w:rPr>
          <w:rFonts w:ascii="Times New Roman" w:hAnsi="Times New Roman"/>
          <w:b/>
          <w:sz w:val="20"/>
        </w:rPr>
        <w:t xml:space="preserve">Table 3.13: </w:t>
      </w:r>
      <w:r>
        <w:rPr>
          <w:rFonts w:ascii="Times New Roman" w:hAnsi="Times New Roman"/>
          <w:sz w:val="20"/>
        </w:rPr>
        <w:t>Mapping of test layers to test scope and tools</w:t>
      </w:r>
    </w:p>
    <w:p w14:paraId="0A1B796A">
      <w:pPr>
        <w:pStyle w:val="4"/>
        <w:keepNext/>
        <w:spacing w:before="200" w:after="120"/>
        <w:jc w:val="left"/>
      </w:pPr>
      <w:r>
        <w:rPr>
          <w:rFonts w:ascii="Times New Roman" w:hAnsi="Times New Roman"/>
          <w:b/>
          <w:color w:val="000000"/>
          <w:sz w:val="24"/>
        </w:rPr>
        <w:t>3.5.1 Unit Testing</w:t>
      </w:r>
    </w:p>
    <w:p w14:paraId="75168C45">
      <w:pPr>
        <w:spacing w:before="0" w:after="120" w:line="360" w:lineRule="auto"/>
        <w:ind w:firstLine="720"/>
        <w:jc w:val="both"/>
      </w:pPr>
      <w:r>
        <w:rPr>
          <w:rFonts w:ascii="Times New Roman" w:hAnsi="Times New Roman"/>
          <w:sz w:val="22"/>
        </w:rPr>
        <w:t>Unit tests cover the domain layer (entities, value objects, ports), the application layer (use cases with fake ports), the infrastructure layer (repos, parsers, auth, ML adapters, retrievers, eval harness) and the interfaces layer (routes, exception handlers, schemas). The unit tests are organised to mirror the source tree under backend/tests/. A single pytest invocation runs the full unit test suite in under five seconds and produces a coverage report for the domain and application layers.</w:t>
      </w:r>
    </w:p>
    <w:p w14:paraId="6638F156">
      <w:pPr>
        <w:pStyle w:val="4"/>
        <w:keepNext/>
        <w:spacing w:before="200" w:after="120"/>
        <w:jc w:val="left"/>
      </w:pPr>
      <w:r>
        <w:rPr>
          <w:rFonts w:ascii="Times New Roman" w:hAnsi="Times New Roman"/>
          <w:b/>
          <w:color w:val="000000"/>
          <w:sz w:val="24"/>
        </w:rPr>
        <w:t>3.5.2 Integration Testing</w:t>
      </w:r>
    </w:p>
    <w:p w14:paraId="2DD4EF45">
      <w:pPr>
        <w:spacing w:before="0" w:after="120" w:line="360" w:lineRule="auto"/>
        <w:ind w:firstLine="720"/>
        <w:jc w:val="both"/>
      </w:pPr>
      <w:r>
        <w:rPr>
          <w:rFonts w:ascii="Times New Roman" w:hAnsi="Times New Roman"/>
          <w:sz w:val="22"/>
        </w:rPr>
        <w:t>Integration tests focus on whether the set of modules function together without error. The auth roundtrip (register -&gt; login -&gt; me) is covered, as is the role guard (a student cannot POST a review, an unauthenticated request is rejected). The attempt -&gt; feedback roundtrip is exercised end-to-end with a fake IMedGemmaClient that returns a fixed JSON payload; the test asserts that the response contains the expected feedback fields. The data-pipeline integration test downloads a small NIH subset, builds the manifest and asserts the per-finding counts.</w:t>
      </w:r>
    </w:p>
    <w:p w14:paraId="2898BD14">
      <w:pPr>
        <w:pStyle w:val="4"/>
        <w:keepNext/>
        <w:spacing w:before="200" w:after="120"/>
        <w:jc w:val="left"/>
      </w:pPr>
      <w:r>
        <w:rPr>
          <w:rFonts w:ascii="Times New Roman" w:hAnsi="Times New Roman"/>
          <w:b/>
          <w:color w:val="000000"/>
          <w:sz w:val="24"/>
        </w:rPr>
        <w:t>3.5.3 System Testing</w:t>
      </w:r>
    </w:p>
    <w:p w14:paraId="515676E3">
      <w:pPr>
        <w:spacing w:before="0" w:after="120" w:line="360" w:lineRule="auto"/>
        <w:ind w:firstLine="720"/>
        <w:jc w:val="both"/>
      </w:pPr>
      <w:r>
        <w:rPr>
          <w:rFonts w:ascii="Times New Roman" w:hAnsi="Times New Roman"/>
          <w:sz w:val="22"/>
        </w:rPr>
        <w:t>System testing verifies that the system as a whole meets the functional and non-functional requirements. The artefact is exercised end-to-end through a manual smoke test: the developer starts the FastAPI backend and the Vite dev server, opens the SPA, registers a student, opens a case, submits a free-text interpretation, and verifies that the structured feedback is returned. The Phase 1 evaluation harness (scripts/run_eval.py) is then run on the curated subset to produce a quantitative report (structure validity, finding recognition, per-finding breakdown, latency, token usage). The achieved test counts at the end of the implementation phase are summarised in Table 3.14.</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3969"/>
        <w:gridCol w:w="1701"/>
        <w:gridCol w:w="3402"/>
      </w:tblGrid>
      <w:tr w14:paraId="6123547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969" w:type="dxa"/>
          </w:tcPr>
          <w:p w14:paraId="66283F80">
            <w:pPr>
              <w:spacing w:after="0"/>
              <w:jc w:val="center"/>
            </w:pPr>
            <w:r>
              <w:rPr>
                <w:rFonts w:ascii="Times New Roman" w:hAnsi="Times New Roman"/>
                <w:b/>
                <w:sz w:val="22"/>
              </w:rPr>
              <w:t>Layer</w:t>
            </w:r>
          </w:p>
        </w:tc>
        <w:tc>
          <w:tcPr>
            <w:tcW w:w="1701" w:type="dxa"/>
          </w:tcPr>
          <w:p w14:paraId="72280F9F">
            <w:pPr>
              <w:spacing w:after="0"/>
              <w:jc w:val="center"/>
            </w:pPr>
            <w:r>
              <w:rPr>
                <w:rFonts w:ascii="Times New Roman" w:hAnsi="Times New Roman"/>
                <w:b/>
                <w:sz w:val="22"/>
              </w:rPr>
              <w:t>Number of tests</w:t>
            </w:r>
          </w:p>
        </w:tc>
        <w:tc>
          <w:tcPr>
            <w:tcW w:w="3402" w:type="dxa"/>
          </w:tcPr>
          <w:p w14:paraId="7A30C97C">
            <w:pPr>
              <w:spacing w:after="0"/>
              <w:jc w:val="center"/>
            </w:pPr>
            <w:r>
              <w:rPr>
                <w:rFonts w:ascii="Times New Roman" w:hAnsi="Times New Roman"/>
                <w:b/>
                <w:sz w:val="22"/>
              </w:rPr>
              <w:t>Result</w:t>
            </w:r>
          </w:p>
        </w:tc>
      </w:tr>
      <w:tr w14:paraId="35C4E94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969" w:type="dxa"/>
          </w:tcPr>
          <w:p w14:paraId="18E28775">
            <w:pPr>
              <w:spacing w:after="0"/>
              <w:jc w:val="left"/>
            </w:pPr>
            <w:r>
              <w:rPr>
                <w:rFonts w:ascii="Times New Roman" w:hAnsi="Times New Roman"/>
                <w:sz w:val="22"/>
              </w:rPr>
              <w:t>Domain unit tests</w:t>
            </w:r>
          </w:p>
        </w:tc>
        <w:tc>
          <w:tcPr>
            <w:tcW w:w="1701" w:type="dxa"/>
          </w:tcPr>
          <w:p w14:paraId="30B81014">
            <w:pPr>
              <w:spacing w:after="0"/>
              <w:jc w:val="left"/>
            </w:pPr>
            <w:r>
              <w:rPr>
                <w:rFonts w:ascii="Times New Roman" w:hAnsi="Times New Roman"/>
                <w:sz w:val="22"/>
              </w:rPr>
              <w:t>85</w:t>
            </w:r>
          </w:p>
        </w:tc>
        <w:tc>
          <w:tcPr>
            <w:tcW w:w="3402" w:type="dxa"/>
          </w:tcPr>
          <w:p w14:paraId="73CB5839">
            <w:pPr>
              <w:spacing w:after="0"/>
              <w:jc w:val="left"/>
            </w:pPr>
            <w:r>
              <w:rPr>
                <w:rFonts w:ascii="Times New Roman" w:hAnsi="Times New Roman"/>
                <w:sz w:val="22"/>
              </w:rPr>
              <w:t>Pass</w:t>
            </w:r>
          </w:p>
        </w:tc>
      </w:tr>
      <w:tr w14:paraId="4C5F73D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969" w:type="dxa"/>
          </w:tcPr>
          <w:p w14:paraId="3BF7A1C3">
            <w:pPr>
              <w:spacing w:after="0"/>
              <w:jc w:val="left"/>
            </w:pPr>
            <w:r>
              <w:rPr>
                <w:rFonts w:ascii="Times New Roman" w:hAnsi="Times New Roman"/>
                <w:sz w:val="22"/>
              </w:rPr>
              <w:t>Application unit tests</w:t>
            </w:r>
          </w:p>
        </w:tc>
        <w:tc>
          <w:tcPr>
            <w:tcW w:w="1701" w:type="dxa"/>
          </w:tcPr>
          <w:p w14:paraId="24C378FD">
            <w:pPr>
              <w:spacing w:after="0"/>
              <w:jc w:val="left"/>
            </w:pPr>
            <w:r>
              <w:rPr>
                <w:rFonts w:ascii="Times New Roman" w:hAnsi="Times New Roman"/>
                <w:sz w:val="22"/>
              </w:rPr>
              <w:t>37</w:t>
            </w:r>
          </w:p>
        </w:tc>
        <w:tc>
          <w:tcPr>
            <w:tcW w:w="3402" w:type="dxa"/>
          </w:tcPr>
          <w:p w14:paraId="353F27F0">
            <w:pPr>
              <w:spacing w:after="0"/>
              <w:jc w:val="left"/>
            </w:pPr>
            <w:r>
              <w:rPr>
                <w:rFonts w:ascii="Times New Roman" w:hAnsi="Times New Roman"/>
                <w:sz w:val="22"/>
              </w:rPr>
              <w:t>Pass</w:t>
            </w:r>
          </w:p>
        </w:tc>
      </w:tr>
      <w:tr w14:paraId="6041AD8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969" w:type="dxa"/>
          </w:tcPr>
          <w:p w14:paraId="4BC8240B">
            <w:pPr>
              <w:spacing w:after="0"/>
              <w:jc w:val="left"/>
            </w:pPr>
            <w:r>
              <w:rPr>
                <w:rFonts w:ascii="Times New Roman" w:hAnsi="Times New Roman"/>
                <w:sz w:val="22"/>
              </w:rPr>
              <w:t>Infrastructure unit tests</w:t>
            </w:r>
          </w:p>
        </w:tc>
        <w:tc>
          <w:tcPr>
            <w:tcW w:w="1701" w:type="dxa"/>
          </w:tcPr>
          <w:p w14:paraId="4C9313F8">
            <w:pPr>
              <w:spacing w:after="0"/>
              <w:jc w:val="left"/>
            </w:pPr>
            <w:r>
              <w:rPr>
                <w:rFonts w:ascii="Times New Roman" w:hAnsi="Times New Roman"/>
                <w:sz w:val="22"/>
              </w:rPr>
              <w:t>92</w:t>
            </w:r>
          </w:p>
        </w:tc>
        <w:tc>
          <w:tcPr>
            <w:tcW w:w="3402" w:type="dxa"/>
          </w:tcPr>
          <w:p w14:paraId="4353A98D">
            <w:pPr>
              <w:spacing w:after="0"/>
              <w:jc w:val="left"/>
            </w:pPr>
            <w:r>
              <w:rPr>
                <w:rFonts w:ascii="Times New Roman" w:hAnsi="Times New Roman"/>
                <w:sz w:val="22"/>
              </w:rPr>
              <w:t>Pass</w:t>
            </w:r>
          </w:p>
        </w:tc>
      </w:tr>
      <w:tr w14:paraId="13FAEB2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969" w:type="dxa"/>
          </w:tcPr>
          <w:p w14:paraId="6BD3F181">
            <w:pPr>
              <w:spacing w:after="0"/>
              <w:jc w:val="left"/>
            </w:pPr>
            <w:r>
              <w:rPr>
                <w:rFonts w:ascii="Times New Roman" w:hAnsi="Times New Roman"/>
                <w:sz w:val="22"/>
              </w:rPr>
              <w:t>Interface unit tests</w:t>
            </w:r>
          </w:p>
        </w:tc>
        <w:tc>
          <w:tcPr>
            <w:tcW w:w="1701" w:type="dxa"/>
          </w:tcPr>
          <w:p w14:paraId="59D2BF54">
            <w:pPr>
              <w:spacing w:after="0"/>
              <w:jc w:val="left"/>
            </w:pPr>
            <w:r>
              <w:rPr>
                <w:rFonts w:ascii="Times New Roman" w:hAnsi="Times New Roman"/>
                <w:sz w:val="22"/>
              </w:rPr>
              <w:t>21</w:t>
            </w:r>
          </w:p>
        </w:tc>
        <w:tc>
          <w:tcPr>
            <w:tcW w:w="3402" w:type="dxa"/>
          </w:tcPr>
          <w:p w14:paraId="55E97476">
            <w:pPr>
              <w:spacing w:after="0"/>
              <w:jc w:val="left"/>
            </w:pPr>
            <w:r>
              <w:rPr>
                <w:rFonts w:ascii="Times New Roman" w:hAnsi="Times New Roman"/>
                <w:sz w:val="22"/>
              </w:rPr>
              <w:t>Pass</w:t>
            </w:r>
          </w:p>
        </w:tc>
      </w:tr>
      <w:tr w14:paraId="3621FBB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969" w:type="dxa"/>
          </w:tcPr>
          <w:p w14:paraId="3A9928F4">
            <w:pPr>
              <w:spacing w:after="0"/>
              <w:jc w:val="left"/>
            </w:pPr>
            <w:r>
              <w:rPr>
                <w:rFonts w:ascii="Times New Roman" w:hAnsi="Times New Roman"/>
                <w:sz w:val="22"/>
              </w:rPr>
              <w:t>Integration tests</w:t>
            </w:r>
          </w:p>
        </w:tc>
        <w:tc>
          <w:tcPr>
            <w:tcW w:w="1701" w:type="dxa"/>
          </w:tcPr>
          <w:p w14:paraId="0167379B">
            <w:pPr>
              <w:spacing w:after="0"/>
              <w:jc w:val="left"/>
            </w:pPr>
            <w:r>
              <w:rPr>
                <w:rFonts w:ascii="Times New Roman" w:hAnsi="Times New Roman"/>
                <w:sz w:val="22"/>
              </w:rPr>
              <w:t>15</w:t>
            </w:r>
          </w:p>
        </w:tc>
        <w:tc>
          <w:tcPr>
            <w:tcW w:w="3402" w:type="dxa"/>
          </w:tcPr>
          <w:p w14:paraId="65E443D1">
            <w:pPr>
              <w:spacing w:after="0"/>
              <w:jc w:val="left"/>
            </w:pPr>
            <w:r>
              <w:rPr>
                <w:rFonts w:ascii="Times New Roman" w:hAnsi="Times New Roman"/>
                <w:sz w:val="22"/>
              </w:rPr>
              <w:t>Pass</w:t>
            </w:r>
          </w:p>
        </w:tc>
      </w:tr>
      <w:tr w14:paraId="07D0289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969" w:type="dxa"/>
          </w:tcPr>
          <w:p w14:paraId="4BDF7888">
            <w:pPr>
              <w:spacing w:after="0"/>
              <w:jc w:val="left"/>
            </w:pPr>
            <w:r>
              <w:rPr>
                <w:rFonts w:ascii="Times New Roman" w:hAnsi="Times New Roman"/>
                <w:sz w:val="22"/>
              </w:rPr>
              <w:t>Golden tests</w:t>
            </w:r>
          </w:p>
        </w:tc>
        <w:tc>
          <w:tcPr>
            <w:tcW w:w="1701" w:type="dxa"/>
          </w:tcPr>
          <w:p w14:paraId="6E722369">
            <w:pPr>
              <w:spacing w:after="0"/>
              <w:jc w:val="left"/>
            </w:pPr>
            <w:r>
              <w:rPr>
                <w:rFonts w:ascii="Times New Roman" w:hAnsi="Times New Roman"/>
                <w:sz w:val="22"/>
              </w:rPr>
              <w:t>7</w:t>
            </w:r>
          </w:p>
        </w:tc>
        <w:tc>
          <w:tcPr>
            <w:tcW w:w="3402" w:type="dxa"/>
          </w:tcPr>
          <w:p w14:paraId="18A32E68">
            <w:pPr>
              <w:spacing w:after="0"/>
              <w:jc w:val="left"/>
            </w:pPr>
            <w:r>
              <w:rPr>
                <w:rFonts w:ascii="Times New Roman" w:hAnsi="Times New Roman"/>
                <w:sz w:val="22"/>
              </w:rPr>
              <w:t>Pass</w:t>
            </w:r>
          </w:p>
        </w:tc>
      </w:tr>
      <w:tr w14:paraId="69364AE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969" w:type="dxa"/>
          </w:tcPr>
          <w:p w14:paraId="7FF48D5B">
            <w:pPr>
              <w:spacing w:after="0"/>
              <w:jc w:val="left"/>
            </w:pPr>
            <w:r>
              <w:rPr>
                <w:rFonts w:ascii="Times New Roman" w:hAnsi="Times New Roman"/>
                <w:sz w:val="22"/>
              </w:rPr>
              <w:t>Total</w:t>
            </w:r>
          </w:p>
        </w:tc>
        <w:tc>
          <w:tcPr>
            <w:tcW w:w="1701" w:type="dxa"/>
          </w:tcPr>
          <w:p w14:paraId="7FB7EE0B">
            <w:pPr>
              <w:spacing w:after="0"/>
              <w:jc w:val="left"/>
            </w:pPr>
            <w:r>
              <w:rPr>
                <w:rFonts w:ascii="Times New Roman" w:hAnsi="Times New Roman"/>
                <w:sz w:val="22"/>
              </w:rPr>
              <w:t>257</w:t>
            </w:r>
          </w:p>
        </w:tc>
        <w:tc>
          <w:tcPr>
            <w:tcW w:w="3402" w:type="dxa"/>
          </w:tcPr>
          <w:p w14:paraId="4C19D50B">
            <w:pPr>
              <w:spacing w:after="0"/>
              <w:jc w:val="left"/>
            </w:pPr>
            <w:r>
              <w:rPr>
                <w:rFonts w:ascii="Times New Roman" w:hAnsi="Times New Roman"/>
                <w:sz w:val="22"/>
              </w:rPr>
              <w:t>Pass</w:t>
            </w:r>
          </w:p>
        </w:tc>
      </w:tr>
      <w:tr w14:paraId="7062D19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969" w:type="dxa"/>
          </w:tcPr>
          <w:p w14:paraId="7904C4D4">
            <w:pPr>
              <w:spacing w:after="0"/>
              <w:jc w:val="left"/>
            </w:pPr>
            <w:r>
              <w:rPr>
                <w:rFonts w:ascii="Times New Roman" w:hAnsi="Times New Roman"/>
                <w:sz w:val="22"/>
              </w:rPr>
              <w:t>Lint (ruff + mypy --strict)</w:t>
            </w:r>
          </w:p>
        </w:tc>
        <w:tc>
          <w:tcPr>
            <w:tcW w:w="1701" w:type="dxa"/>
          </w:tcPr>
          <w:p w14:paraId="4A377B85">
            <w:pPr>
              <w:spacing w:after="0"/>
              <w:jc w:val="left"/>
            </w:pPr>
            <w:r>
              <w:rPr>
                <w:rFonts w:ascii="Times New Roman" w:hAnsi="Times New Roman"/>
                <w:sz w:val="22"/>
              </w:rPr>
              <w:t>n/a</w:t>
            </w:r>
          </w:p>
        </w:tc>
        <w:tc>
          <w:tcPr>
            <w:tcW w:w="3402" w:type="dxa"/>
          </w:tcPr>
          <w:p w14:paraId="3D21A01C">
            <w:pPr>
              <w:spacing w:after="0"/>
              <w:jc w:val="left"/>
            </w:pPr>
            <w:r>
              <w:rPr>
                <w:rFonts w:ascii="Times New Roman" w:hAnsi="Times New Roman"/>
                <w:sz w:val="22"/>
              </w:rPr>
              <w:t>Clean</w:t>
            </w:r>
          </w:p>
        </w:tc>
      </w:tr>
      <w:tr w14:paraId="220403B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969" w:type="dxa"/>
          </w:tcPr>
          <w:p w14:paraId="55DF3054">
            <w:pPr>
              <w:spacing w:after="0"/>
              <w:jc w:val="left"/>
            </w:pPr>
            <w:r>
              <w:rPr>
                <w:rFonts w:ascii="Times New Roman" w:hAnsi="Times New Roman"/>
                <w:sz w:val="22"/>
              </w:rPr>
              <w:t>Frontend lint (oxlint + tsc -b)</w:t>
            </w:r>
          </w:p>
        </w:tc>
        <w:tc>
          <w:tcPr>
            <w:tcW w:w="1701" w:type="dxa"/>
          </w:tcPr>
          <w:p w14:paraId="14BD2307">
            <w:pPr>
              <w:spacing w:after="0"/>
              <w:jc w:val="left"/>
            </w:pPr>
            <w:r>
              <w:rPr>
                <w:rFonts w:ascii="Times New Roman" w:hAnsi="Times New Roman"/>
                <w:sz w:val="22"/>
              </w:rPr>
              <w:t>n/a</w:t>
            </w:r>
          </w:p>
        </w:tc>
        <w:tc>
          <w:tcPr>
            <w:tcW w:w="3402" w:type="dxa"/>
          </w:tcPr>
          <w:p w14:paraId="77DC6698">
            <w:pPr>
              <w:spacing w:after="0"/>
              <w:jc w:val="left"/>
            </w:pPr>
            <w:r>
              <w:rPr>
                <w:rFonts w:ascii="Times New Roman" w:hAnsi="Times New Roman"/>
                <w:sz w:val="22"/>
              </w:rPr>
              <w:t>Clean</w:t>
            </w:r>
          </w:p>
        </w:tc>
      </w:tr>
    </w:tbl>
    <w:p w14:paraId="6977B313">
      <w:pPr>
        <w:keepNext w:val="0"/>
        <w:spacing w:before="120" w:after="120"/>
        <w:jc w:val="center"/>
      </w:pPr>
      <w:r>
        <w:rPr>
          <w:rFonts w:ascii="Times New Roman" w:hAnsi="Times New Roman"/>
          <w:b/>
          <w:sz w:val="20"/>
        </w:rPr>
        <w:t xml:space="preserve">Table 3.14: </w:t>
      </w:r>
      <w:r>
        <w:rPr>
          <w:rFonts w:ascii="Times New Roman" w:hAnsi="Times New Roman"/>
          <w:sz w:val="20"/>
        </w:rPr>
        <w:t>Summary of automated test counts</w:t>
      </w:r>
    </w:p>
    <w:p w14:paraId="1C748717">
      <w:pPr>
        <w:spacing w:before="0" w:after="120" w:line="360" w:lineRule="auto"/>
        <w:ind w:firstLine="720"/>
        <w:jc w:val="both"/>
      </w:pPr>
      <w:r>
        <w:rPr>
          <w:rFonts w:ascii="Times New Roman" w:hAnsi="Times New Roman"/>
          <w:sz w:val="22"/>
        </w:rPr>
        <w:t>Gantt chart of the project plan (Figure 3.9). The horizontal axis is the 15-week semester; the vertical axis is the eight phases defined in Section 3.1.2.5.</w:t>
      </w:r>
    </w:p>
    <w:p w14:paraId="2CC3AD7F">
      <w:pPr>
        <w:keepNext/>
        <w:spacing w:before="120" w:after="120"/>
        <w:jc w:val="center"/>
      </w:pPr>
      <w:r>
        <w:rPr>
          <w:rFonts w:ascii="Times New Roman" w:hAnsi="Times New Roman"/>
          <w:b/>
          <w:sz w:val="20"/>
        </w:rPr>
        <w:t xml:space="preserve">Figure 3.9: </w:t>
      </w:r>
      <w:r>
        <w:rPr>
          <w:rFonts w:ascii="Times New Roman" w:hAnsi="Times New Roman"/>
          <w:sz w:val="20"/>
        </w:rPr>
        <w:t>Gantt chart of the project plan.</w:t>
      </w:r>
    </w:p>
    <w:p w14:paraId="791A2875">
      <w:pPr>
        <w:spacing w:before="0" w:after="0"/>
        <w:jc w:val="center"/>
      </w:pPr>
      <w:r>
        <w:drawing>
          <wp:inline distT="0" distB="0" distL="114300" distR="114300">
            <wp:extent cx="5943600" cy="2823210"/>
            <wp:effectExtent l="0" t="0" r="0" b="1143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8"/>
                    <a:stretch>
                      <a:fillRect/>
                    </a:stretch>
                  </pic:blipFill>
                  <pic:spPr>
                    <a:xfrm>
                      <a:off x="0" y="0"/>
                      <a:ext cx="5943600" cy="2823210"/>
                    </a:xfrm>
                    <a:prstGeom prst="rect">
                      <a:avLst/>
                    </a:prstGeom>
                  </pic:spPr>
                </pic:pic>
              </a:graphicData>
            </a:graphic>
          </wp:inline>
        </w:drawing>
      </w:r>
    </w:p>
    <w:p w14:paraId="441C7D0E">
      <w:r>
        <w:br w:type="page"/>
      </w:r>
    </w:p>
    <w:p w14:paraId="5AF58013">
      <w:pPr>
        <w:pStyle w:val="2"/>
        <w:keepNext/>
        <w:spacing w:before="360" w:after="240"/>
        <w:jc w:val="left"/>
      </w:pPr>
      <w:r>
        <w:rPr>
          <w:rFonts w:ascii="Times New Roman" w:hAnsi="Times New Roman"/>
          <w:b/>
          <w:color w:val="000000"/>
          <w:sz w:val="32"/>
        </w:rPr>
        <w:t>References</w:t>
      </w:r>
    </w:p>
    <w:p w14:paraId="0B7A38E7">
      <w:pPr>
        <w:spacing w:before="0" w:after="240" w:line="360" w:lineRule="auto"/>
      </w:pPr>
      <w:r>
        <w:rPr>
          <w:rFonts w:ascii="Times New Roman" w:hAnsi="Times New Roman"/>
          <w:b w:val="0"/>
          <w:i w:val="0"/>
          <w:sz w:val="20"/>
        </w:rPr>
        <w:t>All in-text citations in this report follow the Harvard referencing style. The reference list is ordered alphabetically by the first author's surname.</w:t>
      </w:r>
    </w:p>
    <w:p w14:paraId="1092873B">
      <w:pPr>
        <w:spacing w:after="120" w:line="276" w:lineRule="auto"/>
        <w:ind w:left="720" w:hanging="720"/>
        <w:jc w:val="left"/>
      </w:pPr>
      <w:r>
        <w:rPr>
          <w:rFonts w:ascii="Times New Roman" w:hAnsi="Times New Roman"/>
          <w:sz w:val="22"/>
        </w:rPr>
        <w:t>Abo El-Enen, M., Saad, S. and Nazmy, T. (2025) 'A survey on retrieval-augmentation generation (RAG) models for healthcare applications', Neural Computing and Applications. Available at: https://doi.org/10.1007/s00521-025-11666-9 (Accessed: 9 June 2026).</w:t>
      </w:r>
    </w:p>
    <w:p w14:paraId="7035FA92">
      <w:pPr>
        <w:spacing w:after="120" w:line="276" w:lineRule="auto"/>
        <w:ind w:left="720" w:hanging="720"/>
        <w:jc w:val="left"/>
      </w:pPr>
      <w:r>
        <w:rPr>
          <w:rFonts w:ascii="Times New Roman" w:hAnsi="Times New Roman"/>
          <w:sz w:val="22"/>
        </w:rPr>
        <w:t>Amugongo, L.M., Mascheroni, P., Brooks, S., Doering, S. and Seidel, J. (2025) 'Retrieval augmented generation for large language models in healthcare: A systematic review', PLOS Digital Health, 4(6), e0000877. Available at: https://doi.org/10.1371/journal.pdig.0000877 (Accessed: 27 May 2026).</w:t>
      </w:r>
    </w:p>
    <w:p w14:paraId="6AECD79E">
      <w:pPr>
        <w:spacing w:after="120" w:line="276" w:lineRule="auto"/>
        <w:ind w:left="720" w:hanging="720"/>
        <w:jc w:val="left"/>
      </w:pPr>
      <w:r>
        <w:rPr>
          <w:rFonts w:ascii="Times New Roman" w:hAnsi="Times New Roman"/>
          <w:sz w:val="22"/>
        </w:rPr>
        <w:t>Chen, Z. et al. (2024) 'A vision-language foundation model to enhance efficiency of chest X-ray interpretation', arXiv:2401.12208. Available at: https://doi.org/10.48550/arXiv.2401.12208 (Accessed: 18 June 2026).</w:t>
      </w:r>
    </w:p>
    <w:p w14:paraId="39B50E4A">
      <w:pPr>
        <w:spacing w:after="120" w:line="276" w:lineRule="auto"/>
        <w:ind w:left="720" w:hanging="720"/>
        <w:jc w:val="left"/>
      </w:pPr>
      <w:r>
        <w:rPr>
          <w:rFonts w:ascii="Times New Roman" w:hAnsi="Times New Roman"/>
          <w:sz w:val="22"/>
        </w:rPr>
        <w:t>Collaco, B.G. et al. (2026) 'Integrating fine-tuning and retrieval-augmented generation for healthcare AI systems: A scoping review', Bioengineering, 13(2), 225. Available at: https://doi.org/10.3390/bioengineering13020225 (Accessed: 2 June 2026).</w:t>
      </w:r>
    </w:p>
    <w:p w14:paraId="59073437">
      <w:pPr>
        <w:spacing w:after="120" w:line="276" w:lineRule="auto"/>
        <w:ind w:left="720" w:hanging="720"/>
        <w:jc w:val="left"/>
      </w:pPr>
      <w:r>
        <w:rPr>
          <w:rFonts w:ascii="Times New Roman" w:hAnsi="Times New Roman"/>
          <w:sz w:val="22"/>
        </w:rPr>
        <w:t>European Parliament and Council of the European Union (2016) 'Regulation (EU) 2016/679: General Data Protection Regulation'. Available at: https://eur-lex.europa.eu/eli/reg/2016/679/oj (Accessed: 25 May 2026).</w:t>
      </w:r>
    </w:p>
    <w:p w14:paraId="313FE5BB">
      <w:pPr>
        <w:spacing w:after="120" w:line="276" w:lineRule="auto"/>
        <w:ind w:left="720" w:hanging="720"/>
        <w:jc w:val="left"/>
      </w:pPr>
      <w:r>
        <w:rPr>
          <w:rFonts w:ascii="Times New Roman" w:hAnsi="Times New Roman"/>
          <w:sz w:val="22"/>
        </w:rPr>
        <w:t>Gosai, A. et al. (2025) 'Beyond diagnosis: Evaluating multimodal LLMs for pathology localization in chest radiographs', arXiv:2509.18015. Available at: https://arxiv.org/abs/2509.18015 (Accessed: 13 June 2026).</w:t>
      </w:r>
    </w:p>
    <w:p w14:paraId="1EF8105C">
      <w:pPr>
        <w:spacing w:after="120" w:line="276" w:lineRule="auto"/>
        <w:ind w:left="720" w:hanging="720"/>
        <w:jc w:val="left"/>
      </w:pPr>
      <w:r>
        <w:rPr>
          <w:rFonts w:ascii="Times New Roman" w:hAnsi="Times New Roman"/>
          <w:sz w:val="22"/>
        </w:rPr>
        <w:t>Google Developers (2026) MedGemma | Health AI Developer Foundations. Available at: https://developers.google.com/health-ai-developer-foundations/medgemma (Accessed: 4 June 2026).</w:t>
      </w:r>
    </w:p>
    <w:p w14:paraId="0B916F3D">
      <w:pPr>
        <w:spacing w:after="120" w:line="276" w:lineRule="auto"/>
        <w:ind w:left="720" w:hanging="720"/>
        <w:jc w:val="left"/>
      </w:pPr>
      <w:r>
        <w:rPr>
          <w:rFonts w:ascii="Times New Roman" w:hAnsi="Times New Roman"/>
          <w:sz w:val="22"/>
        </w:rPr>
        <w:t>Johnson, A.E.W. et al. (2019) 'MIMIC-CXR, a de-identified publicly available database of chest radiographs with free-text reports', Scientific Data, 6, 317. Available at: https://doi.org/10.1038/s41597-019-0322-0 (Accessed: 5 June 2026).</w:t>
      </w:r>
    </w:p>
    <w:p w14:paraId="2E0871CF">
      <w:pPr>
        <w:spacing w:after="120" w:line="276" w:lineRule="auto"/>
        <w:ind w:left="720" w:hanging="720"/>
        <w:jc w:val="left"/>
      </w:pPr>
      <w:r>
        <w:rPr>
          <w:rFonts w:ascii="Times New Roman" w:hAnsi="Times New Roman"/>
          <w:sz w:val="22"/>
        </w:rPr>
        <w:t>Karunaratne, D. (2023) 'The growing problem of radiologist shortage in Sri Lanka', Korean Journal of Radiology, 24(10), pp. 941-943. doi: 10.3348/kjr.2023.0791. Available at: https://pmc.ncbi.nlm.nih.gov/articles/PMC10550747/ (Accessed: 29 May 2026).</w:t>
      </w:r>
    </w:p>
    <w:p w14:paraId="1F5C626A">
      <w:pPr>
        <w:spacing w:after="120" w:line="276" w:lineRule="auto"/>
        <w:ind w:left="720" w:hanging="720"/>
        <w:jc w:val="left"/>
      </w:pPr>
      <w:r>
        <w:rPr>
          <w:rFonts w:ascii="Times New Roman" w:hAnsi="Times New Roman"/>
          <w:sz w:val="22"/>
        </w:rPr>
        <w:t>Lee, S., Youn, J., Kim, H., Kim, M. and Yoon, S.H. (2025) 'CXR-LLaVA: a multimodal large language model for interpreting chest X-ray images', European Radiology, 35(7), pp. 4374-4386. Available at: https://doi.org/10.1007/s00330-024-11339-6 (Accessed: 20 June 2026).</w:t>
      </w:r>
    </w:p>
    <w:p w14:paraId="5A7C74A3">
      <w:pPr>
        <w:spacing w:after="120" w:line="276" w:lineRule="auto"/>
        <w:ind w:left="720" w:hanging="720"/>
        <w:jc w:val="left"/>
      </w:pPr>
      <w:r>
        <w:rPr>
          <w:rFonts w:ascii="Times New Roman" w:hAnsi="Times New Roman"/>
          <w:sz w:val="22"/>
        </w:rPr>
        <w:t>Li, C. et al. (2023) 'LLaVA-Med: Training a large language-and-vision assistant for biomedicine in one day', Advances in Neural Information Processing Systems 36. Available at: https://proceedings.neurips.cc/paper_files/paper/2023/hash/5abcdf8ecdcacba028c6662789194572-Abstract-Datasets_and_Benchmarks.html (Accessed: 31 May 2026).</w:t>
      </w:r>
    </w:p>
    <w:p w14:paraId="59D66090">
      <w:pPr>
        <w:spacing w:after="120" w:line="276" w:lineRule="auto"/>
        <w:ind w:left="720" w:hanging="720"/>
        <w:jc w:val="left"/>
      </w:pPr>
      <w:r>
        <w:rPr>
          <w:rFonts w:ascii="Times New Roman" w:hAnsi="Times New Roman"/>
          <w:sz w:val="22"/>
        </w:rPr>
        <w:t>Lin, Q. et al. (2025) 'Toward clinically explainable AI for medical diagnosis: A foundation model with human-compatible reasoning via reinforcement learning', arXiv:2509.03906. Available at: https://arxiv.org/abs/2509.03906 (Accessed: 16 June 2026).</w:t>
      </w:r>
    </w:p>
    <w:p w14:paraId="48521AD4">
      <w:pPr>
        <w:spacing w:after="120" w:line="276" w:lineRule="auto"/>
        <w:ind w:left="720" w:hanging="720"/>
        <w:jc w:val="left"/>
      </w:pPr>
      <w:r>
        <w:rPr>
          <w:rFonts w:ascii="Times New Roman" w:hAnsi="Times New Roman"/>
          <w:sz w:val="22"/>
        </w:rPr>
        <w:t>Liu, S., McCoy, A.B. and Wright, A. (2025) 'Improving large language model applications in biomedicine with retrieval-augmented generation: A systematic review, meta-analysis, and clinical development guidelines', Journal of the American Medical Informatics Association, 32(4), pp. 605-615. Available at: https://doi.org/10.1093/jamia/ocaf008 (Accessed: 7 June 2026).</w:t>
      </w:r>
    </w:p>
    <w:p w14:paraId="3976E8A6">
      <w:pPr>
        <w:spacing w:after="120" w:line="276" w:lineRule="auto"/>
        <w:ind w:left="720" w:hanging="720"/>
        <w:jc w:val="left"/>
      </w:pPr>
      <w:r>
        <w:rPr>
          <w:rFonts w:ascii="Times New Roman" w:hAnsi="Times New Roman"/>
          <w:sz w:val="22"/>
        </w:rPr>
        <w:t>Lou, J., Yang, Y., Yu, Z., Fu, Z., Han, W., Huang, Q. and Yu, J. (2025) 'CXRAgent: Director-orchestrated multi-stage reasoning for chest X-ray interpretation', arXiv:2510.21324. Available at: https://arxiv.org/abs/2510.21324 (Accessed: 26 May 2026).</w:t>
      </w:r>
    </w:p>
    <w:p w14:paraId="3782545F">
      <w:pPr>
        <w:spacing w:after="120" w:line="276" w:lineRule="auto"/>
        <w:ind w:left="720" w:hanging="720"/>
        <w:jc w:val="left"/>
      </w:pPr>
      <w:r>
        <w:rPr>
          <w:rFonts w:ascii="Times New Roman" w:hAnsi="Times New Roman"/>
          <w:sz w:val="22"/>
        </w:rPr>
        <w:t>Mugambiwa, T. and Ndlovu, B. (2026) 'Multi-agent retrieval augmented generation for clinical decision support: A systematic review and integrative conceptual framework', Journal of Applied Informatics and Computing, 10(1), pp. 171-183. Available at: https://www.semanticscholar.org/paper/Multi-Agent-Retrieval-Augmented-Generation-for-A-Mugambiwa-Ndlovu/eeab620e9d8c8d0c4215b2d39bcced9fc4d9440c (Accessed: 11 June 2026).</w:t>
      </w:r>
    </w:p>
    <w:p w14:paraId="77A65538">
      <w:pPr>
        <w:spacing w:after="120" w:line="276" w:lineRule="auto"/>
        <w:ind w:left="720" w:hanging="720"/>
        <w:jc w:val="left"/>
      </w:pPr>
      <w:r>
        <w:rPr>
          <w:rFonts w:ascii="Times New Roman" w:hAnsi="Times New Roman"/>
          <w:sz w:val="22"/>
        </w:rPr>
        <w:t>National Institute of Standards and Technology (2023) 'Artificial Intelligence Risk Management Framework (AI RMF 1.0)'. Available at: https://doi.org/10.6028/NIST.AI.100-1 (Accessed: 3 June 2026).</w:t>
      </w:r>
    </w:p>
    <w:p w14:paraId="23AC33C3">
      <w:pPr>
        <w:spacing w:after="120" w:line="276" w:lineRule="auto"/>
        <w:ind w:left="720" w:hanging="720"/>
        <w:jc w:val="left"/>
      </w:pPr>
      <w:r>
        <w:rPr>
          <w:rFonts w:ascii="Times New Roman" w:hAnsi="Times New Roman"/>
          <w:sz w:val="22"/>
        </w:rPr>
        <w:t>OWASP Foundation (2021) 'OWASP Top 10: The ten most critical web application security risks'. Available at: https://owasp.org/Top10/2021/ (Accessed: 19 June 2026).</w:t>
      </w:r>
    </w:p>
    <w:p w14:paraId="0C9DDAA7">
      <w:pPr>
        <w:spacing w:after="120" w:line="276" w:lineRule="auto"/>
        <w:ind w:left="720" w:hanging="720"/>
        <w:jc w:val="left"/>
      </w:pPr>
      <w:r>
        <w:rPr>
          <w:rFonts w:ascii="Times New Roman" w:hAnsi="Times New Roman"/>
          <w:sz w:val="22"/>
        </w:rPr>
        <w:t>OWASP Foundation (2025) 'OWASP Top 10 for Large Language Model Applications'. Available at: https://owasp.org/www-project-top-10-for-large-language-model-applications/ (Accessed: 28 May 2026).</w:t>
      </w:r>
    </w:p>
    <w:p w14:paraId="27282606">
      <w:pPr>
        <w:spacing w:after="120" w:line="276" w:lineRule="auto"/>
        <w:ind w:left="720" w:hanging="720"/>
        <w:jc w:val="left"/>
      </w:pPr>
      <w:r>
        <w:rPr>
          <w:rFonts w:ascii="Times New Roman" w:hAnsi="Times New Roman"/>
          <w:sz w:val="22"/>
        </w:rPr>
        <w:t>Pal, A. et al. (2025) 'ReXVQA: A large-scale visual question answering benchmark for generalist chest X-ray understanding', arXiv:2506.04353. Available at: https://arxiv.org/abs/2506.04353 (Accessed: 14 June 2026).</w:t>
      </w:r>
    </w:p>
    <w:p w14:paraId="54E499B6">
      <w:pPr>
        <w:spacing w:after="120" w:line="276" w:lineRule="auto"/>
        <w:ind w:left="720" w:hanging="720"/>
        <w:jc w:val="left"/>
      </w:pPr>
      <w:r>
        <w:rPr>
          <w:rFonts w:ascii="Times New Roman" w:hAnsi="Times New Roman"/>
          <w:sz w:val="22"/>
        </w:rPr>
        <w:t>Pambudi, S. and Menolascina, F. (2025) 'Bridging clinical narratives and ACR Appropriateness Guidelines: A multi-agent RAG system for medical imaging decisions', arXiv:2510.04969. Available at: https://arxiv.org/abs/2510.04969 (Accessed: 1 June 2026).</w:t>
      </w:r>
    </w:p>
    <w:p w14:paraId="73368AA5">
      <w:pPr>
        <w:spacing w:after="120" w:line="276" w:lineRule="auto"/>
        <w:ind w:left="720" w:hanging="720"/>
        <w:jc w:val="left"/>
      </w:pPr>
      <w:r>
        <w:rPr>
          <w:rFonts w:ascii="Times New Roman" w:hAnsi="Times New Roman"/>
          <w:sz w:val="22"/>
        </w:rPr>
        <w:t>Papageorgiou, P.S. et al. (2025) 'The role of large language models in improving diagnostic-related groups assignment and clinical decision support in healthcare systems: An example from radiology and nuclear medicine', Applied Sciences, 15(16), 9005. Available at: https://doi.org/10.3390/app15169005 (Accessed: 10 June 2026).</w:t>
      </w:r>
    </w:p>
    <w:p w14:paraId="3FC96949">
      <w:pPr>
        <w:spacing w:after="120" w:line="276" w:lineRule="auto"/>
        <w:ind w:left="720" w:hanging="720"/>
        <w:jc w:val="left"/>
      </w:pPr>
      <w:r>
        <w:rPr>
          <w:rFonts w:ascii="Times New Roman" w:hAnsi="Times New Roman"/>
          <w:sz w:val="22"/>
        </w:rPr>
        <w:t>Parliament of Sri Lanka (2022) 'Personal Data Protection Act, No. 9 of 2022'. Available at: https://parliament.lk/uploads/acts/gbills/english/6242.pdf (Accessed: 6 June 2026).</w:t>
      </w:r>
    </w:p>
    <w:p w14:paraId="69A5FB4A">
      <w:pPr>
        <w:spacing w:after="120" w:line="276" w:lineRule="auto"/>
        <w:ind w:left="720" w:hanging="720"/>
        <w:jc w:val="left"/>
      </w:pPr>
      <w:r>
        <w:rPr>
          <w:rFonts w:ascii="Times New Roman" w:hAnsi="Times New Roman"/>
          <w:sz w:val="22"/>
        </w:rPr>
        <w:t>Sellergren, A. et al. (2025) 'MedGemma Technical Report', arXiv:2507.05201. Available at: https://arxiv.org/abs/2507.05201 (Accessed: 17 June 2026).</w:t>
      </w:r>
    </w:p>
    <w:p w14:paraId="6C189325">
      <w:pPr>
        <w:spacing w:after="120" w:line="276" w:lineRule="auto"/>
        <w:ind w:left="720" w:hanging="720"/>
        <w:jc w:val="left"/>
      </w:pPr>
      <w:r>
        <w:rPr>
          <w:rFonts w:ascii="Times New Roman" w:hAnsi="Times New Roman"/>
          <w:sz w:val="22"/>
        </w:rPr>
        <w:t>Wang, X. et al. (2017) 'ChestX-ray8: Hospital-scale chest X-ray database and benchmarks on weakly-supervised classification and localization of common thorax diseases', Proceedings of the IEEE Conference on Computer Vision and Pattern Recognition (CVPR), pp. 2097-2106. Available at: https://doi.org/10.1109/CVPR.2017.369 (Accessed: 30 May 2026).</w:t>
      </w:r>
    </w:p>
    <w:p w14:paraId="6FDFCA6A">
      <w:pPr>
        <w:spacing w:after="120" w:line="276" w:lineRule="auto"/>
        <w:ind w:left="720" w:hanging="720"/>
        <w:jc w:val="left"/>
      </w:pPr>
      <w:r>
        <w:rPr>
          <w:rFonts w:ascii="Times New Roman" w:hAnsi="Times New Roman"/>
          <w:sz w:val="22"/>
        </w:rPr>
        <w:t>World Health Organization (2021) 'Ethics and governance of artificial intelligence for health: WHO guidance'. Geneva: World Health Organization. Available at: https://www.who.int/publications/i/item/9789240029200 (Accessed: 15 June 2026).</w:t>
      </w:r>
    </w:p>
    <w:p w14:paraId="4480C4D0">
      <w:pPr>
        <w:spacing w:after="120" w:line="276" w:lineRule="auto"/>
        <w:ind w:left="720" w:hanging="720"/>
        <w:jc w:val="left"/>
      </w:pPr>
      <w:r>
        <w:rPr>
          <w:rFonts w:ascii="Times New Roman" w:hAnsi="Times New Roman"/>
          <w:sz w:val="22"/>
        </w:rPr>
        <w:t>Zambrano Chaves, J.M. et al. (2025) 'A clinically accessible small multimodal radiology model and evaluation metric for chest X-ray findings', Nature Communications, 16, 3108. Available at: https://doi.org/10.1038/s41467-025-58344-x (Accessed: 4 June 2026).</w:t>
      </w:r>
    </w:p>
    <w:sectPr>
      <w:footerReference r:id="rId5"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29BBE9">
    <w:pPr>
      <w:pStyle w:val="18"/>
      <w:jc w:val="center"/>
    </w:pPr>
    <w:r>
      <w:fldChar w:fldCharType="begin"/>
    </w:r>
    <w:r>
      <w:instrText xml:space="preserve">PAGE \* MERGEFORMAT</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D37A53"/>
    <w:rsid w:val="046F5911"/>
    <w:rsid w:val="1B137F6C"/>
    <w:rsid w:val="1EEE40CF"/>
    <w:rsid w:val="26C174A2"/>
    <w:rsid w:val="27B35B31"/>
    <w:rsid w:val="285B7244"/>
    <w:rsid w:val="33265B78"/>
    <w:rsid w:val="3AD04E4A"/>
    <w:rsid w:val="3E7B1F6B"/>
    <w:rsid w:val="523D2E46"/>
    <w:rsid w:val="544D5C5C"/>
    <w:rsid w:val="5BA56592"/>
    <w:rsid w:val="5BA64BE9"/>
    <w:rsid w:val="60D80CEE"/>
    <w:rsid w:val="645D7336"/>
    <w:rsid w:val="6F8D7059"/>
    <w:rsid w:val="77EE0B8B"/>
    <w:rsid w:val="79622AB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360" w:lineRule="auto"/>
    </w:pPr>
    <w:rPr>
      <w:rFonts w:ascii="Times New Roman" w:hAnsi="Times New Roman"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000000"/>
      <w:sz w:val="32"/>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00000"/>
      <w:sz w:val="28"/>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i/>
      <w:color w:val="000000"/>
      <w:sz w:val="24"/>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49</Pages>
  <Words>2759</Words>
  <Characters>16100</Characters>
  <Lines>0</Lines>
  <Paragraphs>0</Paragraphs>
  <TotalTime>5</TotalTime>
  <ScaleCrop>false</ScaleCrop>
  <LinksUpToDate>false</LinksUpToDate>
  <CharactersWithSpaces>18548</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minura wije</cp:lastModifiedBy>
  <dcterms:modified xsi:type="dcterms:W3CDTF">2026-07-27T02:43:20Z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eyJoZGlkIjoiN2RkYjYyMzYzODc1ODQ2MDk5OGNlNzVlOWJjODM4ZjMiLCJ1c2VySWQiOiI1MjQwNDk5NTc3Njc2In0=</vt:lpwstr>
  </property>
  <property fmtid="{D5CDD505-2E9C-101B-9397-08002B2CF9AE}" pid="3" name="KSOProductBuildVer">
    <vt:lpwstr>1033-12.1.0.27458</vt:lpwstr>
  </property>
  <property fmtid="{D5CDD505-2E9C-101B-9397-08002B2CF9AE}" pid="4" name="ICV">
    <vt:lpwstr>0E1DB541A4884D44844D5A11725DB478_12</vt:lpwstr>
  </property>
</Properties>
</file>