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BD0CB">
      <w:pPr>
        <w:spacing w:before="0" w:after="0" w:line="20" w:lineRule="exact"/>
      </w:pPr>
    </w:p>
    <w:p w14:paraId="0D5DA4C7">
      <w:pPr>
        <w:rPr>
          <w:rFonts w:asciiTheme="minorHAnsi" w:hAnsiTheme="minorHAnsi"/>
          <w:sz w:val="32"/>
        </w:rPr>
      </w:pPr>
      <w:r>
        <w:rPr>
          <w:rFonts w:asciiTheme="minorHAnsi" w:hAnsiTheme="minorHAnsi"/>
          <w:sz w:val="32"/>
        </w:rPr>
        <w:drawing>
          <wp:inline distT="0" distB="0" distL="0" distR="0">
            <wp:extent cx="5731510" cy="12395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1239520"/>
                    </a:xfrm>
                    <a:prstGeom prst="rect">
                      <a:avLst/>
                    </a:prstGeom>
                  </pic:spPr>
                </pic:pic>
              </a:graphicData>
            </a:graphic>
          </wp:inline>
        </w:drawing>
      </w:r>
    </w:p>
    <w:p w14:paraId="5C87308C">
      <w:pPr>
        <w:spacing w:before="0" w:after="0" w:line="20" w:lineRule="exact"/>
        <w:rPr>
          <w:rFonts w:asciiTheme="minorHAnsi" w:hAnsiTheme="minorHAnsi"/>
          <w:sz w:val="32"/>
        </w:rPr>
      </w:pPr>
    </w:p>
    <w:p w14:paraId="0D285A6B">
      <w:pPr>
        <w:spacing w:before="0" w:after="0" w:line="20" w:lineRule="exact"/>
        <w:rPr>
          <w:rFonts w:asciiTheme="minorHAnsi" w:hAnsiTheme="minorHAnsi"/>
          <w:sz w:val="32"/>
        </w:rPr>
      </w:pPr>
    </w:p>
    <w:p w14:paraId="011C9545">
      <w:pPr>
        <w:spacing w:before="0" w:after="0" w:line="20" w:lineRule="exact"/>
        <w:rPr>
          <w:rFonts w:asciiTheme="minorHAnsi" w:hAnsiTheme="minorHAnsi"/>
          <w:sz w:val="32"/>
        </w:rPr>
      </w:pPr>
    </w:p>
    <w:p w14:paraId="495E44EC">
      <w:pPr>
        <w:spacing w:before="0" w:after="160" w:line="240" w:lineRule="auto"/>
        <w:rPr>
          <w:rFonts w:asciiTheme="minorHAnsi" w:hAnsiTheme="minorHAnsi"/>
          <w:sz w:val="32"/>
        </w:rPr>
      </w:pPr>
      <w:r>
        <w:rPr>
          <w:rFonts w:asciiTheme="minorHAnsi" w:hAnsiTheme="minorHAnsi"/>
          <w:sz w:val="32"/>
        </w:rPr>
        <w:t>Student Name: M.W.V.D.M.J. Wijewickrama</w:t>
      </w:r>
    </w:p>
    <w:p w14:paraId="4086F850">
      <w:pPr>
        <w:spacing w:before="0" w:after="0" w:line="20" w:lineRule="exact"/>
        <w:rPr>
          <w:rFonts w:asciiTheme="minorHAnsi" w:hAnsiTheme="minorHAnsi"/>
          <w:sz w:val="32"/>
        </w:rPr>
      </w:pPr>
    </w:p>
    <w:p w14:paraId="14F0E217">
      <w:pPr>
        <w:spacing w:before="0" w:after="160" w:line="240" w:lineRule="auto"/>
        <w:rPr>
          <w:sz w:val="32"/>
        </w:rPr>
      </w:pPr>
      <w:r>
        <w:rPr>
          <w:rFonts w:asciiTheme="minorHAnsi" w:hAnsiTheme="minorHAnsi"/>
          <w:sz w:val="32"/>
        </w:rPr>
        <w:t>Student Number: 2642837</w:t>
      </w:r>
    </w:p>
    <w:p w14:paraId="781E5BB4">
      <w:pPr>
        <w:spacing w:before="0" w:after="0" w:line="20" w:lineRule="exact"/>
        <w:rPr>
          <w:rFonts w:asciiTheme="minorHAnsi" w:hAnsiTheme="minorHAnsi"/>
          <w:sz w:val="32"/>
        </w:rPr>
      </w:pPr>
    </w:p>
    <w:p w14:paraId="3FB0EFF1">
      <w:pPr>
        <w:spacing w:before="0" w:after="160" w:line="240" w:lineRule="auto"/>
        <w:rPr>
          <w:rFonts w:asciiTheme="minorHAnsi" w:hAnsiTheme="minorHAnsi"/>
          <w:sz w:val="32"/>
        </w:rPr>
      </w:pPr>
      <w:r>
        <w:rPr>
          <w:rFonts w:asciiTheme="minorHAnsi" w:hAnsiTheme="minorHAnsi"/>
          <w:sz w:val="32"/>
        </w:rPr>
        <w:t>Module Code: 6CS007</w:t>
      </w:r>
    </w:p>
    <w:p w14:paraId="01F1CB98">
      <w:pPr>
        <w:spacing w:before="0" w:after="0" w:line="20" w:lineRule="exact"/>
        <w:rPr>
          <w:rFonts w:asciiTheme="minorHAnsi" w:hAnsiTheme="minorHAnsi"/>
          <w:sz w:val="32"/>
        </w:rPr>
      </w:pPr>
    </w:p>
    <w:p w14:paraId="341C2DEF">
      <w:pPr>
        <w:spacing w:before="0" w:after="160" w:line="240" w:lineRule="auto"/>
        <w:rPr>
          <w:rFonts w:asciiTheme="minorHAnsi" w:hAnsiTheme="minorHAnsi"/>
          <w:sz w:val="32"/>
        </w:rPr>
      </w:pPr>
      <w:r>
        <w:rPr>
          <w:rFonts w:asciiTheme="minorHAnsi" w:hAnsiTheme="minorHAnsi"/>
          <w:sz w:val="32"/>
        </w:rPr>
        <w:t>Module Name: Project and Professionalism</w:t>
      </w:r>
    </w:p>
    <w:p w14:paraId="381AE7A5">
      <w:pPr>
        <w:spacing w:before="0" w:after="0" w:line="20" w:lineRule="exact"/>
        <w:rPr>
          <w:rFonts w:asciiTheme="minorHAnsi" w:hAnsiTheme="minorHAnsi"/>
          <w:sz w:val="32"/>
        </w:rPr>
      </w:pPr>
    </w:p>
    <w:p w14:paraId="7B3569CC">
      <w:pPr>
        <w:spacing w:before="0" w:after="160" w:line="240" w:lineRule="auto"/>
        <w:rPr>
          <w:rFonts w:asciiTheme="minorHAnsi" w:hAnsiTheme="minorHAnsi"/>
          <w:sz w:val="32"/>
        </w:rPr>
      </w:pPr>
      <w:r>
        <w:rPr>
          <w:rFonts w:asciiTheme="minorHAnsi" w:hAnsiTheme="minorHAnsi"/>
          <w:sz w:val="30"/>
        </w:rPr>
        <w:t>Project Title: An AI-Assisted Chest X-ray Training Companion for Student Radiologists Using MedGemma and Retrieval-Augmented Generation</w:t>
      </w:r>
    </w:p>
    <w:p w14:paraId="4B28B48A">
      <w:pPr>
        <w:spacing w:before="0" w:after="0" w:line="20" w:lineRule="exact"/>
        <w:rPr>
          <w:rFonts w:asciiTheme="minorHAnsi" w:hAnsiTheme="minorHAnsi"/>
          <w:sz w:val="32"/>
        </w:rPr>
      </w:pPr>
    </w:p>
    <w:p w14:paraId="73A2EEAB">
      <w:pPr>
        <w:spacing w:before="0" w:after="160" w:line="240" w:lineRule="auto"/>
        <w:rPr>
          <w:rFonts w:asciiTheme="minorHAnsi" w:hAnsiTheme="minorHAnsi"/>
          <w:sz w:val="32"/>
        </w:rPr>
      </w:pPr>
      <w:r>
        <w:rPr>
          <w:rFonts w:asciiTheme="minorHAnsi" w:hAnsiTheme="minorHAnsi"/>
          <w:sz w:val="32"/>
        </w:rPr>
        <w:t>Module Leader Name: Mr. Dhishan Dhammearatchi</w:t>
      </w:r>
    </w:p>
    <w:p w14:paraId="4CAAFC79">
      <w:pPr>
        <w:spacing w:before="0" w:after="0" w:line="20" w:lineRule="exact"/>
        <w:rPr>
          <w:rFonts w:asciiTheme="minorHAnsi" w:hAnsiTheme="minorHAnsi"/>
          <w:sz w:val="32"/>
        </w:rPr>
      </w:pPr>
    </w:p>
    <w:p w14:paraId="56A48C97">
      <w:pPr>
        <w:spacing w:before="0" w:after="160" w:line="240" w:lineRule="auto"/>
        <w:rPr>
          <w:rFonts w:asciiTheme="minorHAnsi" w:hAnsiTheme="minorHAnsi"/>
          <w:sz w:val="32"/>
        </w:rPr>
      </w:pPr>
      <w:r>
        <w:rPr>
          <w:rFonts w:asciiTheme="minorHAnsi" w:hAnsiTheme="minorHAnsi"/>
          <w:sz w:val="32"/>
        </w:rPr>
        <w:t>Supervisor Name: Mr. Harindu Mansaka</w:t>
      </w:r>
    </w:p>
    <w:p w14:paraId="01B26682">
      <w:pPr>
        <w:spacing w:before="0" w:after="0" w:line="20" w:lineRule="exact"/>
        <w:rPr>
          <w:rFonts w:asciiTheme="minorHAnsi" w:hAnsiTheme="minorHAnsi"/>
          <w:sz w:val="32"/>
        </w:rPr>
      </w:pPr>
    </w:p>
    <w:p w14:paraId="3413410D">
      <w:pPr>
        <w:spacing w:before="0" w:after="160" w:line="240" w:lineRule="auto"/>
        <w:rPr>
          <w:rFonts w:hint="default" w:asciiTheme="minorHAnsi" w:hAnsiTheme="minorHAnsi"/>
          <w:sz w:val="32"/>
          <w:lang w:val="en-US"/>
        </w:rPr>
      </w:pPr>
      <w:r>
        <w:rPr>
          <w:rFonts w:asciiTheme="minorHAnsi" w:hAnsiTheme="minorHAnsi"/>
          <w:sz w:val="32"/>
        </w:rPr>
        <w:t>Reader Name:</w:t>
      </w:r>
      <w:r>
        <w:rPr>
          <w:rFonts w:hint="default" w:asciiTheme="minorHAnsi" w:hAnsiTheme="minorHAnsi"/>
          <w:sz w:val="32"/>
          <w:lang w:val="en-US"/>
        </w:rPr>
        <w:t xml:space="preserve"> Ms. Shanika Ekanayake</w:t>
      </w:r>
    </w:p>
    <w:p w14:paraId="61B34F90">
      <w:pPr>
        <w:spacing w:before="0" w:after="0" w:line="20" w:lineRule="exact"/>
        <w:rPr>
          <w:rFonts w:asciiTheme="minorHAnsi" w:hAnsiTheme="minorHAnsi"/>
          <w:sz w:val="32"/>
        </w:rPr>
      </w:pPr>
    </w:p>
    <w:p w14:paraId="37002EDD">
      <w:pPr>
        <w:spacing w:before="0" w:after="160" w:line="240" w:lineRule="auto"/>
        <w:rPr>
          <w:rFonts w:hint="default" w:asciiTheme="minorHAnsi" w:hAnsiTheme="minorHAnsi"/>
          <w:sz w:val="32"/>
          <w:lang w:val="en-US"/>
        </w:rPr>
      </w:pPr>
      <w:r>
        <w:rPr>
          <w:rFonts w:asciiTheme="minorHAnsi" w:hAnsiTheme="minorHAnsi"/>
          <w:sz w:val="32"/>
        </w:rPr>
        <w:t>Submission Date:</w:t>
      </w:r>
      <w:r>
        <w:rPr>
          <w:rFonts w:hint="default" w:asciiTheme="minorHAnsi" w:hAnsiTheme="minorHAnsi"/>
          <w:sz w:val="32"/>
          <w:lang w:val="en-US"/>
        </w:rPr>
        <w:t xml:space="preserve"> </w:t>
      </w:r>
      <w:r>
        <w:rPr>
          <w:rFonts w:asciiTheme="minorHAnsi" w:hAnsiTheme="minorHAnsi"/>
          <w:sz w:val="32"/>
        </w:rPr>
        <w:t>2026/07/12</w:t>
      </w:r>
    </w:p>
    <w:p w14:paraId="70D7117C">
      <w:pPr>
        <w:spacing w:before="0" w:after="0" w:line="20" w:lineRule="exact"/>
        <w:rPr>
          <w:rFonts w:asciiTheme="minorHAnsi" w:hAnsiTheme="minorHAnsi"/>
          <w:sz w:val="32"/>
        </w:rPr>
      </w:pPr>
    </w:p>
    <w:p w14:paraId="05C6AE79">
      <w:pPr>
        <w:tabs>
          <w:tab w:val="left" w:pos="2160"/>
        </w:tabs>
        <w:spacing w:before="0" w:after="160" w:line="240" w:lineRule="auto"/>
        <w:ind w:left="2160" w:hanging="2160"/>
        <w:rPr>
          <w:rFonts w:asciiTheme="minorHAnsi" w:hAnsiTheme="minorHAnsi"/>
          <w:i/>
          <w:sz w:val="32"/>
        </w:rPr>
      </w:pPr>
      <w:r>
        <w:rPr>
          <w:rFonts w:asciiTheme="minorHAnsi" w:hAnsiTheme="minorHAnsi"/>
          <w:sz w:val="32"/>
        </w:rPr>
        <w:t>Award Title : BSc (Hons) Computer Science in Software Engineering (TopUp)</w:t>
      </w:r>
    </w:p>
    <w:p w14:paraId="5EA998AC">
      <w:pPr>
        <w:spacing w:before="0" w:after="0" w:line="20" w:lineRule="exact"/>
      </w:pPr>
      <w:r>
        <w:rPr>
          <w:sz w:val="2"/>
        </w:rPr>
        <w:br w:type="page"/>
      </w:r>
    </w:p>
    <w:p w14:paraId="0ACE887C">
      <w:pPr>
        <w:pStyle w:val="2"/>
      </w:pPr>
      <w:r>
        <w:rPr>
          <w:rFonts w:ascii="Times New Roman" w:hAnsi="Times New Roman" w:eastAsia="Times New Roman"/>
          <w:b/>
          <w:i w:val="0"/>
          <w:sz w:val="32"/>
        </w:rPr>
        <w:t>Declaration</w:t>
      </w:r>
    </w:p>
    <w:p w14:paraId="6ABABCAE">
      <w:pPr>
        <w:spacing w:after="120" w:line="360" w:lineRule="auto"/>
      </w:pPr>
      <w:r>
        <w:rPr>
          <w:rFonts w:ascii="Times New Roman" w:hAnsi="Times New Roman" w:eastAsia="Times New Roman"/>
          <w:b w:val="0"/>
          <w:i w:val="0"/>
          <w:sz w:val="22"/>
        </w:rPr>
        <w:t>Presented in partial fulfilment of the assessment requirements for the above award.</w:t>
      </w:r>
    </w:p>
    <w:p w14:paraId="2ABA48E5">
      <w:pPr>
        <w:spacing w:after="120" w:line="360" w:lineRule="auto"/>
      </w:pPr>
      <w:r>
        <w:rPr>
          <w:rFonts w:ascii="Times New Roman" w:hAnsi="Times New Roman" w:eastAsia="Times New Roman"/>
          <w:b w:val="0"/>
          <w:i w:val="0"/>
          <w:sz w:val="22"/>
        </w:rPr>
        <w:t>This work or any part thereof has not previously been presented in any form to the University or to any other institutional body whether for assessment or for other purposes. Save for any express acknowledgements, references and/or bibliographies cited in the work. I confirm that the intellectual contents of the work are the result of my own efforts and of no other person.</w:t>
      </w:r>
    </w:p>
    <w:p w14:paraId="36BE9EB6">
      <w:pPr>
        <w:spacing w:after="120" w:line="360" w:lineRule="auto"/>
      </w:pPr>
      <w:r>
        <w:rPr>
          <w:rFonts w:ascii="Times New Roman" w:hAnsi="Times New Roman" w:eastAsia="Times New Roman"/>
          <w:b w:val="0"/>
          <w:i w:val="0"/>
          <w:sz w:val="22"/>
        </w:rPr>
        <w:t>It is acknowledged that the author of any project work shall own the copyright. However, by submitting such copyright work for assessment, the author grants to the University a perpetual royalty-free licence to do all or any of those things referred to in section 16(i) of the Copyright Designs and Patents Act 1988. (viz: to copy work; to issue copies to the public; to perform or show or play the work in public; to broadcast the work or to make an adaptation of the work).</w:t>
      </w:r>
    </w:p>
    <w:p w14:paraId="153DCC9F">
      <w:pPr>
        <w:spacing w:after="120" w:line="360" w:lineRule="auto"/>
      </w:pPr>
    </w:p>
    <w:p w14:paraId="70B700AF">
      <w:pPr>
        <w:spacing w:after="120" w:line="360" w:lineRule="auto"/>
      </w:pPr>
      <w:r>
        <w:rPr>
          <w:sz w:val="22"/>
        </w:rPr>
        <w:drawing>
          <wp:anchor distT="0" distB="0" distL="114300" distR="114300" simplePos="0" relativeHeight="251660288" behindDoc="0" locked="0" layoutInCell="1" allowOverlap="1">
            <wp:simplePos x="0" y="0"/>
            <wp:positionH relativeFrom="column">
              <wp:posOffset>1708785</wp:posOffset>
            </wp:positionH>
            <wp:positionV relativeFrom="paragraph">
              <wp:posOffset>235585</wp:posOffset>
            </wp:positionV>
            <wp:extent cx="1143000" cy="795020"/>
            <wp:effectExtent l="0" t="0" r="0" b="0"/>
            <wp:wrapNone/>
            <wp:docPr id="4" name="Picture 4" descr="V01_015f32de082c45cbbf3fc51945af0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01_015f32de082c45cbbf3fc51945af0d8e"/>
                    <pic:cNvPicPr>
                      <a:picLocks noChangeAspect="1"/>
                    </pic:cNvPicPr>
                  </pic:nvPicPr>
                  <pic:blipFill>
                    <a:blip r:embed="rId9"/>
                    <a:stretch>
                      <a:fillRect/>
                    </a:stretch>
                  </pic:blipFill>
                  <pic:spPr>
                    <a:xfrm>
                      <a:off x="-3457575" y="-179705"/>
                      <a:ext cx="1143000" cy="795020"/>
                    </a:xfrm>
                    <a:prstGeom prst="rect">
                      <a:avLst/>
                    </a:prstGeom>
                  </pic:spPr>
                </pic:pic>
              </a:graphicData>
            </a:graphic>
          </wp:anchor>
        </w:drawing>
      </w:r>
      <w:r>
        <w:rPr>
          <w:sz w:val="22"/>
        </w:rPr>
        <w:drawing>
          <wp:anchor distT="0" distB="0" distL="114300" distR="114300" simplePos="0" relativeHeight="251659264" behindDoc="0" locked="0" layoutInCell="1" allowOverlap="1">
            <wp:simplePos x="0" y="0"/>
            <wp:positionH relativeFrom="column">
              <wp:posOffset>-4371975</wp:posOffset>
            </wp:positionH>
            <wp:positionV relativeFrom="paragraph">
              <wp:posOffset>-1094105</wp:posOffset>
            </wp:positionV>
            <wp:extent cx="1143000" cy="795020"/>
            <wp:effectExtent l="0" t="0" r="0" b="0"/>
            <wp:wrapNone/>
            <wp:docPr id="1" name="Picture 1" descr="V01_015f32de082c45cbbf3fc51945af0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01_015f32de082c45cbbf3fc51945af0d8e"/>
                    <pic:cNvPicPr>
                      <a:picLocks noChangeAspect="1"/>
                    </pic:cNvPicPr>
                  </pic:nvPicPr>
                  <pic:blipFill>
                    <a:blip r:embed="rId9"/>
                    <a:stretch>
                      <a:fillRect/>
                    </a:stretch>
                  </pic:blipFill>
                  <pic:spPr>
                    <a:xfrm>
                      <a:off x="-3457575" y="-179705"/>
                      <a:ext cx="1143000" cy="795020"/>
                    </a:xfrm>
                    <a:prstGeom prst="rect">
                      <a:avLst/>
                    </a:prstGeom>
                  </pic:spPr>
                </pic:pic>
              </a:graphicData>
            </a:graphic>
          </wp:anchor>
        </w:drawing>
      </w:r>
      <w:r>
        <w:rPr>
          <w:rFonts w:ascii="Times New Roman" w:hAnsi="Times New Roman" w:eastAsia="Times New Roman"/>
          <w:b w:val="0"/>
          <w:i w:val="0"/>
          <w:sz w:val="22"/>
        </w:rPr>
        <w:t>Student Name (Print): M.W.V.D.M.J. Wijewickrama</w:t>
      </w:r>
    </w:p>
    <w:p w14:paraId="2A07E4EF">
      <w:pPr>
        <w:spacing w:after="120" w:line="360" w:lineRule="auto"/>
      </w:pPr>
      <w:r>
        <w:rPr>
          <w:rFonts w:ascii="Times New Roman" w:hAnsi="Times New Roman" w:eastAsia="Times New Roman"/>
          <w:b w:val="0"/>
          <w:i w:val="0"/>
          <w:sz w:val="22"/>
        </w:rPr>
        <w:t>Student Number: 2642837</w:t>
      </w:r>
    </w:p>
    <w:p w14:paraId="14263DF5">
      <w:pPr>
        <w:spacing w:after="120" w:line="360" w:lineRule="auto"/>
      </w:pPr>
      <w:r>
        <w:rPr>
          <w:rFonts w:ascii="Times New Roman" w:hAnsi="Times New Roman" w:eastAsia="Times New Roman"/>
          <w:b w:val="0"/>
          <w:i w:val="0"/>
          <w:sz w:val="22"/>
        </w:rPr>
        <w:t>Signature of the Student: ......................................................</w:t>
      </w:r>
    </w:p>
    <w:p w14:paraId="26CA7312">
      <w:pPr>
        <w:spacing w:after="120" w:line="360" w:lineRule="auto"/>
      </w:pPr>
      <w:r>
        <w:rPr>
          <w:rFonts w:ascii="Times New Roman" w:hAnsi="Times New Roman" w:eastAsia="Times New Roman"/>
          <w:b w:val="0"/>
          <w:i w:val="0"/>
          <w:sz w:val="22"/>
        </w:rPr>
        <w:t>Date: ..............</w:t>
      </w:r>
      <w:r>
        <w:rPr>
          <w:rFonts w:hint="default"/>
          <w:b w:val="0"/>
          <w:i w:val="0"/>
          <w:sz w:val="22"/>
          <w:lang w:val="en-US"/>
        </w:rPr>
        <w:t>2026/07/12</w:t>
      </w:r>
      <w:r>
        <w:rPr>
          <w:rFonts w:ascii="Times New Roman" w:hAnsi="Times New Roman" w:eastAsia="Times New Roman"/>
          <w:b w:val="0"/>
          <w:i w:val="0"/>
          <w:sz w:val="22"/>
        </w:rPr>
        <w:t>........................................</w:t>
      </w:r>
    </w:p>
    <w:p w14:paraId="6D1B8862">
      <w:r>
        <w:br w:type="page"/>
      </w:r>
    </w:p>
    <w:p w14:paraId="6F20F89E">
      <w:pPr>
        <w:pStyle w:val="2"/>
      </w:pPr>
      <w:r>
        <w:rPr>
          <w:rFonts w:ascii="Times New Roman" w:hAnsi="Times New Roman" w:eastAsia="Times New Roman"/>
          <w:b/>
          <w:i w:val="0"/>
          <w:sz w:val="32"/>
        </w:rPr>
        <w:t>Abstract</w:t>
      </w:r>
    </w:p>
    <w:p w14:paraId="59B3B59E">
      <w:pPr>
        <w:spacing w:after="120" w:line="240" w:lineRule="auto"/>
      </w:pPr>
      <w:r>
        <w:rPr>
          <w:rFonts w:ascii="Times New Roman" w:hAnsi="Times New Roman" w:eastAsia="Times New Roman"/>
          <w:b w:val="0"/>
          <w:i w:val="0"/>
          <w:sz w:val="22"/>
        </w:rPr>
        <w:t>Chest X-ray (CXR) interpretation is a core radiology skill that student radiologists develop through repeated case exposure and structured, individualised feedback. In settings affected by a shortage of radiologists, such supervised practice is difficult to provide at scale. This proposal presents a student-in-the-loop CXR training companion that combines MedGemma, a medical vision-language model, with Retrieval-Augmented Generation (RAG) to produce evidence-grounded, educational feedback for a narrow set of common findings. In the proposed workflow the student first records their own interpretation of a CXR image; MedGemma then analyses the image and proposes likely findings, and a RAG layer retrieves relevant teaching material and guidelines from a curated corpus. The system finally generates a student-facing feedback note that highlights likely findings, key radiographic signs, missed clues, supporting evidence and a learning point. The system is deliberately positioned as a formative learning aid rather than a clinical decision-support or diagnostic tool. The project follows a design-and-creation approach combined with an experimental, mixed-method evaluation that compares three configurations – MedGemma only, MedGemma + RAG, and, if feasible, a parameter-efficient fine-tuned MedGemma + RAG – using public datasets (NIH ChestX-ray and MIMIC-CXR). Technical performance is assessed through finding recognition and agreement with dataset labels, while educational feedback quality is assessed through a rubric measuring retrieval relevance, evidence grounding, clarity and usefulness for learning. The expected outcome is a working prototype and a practical framework for combining a medical vision-language model with RAG in an educational radiology setting, together with evidence on whether RAG improves the quality and trustworthiness of AI-generated feedback over the model alone.</w:t>
      </w:r>
    </w:p>
    <w:p w14:paraId="14538D5E">
      <w:pPr>
        <w:spacing w:before="160" w:line="240" w:lineRule="auto"/>
      </w:pPr>
      <w:r>
        <w:rPr>
          <w:rFonts w:ascii="Times New Roman" w:hAnsi="Times New Roman" w:eastAsia="Times New Roman"/>
          <w:b/>
          <w:i w:val="0"/>
          <w:sz w:val="22"/>
        </w:rPr>
        <w:t xml:space="preserve">Keywords: </w:t>
      </w:r>
      <w:r>
        <w:rPr>
          <w:rFonts w:ascii="Times New Roman" w:hAnsi="Times New Roman" w:eastAsia="Times New Roman"/>
          <w:b w:val="0"/>
          <w:i w:val="0"/>
          <w:sz w:val="22"/>
        </w:rPr>
        <w:t>Chest X-ray; Radiology education; MedGemma; Retrieval-Augmented Generation; Vision-language models</w:t>
      </w:r>
    </w:p>
    <w:p w14:paraId="5E179146">
      <w:r>
        <w:br w:type="page"/>
      </w:r>
    </w:p>
    <w:p w14:paraId="560DAB9E">
      <w:pPr>
        <w:pStyle w:val="2"/>
      </w:pPr>
      <w:r>
        <w:rPr>
          <w:rFonts w:ascii="Times New Roman" w:hAnsi="Times New Roman" w:eastAsia="Times New Roman"/>
          <w:b/>
          <w:i w:val="0"/>
          <w:sz w:val="32"/>
        </w:rPr>
        <w:t>Table of Contents</w:t>
      </w:r>
    </w:p>
    <w:p w14:paraId="6EE0C0EB">
      <w:pPr>
        <w:spacing w:after="360"/>
      </w:pPr>
    </w:p>
    <w:p w14:paraId="721614B4">
      <w:pPr>
        <w:tabs>
          <w:tab w:val="left" w:pos="605"/>
          <w:tab w:val="right" w:pos="9144"/>
        </w:tabs>
        <w:spacing w:before="0" w:after="20" w:line="240" w:lineRule="auto"/>
        <w:ind w:left="0"/>
      </w:pPr>
      <w:r>
        <w:rPr>
          <w:rFonts w:ascii="Times New Roman" w:hAnsi="Times New Roman"/>
          <w:sz w:val="21"/>
        </w:rPr>
        <w:t>1</w:t>
      </w:r>
      <w:r>
        <w:rPr>
          <w:rFonts w:ascii="Times New Roman" w:hAnsi="Times New Roman"/>
          <w:sz w:val="21"/>
        </w:rPr>
        <w:tab/>
      </w:r>
      <w:r>
        <w:rPr>
          <w:rFonts w:ascii="Times New Roman" w:hAnsi="Times New Roman"/>
          <w:sz w:val="21"/>
        </w:rPr>
        <w:t>Introduction</w:t>
      </w:r>
      <w:r>
        <w:rPr>
          <w:rFonts w:ascii="Times New Roman" w:hAnsi="Times New Roman"/>
          <w:sz w:val="21"/>
        </w:rPr>
        <w:tab/>
      </w:r>
      <w:r>
        <w:rPr>
          <w:rFonts w:ascii="Times New Roman" w:hAnsi="Times New Roman"/>
          <w:sz w:val="21"/>
        </w:rPr>
        <w:t>1</w:t>
      </w:r>
    </w:p>
    <w:p w14:paraId="23874DF0">
      <w:pPr>
        <w:tabs>
          <w:tab w:val="left" w:pos="1037"/>
          <w:tab w:val="right" w:pos="9144"/>
        </w:tabs>
        <w:spacing w:before="0" w:after="20" w:line="240" w:lineRule="auto"/>
        <w:ind w:left="259"/>
      </w:pPr>
      <w:r>
        <w:rPr>
          <w:rFonts w:ascii="Times New Roman" w:hAnsi="Times New Roman"/>
          <w:sz w:val="21"/>
        </w:rPr>
        <w:t>1.1</w:t>
      </w:r>
      <w:r>
        <w:rPr>
          <w:rFonts w:ascii="Times New Roman" w:hAnsi="Times New Roman"/>
          <w:sz w:val="21"/>
        </w:rPr>
        <w:tab/>
      </w:r>
      <w:r>
        <w:rPr>
          <w:rFonts w:ascii="Times New Roman" w:hAnsi="Times New Roman"/>
          <w:sz w:val="21"/>
        </w:rPr>
        <w:t>Background</w:t>
      </w:r>
      <w:r>
        <w:rPr>
          <w:rFonts w:ascii="Times New Roman" w:hAnsi="Times New Roman"/>
          <w:sz w:val="21"/>
        </w:rPr>
        <w:tab/>
      </w:r>
      <w:r>
        <w:rPr>
          <w:rFonts w:ascii="Times New Roman" w:hAnsi="Times New Roman"/>
          <w:sz w:val="21"/>
        </w:rPr>
        <w:t>1</w:t>
      </w:r>
    </w:p>
    <w:p w14:paraId="6FF4B8FF">
      <w:pPr>
        <w:tabs>
          <w:tab w:val="left" w:pos="1037"/>
          <w:tab w:val="right" w:pos="9144"/>
        </w:tabs>
        <w:spacing w:before="0" w:after="20" w:line="240" w:lineRule="auto"/>
        <w:ind w:left="259"/>
      </w:pPr>
      <w:r>
        <w:rPr>
          <w:rFonts w:ascii="Times New Roman" w:hAnsi="Times New Roman"/>
          <w:sz w:val="21"/>
        </w:rPr>
        <w:t>1.2</w:t>
      </w:r>
      <w:r>
        <w:rPr>
          <w:rFonts w:ascii="Times New Roman" w:hAnsi="Times New Roman"/>
          <w:sz w:val="21"/>
        </w:rPr>
        <w:tab/>
      </w:r>
      <w:r>
        <w:rPr>
          <w:rFonts w:ascii="Times New Roman" w:hAnsi="Times New Roman"/>
          <w:sz w:val="21"/>
        </w:rPr>
        <w:t>Problem Statement</w:t>
      </w:r>
      <w:r>
        <w:rPr>
          <w:rFonts w:ascii="Times New Roman" w:hAnsi="Times New Roman"/>
          <w:sz w:val="21"/>
        </w:rPr>
        <w:tab/>
      </w:r>
      <w:r>
        <w:rPr>
          <w:rFonts w:ascii="Times New Roman" w:hAnsi="Times New Roman"/>
          <w:sz w:val="21"/>
        </w:rPr>
        <w:t>1</w:t>
      </w:r>
    </w:p>
    <w:p w14:paraId="62A89DBC">
      <w:pPr>
        <w:tabs>
          <w:tab w:val="left" w:pos="1037"/>
          <w:tab w:val="right" w:pos="9144"/>
        </w:tabs>
        <w:spacing w:before="0" w:after="20" w:line="240" w:lineRule="auto"/>
        <w:ind w:left="259"/>
      </w:pPr>
      <w:r>
        <w:rPr>
          <w:rFonts w:ascii="Times New Roman" w:hAnsi="Times New Roman"/>
          <w:sz w:val="21"/>
        </w:rPr>
        <w:t>1.3</w:t>
      </w:r>
      <w:r>
        <w:rPr>
          <w:rFonts w:ascii="Times New Roman" w:hAnsi="Times New Roman"/>
          <w:sz w:val="21"/>
        </w:rPr>
        <w:tab/>
      </w:r>
      <w:r>
        <w:rPr>
          <w:rFonts w:ascii="Times New Roman" w:hAnsi="Times New Roman"/>
          <w:sz w:val="21"/>
        </w:rPr>
        <w:t>Aims of the Project</w:t>
      </w:r>
      <w:r>
        <w:rPr>
          <w:rFonts w:ascii="Times New Roman" w:hAnsi="Times New Roman"/>
          <w:sz w:val="21"/>
        </w:rPr>
        <w:tab/>
      </w:r>
      <w:r>
        <w:rPr>
          <w:rFonts w:ascii="Times New Roman" w:hAnsi="Times New Roman"/>
          <w:sz w:val="21"/>
        </w:rPr>
        <w:t>2</w:t>
      </w:r>
    </w:p>
    <w:p w14:paraId="33BAF4F8">
      <w:pPr>
        <w:tabs>
          <w:tab w:val="left" w:pos="1037"/>
          <w:tab w:val="right" w:pos="9144"/>
        </w:tabs>
        <w:spacing w:before="0" w:after="20" w:line="240" w:lineRule="auto"/>
        <w:ind w:left="259"/>
      </w:pPr>
      <w:r>
        <w:rPr>
          <w:rFonts w:ascii="Times New Roman" w:hAnsi="Times New Roman"/>
          <w:sz w:val="21"/>
        </w:rPr>
        <w:t>1.4</w:t>
      </w:r>
      <w:r>
        <w:rPr>
          <w:rFonts w:ascii="Times New Roman" w:hAnsi="Times New Roman"/>
          <w:sz w:val="21"/>
        </w:rPr>
        <w:tab/>
      </w:r>
      <w:r>
        <w:rPr>
          <w:rFonts w:ascii="Times New Roman" w:hAnsi="Times New Roman"/>
          <w:sz w:val="21"/>
        </w:rPr>
        <w:t>Academic Questions</w:t>
      </w:r>
      <w:r>
        <w:rPr>
          <w:rFonts w:ascii="Times New Roman" w:hAnsi="Times New Roman"/>
          <w:sz w:val="21"/>
        </w:rPr>
        <w:tab/>
      </w:r>
      <w:r>
        <w:rPr>
          <w:rFonts w:ascii="Times New Roman" w:hAnsi="Times New Roman"/>
          <w:sz w:val="21"/>
        </w:rPr>
        <w:t>2</w:t>
      </w:r>
    </w:p>
    <w:p w14:paraId="34CB5573">
      <w:pPr>
        <w:tabs>
          <w:tab w:val="left" w:pos="1037"/>
          <w:tab w:val="right" w:pos="9144"/>
        </w:tabs>
        <w:spacing w:before="0" w:after="20" w:line="240" w:lineRule="auto"/>
        <w:ind w:left="259"/>
      </w:pPr>
      <w:r>
        <w:rPr>
          <w:rFonts w:ascii="Times New Roman" w:hAnsi="Times New Roman"/>
          <w:sz w:val="21"/>
        </w:rPr>
        <w:t>1.5</w:t>
      </w:r>
      <w:r>
        <w:rPr>
          <w:rFonts w:ascii="Times New Roman" w:hAnsi="Times New Roman"/>
          <w:sz w:val="21"/>
        </w:rPr>
        <w:tab/>
      </w:r>
      <w:r>
        <w:rPr>
          <w:rFonts w:ascii="Times New Roman" w:hAnsi="Times New Roman"/>
          <w:sz w:val="21"/>
        </w:rPr>
        <w:t>Objectives</w:t>
      </w:r>
      <w:r>
        <w:rPr>
          <w:rFonts w:ascii="Times New Roman" w:hAnsi="Times New Roman"/>
          <w:sz w:val="21"/>
        </w:rPr>
        <w:tab/>
      </w:r>
      <w:r>
        <w:rPr>
          <w:rFonts w:ascii="Times New Roman" w:hAnsi="Times New Roman"/>
          <w:sz w:val="21"/>
        </w:rPr>
        <w:t>2</w:t>
      </w:r>
    </w:p>
    <w:p w14:paraId="48211A32">
      <w:pPr>
        <w:tabs>
          <w:tab w:val="left" w:pos="1037"/>
          <w:tab w:val="right" w:pos="9144"/>
        </w:tabs>
        <w:spacing w:before="0" w:after="20" w:line="240" w:lineRule="auto"/>
        <w:ind w:left="259"/>
      </w:pPr>
      <w:r>
        <w:rPr>
          <w:rFonts w:ascii="Times New Roman" w:hAnsi="Times New Roman"/>
          <w:sz w:val="21"/>
        </w:rPr>
        <w:t>1.6</w:t>
      </w:r>
      <w:r>
        <w:rPr>
          <w:rFonts w:ascii="Times New Roman" w:hAnsi="Times New Roman"/>
          <w:sz w:val="21"/>
        </w:rPr>
        <w:tab/>
      </w:r>
      <w:r>
        <w:rPr>
          <w:rFonts w:ascii="Times New Roman" w:hAnsi="Times New Roman"/>
          <w:sz w:val="21"/>
        </w:rPr>
        <w:t>Scope</w:t>
      </w:r>
      <w:r>
        <w:rPr>
          <w:rFonts w:ascii="Times New Roman" w:hAnsi="Times New Roman"/>
          <w:sz w:val="21"/>
        </w:rPr>
        <w:tab/>
      </w:r>
      <w:r>
        <w:rPr>
          <w:rFonts w:ascii="Times New Roman" w:hAnsi="Times New Roman"/>
          <w:sz w:val="21"/>
        </w:rPr>
        <w:t>3</w:t>
      </w:r>
    </w:p>
    <w:p w14:paraId="196D56DC">
      <w:pPr>
        <w:tabs>
          <w:tab w:val="left" w:pos="1555"/>
          <w:tab w:val="right" w:pos="9144"/>
        </w:tabs>
        <w:spacing w:before="0" w:after="20" w:line="240" w:lineRule="auto"/>
        <w:ind w:left="547"/>
      </w:pPr>
      <w:r>
        <w:rPr>
          <w:rFonts w:ascii="Times New Roman" w:hAnsi="Times New Roman"/>
          <w:sz w:val="21"/>
        </w:rPr>
        <w:t>1.6.1</w:t>
      </w:r>
      <w:r>
        <w:rPr>
          <w:rFonts w:ascii="Times New Roman" w:hAnsi="Times New Roman"/>
          <w:sz w:val="21"/>
        </w:rPr>
        <w:tab/>
      </w:r>
      <w:r>
        <w:rPr>
          <w:rFonts w:ascii="Times New Roman" w:hAnsi="Times New Roman"/>
          <w:sz w:val="21"/>
        </w:rPr>
        <w:t>In-Scope</w:t>
      </w:r>
      <w:r>
        <w:rPr>
          <w:rFonts w:ascii="Times New Roman" w:hAnsi="Times New Roman"/>
          <w:sz w:val="21"/>
        </w:rPr>
        <w:tab/>
      </w:r>
      <w:r>
        <w:rPr>
          <w:rFonts w:ascii="Times New Roman" w:hAnsi="Times New Roman"/>
          <w:sz w:val="21"/>
        </w:rPr>
        <w:t>3</w:t>
      </w:r>
    </w:p>
    <w:p w14:paraId="48B0F940">
      <w:pPr>
        <w:tabs>
          <w:tab w:val="left" w:pos="1555"/>
          <w:tab w:val="right" w:pos="9144"/>
        </w:tabs>
        <w:spacing w:before="0" w:after="20" w:line="240" w:lineRule="auto"/>
        <w:ind w:left="547"/>
      </w:pPr>
      <w:r>
        <w:rPr>
          <w:rFonts w:ascii="Times New Roman" w:hAnsi="Times New Roman"/>
          <w:sz w:val="21"/>
        </w:rPr>
        <w:t>1.6.2</w:t>
      </w:r>
      <w:r>
        <w:rPr>
          <w:rFonts w:ascii="Times New Roman" w:hAnsi="Times New Roman"/>
          <w:sz w:val="21"/>
        </w:rPr>
        <w:tab/>
      </w:r>
      <w:r>
        <w:rPr>
          <w:rFonts w:ascii="Times New Roman" w:hAnsi="Times New Roman"/>
          <w:sz w:val="21"/>
        </w:rPr>
        <w:t>Out-of-Scope</w:t>
      </w:r>
      <w:r>
        <w:rPr>
          <w:rFonts w:ascii="Times New Roman" w:hAnsi="Times New Roman"/>
          <w:sz w:val="21"/>
        </w:rPr>
        <w:tab/>
      </w:r>
      <w:r>
        <w:rPr>
          <w:rFonts w:ascii="Times New Roman" w:hAnsi="Times New Roman"/>
          <w:sz w:val="21"/>
        </w:rPr>
        <w:t>3</w:t>
      </w:r>
    </w:p>
    <w:p w14:paraId="3F99D1A3">
      <w:pPr>
        <w:tabs>
          <w:tab w:val="left" w:pos="1037"/>
          <w:tab w:val="right" w:pos="9144"/>
        </w:tabs>
        <w:spacing w:before="0" w:after="20" w:line="240" w:lineRule="auto"/>
        <w:ind w:left="259"/>
      </w:pPr>
      <w:r>
        <w:rPr>
          <w:rFonts w:ascii="Times New Roman" w:hAnsi="Times New Roman"/>
          <w:sz w:val="21"/>
        </w:rPr>
        <w:t>1.7</w:t>
      </w:r>
      <w:r>
        <w:rPr>
          <w:rFonts w:ascii="Times New Roman" w:hAnsi="Times New Roman"/>
          <w:sz w:val="21"/>
        </w:rPr>
        <w:tab/>
      </w:r>
      <w:r>
        <w:rPr>
          <w:rFonts w:ascii="Times New Roman" w:hAnsi="Times New Roman"/>
          <w:sz w:val="21"/>
        </w:rPr>
        <w:t>Structure of the Proposal</w:t>
      </w:r>
      <w:r>
        <w:rPr>
          <w:rFonts w:ascii="Times New Roman" w:hAnsi="Times New Roman"/>
          <w:sz w:val="21"/>
        </w:rPr>
        <w:tab/>
      </w:r>
      <w:r>
        <w:rPr>
          <w:rFonts w:ascii="Times New Roman" w:hAnsi="Times New Roman"/>
          <w:sz w:val="21"/>
        </w:rPr>
        <w:t>3</w:t>
      </w:r>
    </w:p>
    <w:p w14:paraId="1273634B">
      <w:pPr>
        <w:tabs>
          <w:tab w:val="left" w:pos="605"/>
          <w:tab w:val="right" w:pos="9144"/>
        </w:tabs>
        <w:spacing w:before="0" w:after="20" w:line="240" w:lineRule="auto"/>
        <w:ind w:left="0"/>
      </w:pPr>
      <w:r>
        <w:rPr>
          <w:rFonts w:ascii="Times New Roman" w:hAnsi="Times New Roman"/>
          <w:sz w:val="21"/>
        </w:rPr>
        <w:t>2</w:t>
      </w:r>
      <w:r>
        <w:rPr>
          <w:rFonts w:ascii="Times New Roman" w:hAnsi="Times New Roman"/>
          <w:sz w:val="21"/>
        </w:rPr>
        <w:tab/>
      </w:r>
      <w:r>
        <w:rPr>
          <w:rFonts w:ascii="Times New Roman" w:hAnsi="Times New Roman"/>
          <w:sz w:val="21"/>
        </w:rPr>
        <w:t>Literature Review</w:t>
      </w:r>
      <w:r>
        <w:rPr>
          <w:rFonts w:ascii="Times New Roman" w:hAnsi="Times New Roman"/>
          <w:sz w:val="21"/>
        </w:rPr>
        <w:tab/>
      </w:r>
      <w:r>
        <w:rPr>
          <w:rFonts w:ascii="Times New Roman" w:hAnsi="Times New Roman"/>
          <w:sz w:val="21"/>
        </w:rPr>
        <w:t>4</w:t>
      </w:r>
    </w:p>
    <w:p w14:paraId="18EF18B8">
      <w:pPr>
        <w:tabs>
          <w:tab w:val="left" w:pos="1037"/>
          <w:tab w:val="right" w:pos="9144"/>
        </w:tabs>
        <w:spacing w:before="0" w:after="20" w:line="240" w:lineRule="auto"/>
        <w:ind w:left="259"/>
      </w:pPr>
      <w:r>
        <w:rPr>
          <w:rFonts w:ascii="Times New Roman" w:hAnsi="Times New Roman"/>
          <w:sz w:val="21"/>
        </w:rPr>
        <w:t>2.1</w:t>
      </w:r>
      <w:r>
        <w:rPr>
          <w:rFonts w:ascii="Times New Roman" w:hAnsi="Times New Roman"/>
          <w:sz w:val="21"/>
        </w:rPr>
        <w:tab/>
      </w:r>
      <w:r>
        <w:rPr>
          <w:rFonts w:ascii="Times New Roman" w:hAnsi="Times New Roman"/>
          <w:sz w:val="21"/>
        </w:rPr>
        <w:t>Introduction</w:t>
      </w:r>
      <w:r>
        <w:rPr>
          <w:rFonts w:ascii="Times New Roman" w:hAnsi="Times New Roman"/>
          <w:sz w:val="21"/>
        </w:rPr>
        <w:tab/>
      </w:r>
      <w:r>
        <w:rPr>
          <w:rFonts w:ascii="Times New Roman" w:hAnsi="Times New Roman"/>
          <w:sz w:val="21"/>
        </w:rPr>
        <w:t>4</w:t>
      </w:r>
    </w:p>
    <w:p w14:paraId="79DD1A48">
      <w:pPr>
        <w:tabs>
          <w:tab w:val="left" w:pos="1037"/>
          <w:tab w:val="right" w:pos="9144"/>
        </w:tabs>
        <w:spacing w:before="0" w:after="20" w:line="240" w:lineRule="auto"/>
        <w:ind w:left="259"/>
      </w:pPr>
      <w:r>
        <w:rPr>
          <w:rFonts w:ascii="Times New Roman" w:hAnsi="Times New Roman"/>
          <w:sz w:val="21"/>
        </w:rPr>
        <w:t>2.2</w:t>
      </w:r>
      <w:r>
        <w:rPr>
          <w:rFonts w:ascii="Times New Roman" w:hAnsi="Times New Roman"/>
          <w:sz w:val="21"/>
        </w:rPr>
        <w:tab/>
      </w:r>
      <w:r>
        <w:rPr>
          <w:rFonts w:ascii="Times New Roman" w:hAnsi="Times New Roman"/>
          <w:sz w:val="21"/>
        </w:rPr>
        <w:t>Review of Existing Systems / Similar Work</w:t>
      </w:r>
      <w:r>
        <w:rPr>
          <w:rFonts w:ascii="Times New Roman" w:hAnsi="Times New Roman"/>
          <w:sz w:val="21"/>
        </w:rPr>
        <w:tab/>
      </w:r>
      <w:r>
        <w:rPr>
          <w:rFonts w:ascii="Times New Roman" w:hAnsi="Times New Roman"/>
          <w:sz w:val="21"/>
        </w:rPr>
        <w:t>4</w:t>
      </w:r>
    </w:p>
    <w:p w14:paraId="56B50396">
      <w:pPr>
        <w:tabs>
          <w:tab w:val="left" w:pos="1037"/>
          <w:tab w:val="right" w:pos="9144"/>
        </w:tabs>
        <w:spacing w:before="0" w:after="20" w:line="240" w:lineRule="auto"/>
        <w:ind w:left="259"/>
      </w:pPr>
      <w:r>
        <w:rPr>
          <w:rFonts w:ascii="Times New Roman" w:hAnsi="Times New Roman"/>
          <w:sz w:val="21"/>
        </w:rPr>
        <w:t>2.3</w:t>
      </w:r>
      <w:r>
        <w:rPr>
          <w:rFonts w:ascii="Times New Roman" w:hAnsi="Times New Roman"/>
          <w:sz w:val="21"/>
        </w:rPr>
        <w:tab/>
      </w:r>
      <w:r>
        <w:rPr>
          <w:rFonts w:ascii="Times New Roman" w:hAnsi="Times New Roman"/>
          <w:sz w:val="21"/>
        </w:rPr>
        <w:t>Review of Related Concepts and Theories</w:t>
      </w:r>
      <w:r>
        <w:rPr>
          <w:rFonts w:ascii="Times New Roman" w:hAnsi="Times New Roman"/>
          <w:sz w:val="21"/>
        </w:rPr>
        <w:tab/>
      </w:r>
      <w:r>
        <w:rPr>
          <w:rFonts w:ascii="Times New Roman" w:hAnsi="Times New Roman"/>
          <w:sz w:val="21"/>
        </w:rPr>
        <w:t>5</w:t>
      </w:r>
    </w:p>
    <w:p w14:paraId="6F842925">
      <w:pPr>
        <w:tabs>
          <w:tab w:val="left" w:pos="1037"/>
          <w:tab w:val="right" w:pos="9144"/>
        </w:tabs>
        <w:spacing w:before="0" w:after="20" w:line="240" w:lineRule="auto"/>
        <w:ind w:left="259"/>
      </w:pPr>
      <w:r>
        <w:rPr>
          <w:rFonts w:ascii="Times New Roman" w:hAnsi="Times New Roman"/>
          <w:sz w:val="21"/>
        </w:rPr>
        <w:t>2.4</w:t>
      </w:r>
      <w:r>
        <w:rPr>
          <w:rFonts w:ascii="Times New Roman" w:hAnsi="Times New Roman"/>
          <w:sz w:val="21"/>
        </w:rPr>
        <w:tab/>
      </w:r>
      <w:r>
        <w:rPr>
          <w:rFonts w:ascii="Times New Roman" w:hAnsi="Times New Roman"/>
          <w:sz w:val="21"/>
        </w:rPr>
        <w:t>Research Gap</w:t>
      </w:r>
      <w:r>
        <w:rPr>
          <w:rFonts w:ascii="Times New Roman" w:hAnsi="Times New Roman"/>
          <w:sz w:val="21"/>
        </w:rPr>
        <w:tab/>
      </w:r>
      <w:r>
        <w:rPr>
          <w:rFonts w:ascii="Times New Roman" w:hAnsi="Times New Roman"/>
          <w:sz w:val="21"/>
        </w:rPr>
        <w:t>5</w:t>
      </w:r>
    </w:p>
    <w:p w14:paraId="465DF23B">
      <w:pPr>
        <w:tabs>
          <w:tab w:val="left" w:pos="1037"/>
          <w:tab w:val="right" w:pos="9144"/>
        </w:tabs>
        <w:spacing w:before="0" w:after="20" w:line="240" w:lineRule="auto"/>
        <w:ind w:left="259"/>
      </w:pPr>
      <w:r>
        <w:rPr>
          <w:rFonts w:ascii="Times New Roman" w:hAnsi="Times New Roman"/>
          <w:sz w:val="21"/>
        </w:rPr>
        <w:t>2.5</w:t>
      </w:r>
      <w:r>
        <w:rPr>
          <w:rFonts w:ascii="Times New Roman" w:hAnsi="Times New Roman"/>
          <w:sz w:val="21"/>
        </w:rPr>
        <w:tab/>
      </w:r>
      <w:r>
        <w:rPr>
          <w:rFonts w:ascii="Times New Roman" w:hAnsi="Times New Roman"/>
          <w:sz w:val="21"/>
        </w:rPr>
        <w:t>Justification / Significance of the Study</w:t>
      </w:r>
      <w:r>
        <w:rPr>
          <w:rFonts w:ascii="Times New Roman" w:hAnsi="Times New Roman"/>
          <w:sz w:val="21"/>
        </w:rPr>
        <w:tab/>
      </w:r>
      <w:r>
        <w:rPr>
          <w:rFonts w:ascii="Times New Roman" w:hAnsi="Times New Roman"/>
          <w:sz w:val="21"/>
        </w:rPr>
        <w:t>6</w:t>
      </w:r>
    </w:p>
    <w:p w14:paraId="28E251A0">
      <w:pPr>
        <w:tabs>
          <w:tab w:val="left" w:pos="1037"/>
          <w:tab w:val="right" w:pos="9144"/>
        </w:tabs>
        <w:spacing w:before="0" w:after="20" w:line="240" w:lineRule="auto"/>
        <w:ind w:left="259"/>
      </w:pPr>
      <w:r>
        <w:rPr>
          <w:rFonts w:ascii="Times New Roman" w:hAnsi="Times New Roman"/>
          <w:sz w:val="21"/>
        </w:rPr>
        <w:t>2.6</w:t>
      </w:r>
      <w:r>
        <w:rPr>
          <w:rFonts w:ascii="Times New Roman" w:hAnsi="Times New Roman"/>
          <w:sz w:val="21"/>
        </w:rPr>
        <w:tab/>
      </w:r>
      <w:r>
        <w:rPr>
          <w:rFonts w:ascii="Times New Roman" w:hAnsi="Times New Roman"/>
          <w:sz w:val="21"/>
        </w:rPr>
        <w:t>Summary</w:t>
      </w:r>
      <w:r>
        <w:rPr>
          <w:rFonts w:ascii="Times New Roman" w:hAnsi="Times New Roman"/>
          <w:sz w:val="21"/>
        </w:rPr>
        <w:tab/>
      </w:r>
      <w:r>
        <w:rPr>
          <w:rFonts w:ascii="Times New Roman" w:hAnsi="Times New Roman"/>
          <w:sz w:val="21"/>
        </w:rPr>
        <w:t>6</w:t>
      </w:r>
    </w:p>
    <w:p w14:paraId="61713807">
      <w:pPr>
        <w:tabs>
          <w:tab w:val="left" w:pos="605"/>
          <w:tab w:val="right" w:pos="9144"/>
        </w:tabs>
        <w:spacing w:before="0" w:after="20" w:line="240" w:lineRule="auto"/>
        <w:ind w:left="0"/>
      </w:pPr>
      <w:r>
        <w:rPr>
          <w:rFonts w:ascii="Times New Roman" w:hAnsi="Times New Roman"/>
          <w:sz w:val="21"/>
        </w:rPr>
        <w:t>3</w:t>
      </w:r>
      <w:r>
        <w:rPr>
          <w:rFonts w:ascii="Times New Roman" w:hAnsi="Times New Roman"/>
          <w:sz w:val="21"/>
        </w:rPr>
        <w:tab/>
      </w:r>
      <w:r>
        <w:rPr>
          <w:rFonts w:ascii="Times New Roman" w:hAnsi="Times New Roman"/>
          <w:sz w:val="21"/>
        </w:rPr>
        <w:t>Methodology</w:t>
      </w:r>
      <w:r>
        <w:rPr>
          <w:rFonts w:ascii="Times New Roman" w:hAnsi="Times New Roman"/>
          <w:sz w:val="21"/>
        </w:rPr>
        <w:tab/>
      </w:r>
      <w:r>
        <w:rPr>
          <w:rFonts w:ascii="Times New Roman" w:hAnsi="Times New Roman"/>
          <w:sz w:val="21"/>
        </w:rPr>
        <w:t>6</w:t>
      </w:r>
    </w:p>
    <w:p w14:paraId="136810EA">
      <w:pPr>
        <w:tabs>
          <w:tab w:val="left" w:pos="1037"/>
          <w:tab w:val="right" w:pos="9144"/>
        </w:tabs>
        <w:spacing w:before="0" w:after="20" w:line="240" w:lineRule="auto"/>
        <w:ind w:left="259"/>
      </w:pPr>
      <w:r>
        <w:rPr>
          <w:rFonts w:ascii="Times New Roman" w:hAnsi="Times New Roman"/>
          <w:sz w:val="21"/>
        </w:rPr>
        <w:t>3.1</w:t>
      </w:r>
      <w:r>
        <w:rPr>
          <w:rFonts w:ascii="Times New Roman" w:hAnsi="Times New Roman"/>
          <w:sz w:val="21"/>
        </w:rPr>
        <w:tab/>
      </w:r>
      <w:r>
        <w:rPr>
          <w:rFonts w:ascii="Times New Roman" w:hAnsi="Times New Roman"/>
          <w:sz w:val="21"/>
        </w:rPr>
        <w:t>Introduction</w:t>
      </w:r>
      <w:r>
        <w:rPr>
          <w:rFonts w:ascii="Times New Roman" w:hAnsi="Times New Roman"/>
          <w:sz w:val="21"/>
        </w:rPr>
        <w:tab/>
      </w:r>
      <w:r>
        <w:rPr>
          <w:rFonts w:ascii="Times New Roman" w:hAnsi="Times New Roman"/>
          <w:sz w:val="21"/>
        </w:rPr>
        <w:t>6</w:t>
      </w:r>
    </w:p>
    <w:p w14:paraId="3E6F14DB">
      <w:pPr>
        <w:tabs>
          <w:tab w:val="left" w:pos="1037"/>
          <w:tab w:val="right" w:pos="9144"/>
        </w:tabs>
        <w:spacing w:before="0" w:after="20" w:line="240" w:lineRule="auto"/>
        <w:ind w:left="259"/>
      </w:pPr>
      <w:r>
        <w:rPr>
          <w:rFonts w:ascii="Times New Roman" w:hAnsi="Times New Roman"/>
          <w:sz w:val="21"/>
        </w:rPr>
        <w:t>3.2</w:t>
      </w:r>
      <w:r>
        <w:rPr>
          <w:rFonts w:ascii="Times New Roman" w:hAnsi="Times New Roman"/>
          <w:sz w:val="21"/>
        </w:rPr>
        <w:tab/>
      </w:r>
      <w:r>
        <w:rPr>
          <w:rFonts w:ascii="Times New Roman" w:hAnsi="Times New Roman"/>
          <w:sz w:val="21"/>
        </w:rPr>
        <w:t>Research / Development Approach</w:t>
      </w:r>
      <w:r>
        <w:rPr>
          <w:rFonts w:ascii="Times New Roman" w:hAnsi="Times New Roman"/>
          <w:sz w:val="21"/>
        </w:rPr>
        <w:tab/>
      </w:r>
      <w:r>
        <w:rPr>
          <w:rFonts w:ascii="Times New Roman" w:hAnsi="Times New Roman"/>
          <w:sz w:val="21"/>
        </w:rPr>
        <w:t>6</w:t>
      </w:r>
    </w:p>
    <w:p w14:paraId="4C36078A">
      <w:pPr>
        <w:tabs>
          <w:tab w:val="left" w:pos="1037"/>
          <w:tab w:val="right" w:pos="9144"/>
        </w:tabs>
        <w:spacing w:before="0" w:after="20" w:line="240" w:lineRule="auto"/>
        <w:ind w:left="259"/>
      </w:pPr>
      <w:r>
        <w:rPr>
          <w:rFonts w:ascii="Times New Roman" w:hAnsi="Times New Roman"/>
          <w:sz w:val="21"/>
        </w:rPr>
        <w:t>3.3</w:t>
      </w:r>
      <w:r>
        <w:rPr>
          <w:rFonts w:ascii="Times New Roman" w:hAnsi="Times New Roman"/>
          <w:sz w:val="21"/>
        </w:rPr>
        <w:tab/>
      </w:r>
      <w:r>
        <w:rPr>
          <w:rFonts w:ascii="Times New Roman" w:hAnsi="Times New Roman"/>
          <w:sz w:val="21"/>
        </w:rPr>
        <w:t>System Development Methodology</w:t>
      </w:r>
      <w:r>
        <w:rPr>
          <w:rFonts w:ascii="Times New Roman" w:hAnsi="Times New Roman"/>
          <w:sz w:val="21"/>
        </w:rPr>
        <w:tab/>
      </w:r>
      <w:r>
        <w:rPr>
          <w:rFonts w:ascii="Times New Roman" w:hAnsi="Times New Roman"/>
          <w:sz w:val="21"/>
        </w:rPr>
        <w:t>7</w:t>
      </w:r>
    </w:p>
    <w:p w14:paraId="43414307">
      <w:pPr>
        <w:tabs>
          <w:tab w:val="left" w:pos="1037"/>
          <w:tab w:val="right" w:pos="9144"/>
        </w:tabs>
        <w:spacing w:before="0" w:after="20" w:line="240" w:lineRule="auto"/>
        <w:ind w:left="259"/>
      </w:pPr>
      <w:r>
        <w:rPr>
          <w:rFonts w:ascii="Times New Roman" w:hAnsi="Times New Roman"/>
          <w:sz w:val="21"/>
        </w:rPr>
        <w:t>3.4</w:t>
      </w:r>
      <w:r>
        <w:rPr>
          <w:rFonts w:ascii="Times New Roman" w:hAnsi="Times New Roman"/>
          <w:sz w:val="21"/>
        </w:rPr>
        <w:tab/>
      </w:r>
      <w:r>
        <w:rPr>
          <w:rFonts w:ascii="Times New Roman" w:hAnsi="Times New Roman"/>
          <w:sz w:val="21"/>
        </w:rPr>
        <w:t>Requirement Gathering and Analysis</w:t>
      </w:r>
      <w:r>
        <w:rPr>
          <w:rFonts w:ascii="Times New Roman" w:hAnsi="Times New Roman"/>
          <w:sz w:val="21"/>
        </w:rPr>
        <w:tab/>
      </w:r>
      <w:r>
        <w:rPr>
          <w:rFonts w:ascii="Times New Roman" w:hAnsi="Times New Roman"/>
          <w:sz w:val="21"/>
        </w:rPr>
        <w:t>7</w:t>
      </w:r>
    </w:p>
    <w:p w14:paraId="5EC87117">
      <w:pPr>
        <w:tabs>
          <w:tab w:val="left" w:pos="1555"/>
          <w:tab w:val="right" w:pos="9144"/>
        </w:tabs>
        <w:spacing w:before="0" w:after="20" w:line="240" w:lineRule="auto"/>
        <w:ind w:left="547"/>
      </w:pPr>
      <w:r>
        <w:rPr>
          <w:rFonts w:ascii="Times New Roman" w:hAnsi="Times New Roman"/>
          <w:sz w:val="21"/>
        </w:rPr>
        <w:t>3.4.1</w:t>
      </w:r>
      <w:r>
        <w:rPr>
          <w:rFonts w:ascii="Times New Roman" w:hAnsi="Times New Roman"/>
          <w:sz w:val="21"/>
        </w:rPr>
        <w:tab/>
      </w:r>
      <w:r>
        <w:rPr>
          <w:rFonts w:ascii="Times New Roman" w:hAnsi="Times New Roman"/>
          <w:sz w:val="21"/>
        </w:rPr>
        <w:t>Functional and Non-Functional Requirements</w:t>
      </w:r>
      <w:r>
        <w:rPr>
          <w:rFonts w:ascii="Times New Roman" w:hAnsi="Times New Roman"/>
          <w:sz w:val="21"/>
        </w:rPr>
        <w:tab/>
      </w:r>
      <w:r>
        <w:rPr>
          <w:rFonts w:ascii="Times New Roman" w:hAnsi="Times New Roman"/>
          <w:sz w:val="21"/>
        </w:rPr>
        <w:t>7</w:t>
      </w:r>
    </w:p>
    <w:p w14:paraId="26E2F94F">
      <w:pPr>
        <w:tabs>
          <w:tab w:val="left" w:pos="1555"/>
          <w:tab w:val="right" w:pos="9144"/>
        </w:tabs>
        <w:spacing w:before="0" w:after="20" w:line="240" w:lineRule="auto"/>
        <w:ind w:left="547"/>
      </w:pPr>
      <w:r>
        <w:rPr>
          <w:rFonts w:ascii="Times New Roman" w:hAnsi="Times New Roman"/>
          <w:sz w:val="21"/>
        </w:rPr>
        <w:t>3.4.2</w:t>
      </w:r>
      <w:r>
        <w:rPr>
          <w:rFonts w:ascii="Times New Roman" w:hAnsi="Times New Roman"/>
          <w:sz w:val="21"/>
        </w:rPr>
        <w:tab/>
      </w:r>
      <w:r>
        <w:rPr>
          <w:rFonts w:ascii="Times New Roman" w:hAnsi="Times New Roman"/>
          <w:sz w:val="21"/>
        </w:rPr>
        <w:t>Use Case Diagram</w:t>
      </w:r>
      <w:r>
        <w:rPr>
          <w:rFonts w:ascii="Times New Roman" w:hAnsi="Times New Roman"/>
          <w:sz w:val="21"/>
        </w:rPr>
        <w:tab/>
      </w:r>
      <w:r>
        <w:rPr>
          <w:rFonts w:ascii="Times New Roman" w:hAnsi="Times New Roman"/>
          <w:sz w:val="21"/>
        </w:rPr>
        <w:t>8</w:t>
      </w:r>
    </w:p>
    <w:p w14:paraId="74D79F54">
      <w:pPr>
        <w:tabs>
          <w:tab w:val="left" w:pos="1037"/>
          <w:tab w:val="right" w:pos="9144"/>
        </w:tabs>
        <w:spacing w:before="0" w:after="20" w:line="240" w:lineRule="auto"/>
        <w:ind w:left="259"/>
      </w:pPr>
      <w:r>
        <w:rPr>
          <w:rFonts w:ascii="Times New Roman" w:hAnsi="Times New Roman"/>
          <w:sz w:val="21"/>
        </w:rPr>
        <w:t>3.5</w:t>
      </w:r>
      <w:r>
        <w:rPr>
          <w:rFonts w:ascii="Times New Roman" w:hAnsi="Times New Roman"/>
          <w:sz w:val="21"/>
        </w:rPr>
        <w:tab/>
      </w:r>
      <w:r>
        <w:rPr>
          <w:rFonts w:ascii="Times New Roman" w:hAnsi="Times New Roman"/>
          <w:sz w:val="21"/>
        </w:rPr>
        <w:t>Proposed Artefact</w:t>
      </w:r>
      <w:r>
        <w:rPr>
          <w:rFonts w:ascii="Times New Roman" w:hAnsi="Times New Roman"/>
          <w:sz w:val="21"/>
        </w:rPr>
        <w:tab/>
      </w:r>
      <w:r>
        <w:rPr>
          <w:rFonts w:ascii="Times New Roman" w:hAnsi="Times New Roman"/>
          <w:sz w:val="21"/>
        </w:rPr>
        <w:t>9</w:t>
      </w:r>
    </w:p>
    <w:p w14:paraId="1556C754">
      <w:pPr>
        <w:tabs>
          <w:tab w:val="left" w:pos="1037"/>
          <w:tab w:val="right" w:pos="9144"/>
        </w:tabs>
        <w:spacing w:before="0" w:after="20" w:line="240" w:lineRule="auto"/>
        <w:ind w:left="259"/>
      </w:pPr>
      <w:r>
        <w:rPr>
          <w:rFonts w:ascii="Times New Roman" w:hAnsi="Times New Roman"/>
          <w:sz w:val="21"/>
        </w:rPr>
        <w:t>3.6</w:t>
      </w:r>
      <w:r>
        <w:rPr>
          <w:rFonts w:ascii="Times New Roman" w:hAnsi="Times New Roman"/>
          <w:sz w:val="21"/>
        </w:rPr>
        <w:tab/>
      </w:r>
      <w:r>
        <w:rPr>
          <w:rFonts w:ascii="Times New Roman" w:hAnsi="Times New Roman"/>
          <w:sz w:val="21"/>
        </w:rPr>
        <w:t>Tools and Technologies</w:t>
      </w:r>
      <w:r>
        <w:rPr>
          <w:rFonts w:ascii="Times New Roman" w:hAnsi="Times New Roman"/>
          <w:sz w:val="21"/>
        </w:rPr>
        <w:tab/>
      </w:r>
      <w:r>
        <w:rPr>
          <w:rFonts w:ascii="Times New Roman" w:hAnsi="Times New Roman"/>
          <w:sz w:val="21"/>
        </w:rPr>
        <w:t>10</w:t>
      </w:r>
    </w:p>
    <w:p w14:paraId="29AA572D">
      <w:pPr>
        <w:tabs>
          <w:tab w:val="left" w:pos="1037"/>
          <w:tab w:val="right" w:pos="9144"/>
        </w:tabs>
        <w:spacing w:before="0" w:after="20" w:line="240" w:lineRule="auto"/>
        <w:ind w:left="259"/>
      </w:pPr>
      <w:r>
        <w:rPr>
          <w:rFonts w:ascii="Times New Roman" w:hAnsi="Times New Roman"/>
          <w:sz w:val="21"/>
        </w:rPr>
        <w:t>3.7</w:t>
      </w:r>
      <w:r>
        <w:rPr>
          <w:rFonts w:ascii="Times New Roman" w:hAnsi="Times New Roman"/>
          <w:sz w:val="21"/>
        </w:rPr>
        <w:tab/>
      </w:r>
      <w:r>
        <w:rPr>
          <w:rFonts w:ascii="Times New Roman" w:hAnsi="Times New Roman"/>
          <w:sz w:val="21"/>
        </w:rPr>
        <w:t>Resource Requirements</w:t>
      </w:r>
      <w:r>
        <w:rPr>
          <w:rFonts w:ascii="Times New Roman" w:hAnsi="Times New Roman"/>
          <w:sz w:val="21"/>
        </w:rPr>
        <w:tab/>
      </w:r>
      <w:r>
        <w:rPr>
          <w:rFonts w:ascii="Times New Roman" w:hAnsi="Times New Roman"/>
          <w:sz w:val="21"/>
        </w:rPr>
        <w:t>10</w:t>
      </w:r>
    </w:p>
    <w:p w14:paraId="7A9C2F34">
      <w:pPr>
        <w:tabs>
          <w:tab w:val="left" w:pos="1037"/>
          <w:tab w:val="right" w:pos="9144"/>
        </w:tabs>
        <w:spacing w:before="0" w:after="20" w:line="240" w:lineRule="auto"/>
        <w:ind w:left="259"/>
      </w:pPr>
      <w:r>
        <w:rPr>
          <w:rFonts w:ascii="Times New Roman" w:hAnsi="Times New Roman"/>
          <w:sz w:val="21"/>
        </w:rPr>
        <w:t>3.8</w:t>
      </w:r>
      <w:r>
        <w:rPr>
          <w:rFonts w:ascii="Times New Roman" w:hAnsi="Times New Roman"/>
          <w:sz w:val="21"/>
        </w:rPr>
        <w:tab/>
      </w:r>
      <w:r>
        <w:rPr>
          <w:rFonts w:ascii="Times New Roman" w:hAnsi="Times New Roman"/>
          <w:sz w:val="21"/>
        </w:rPr>
        <w:t>Project Plan and Timeline</w:t>
      </w:r>
      <w:r>
        <w:rPr>
          <w:rFonts w:ascii="Times New Roman" w:hAnsi="Times New Roman"/>
          <w:sz w:val="21"/>
        </w:rPr>
        <w:tab/>
      </w:r>
      <w:r>
        <w:rPr>
          <w:rFonts w:ascii="Times New Roman" w:hAnsi="Times New Roman"/>
          <w:sz w:val="21"/>
        </w:rPr>
        <w:t>11</w:t>
      </w:r>
    </w:p>
    <w:p w14:paraId="16FF49BA">
      <w:pPr>
        <w:tabs>
          <w:tab w:val="left" w:pos="1037"/>
          <w:tab w:val="right" w:pos="9144"/>
        </w:tabs>
        <w:spacing w:before="0" w:after="20" w:line="240" w:lineRule="auto"/>
        <w:ind w:left="259"/>
      </w:pPr>
      <w:r>
        <w:rPr>
          <w:rFonts w:ascii="Times New Roman" w:hAnsi="Times New Roman"/>
          <w:sz w:val="21"/>
        </w:rPr>
        <w:t>3.9</w:t>
      </w:r>
      <w:r>
        <w:rPr>
          <w:rFonts w:ascii="Times New Roman" w:hAnsi="Times New Roman"/>
          <w:sz w:val="21"/>
        </w:rPr>
        <w:tab/>
      </w:r>
      <w:r>
        <w:rPr>
          <w:rFonts w:ascii="Times New Roman" w:hAnsi="Times New Roman"/>
          <w:sz w:val="21"/>
        </w:rPr>
        <w:t>Ethical Considerations</w:t>
      </w:r>
      <w:r>
        <w:rPr>
          <w:rFonts w:ascii="Times New Roman" w:hAnsi="Times New Roman"/>
          <w:sz w:val="21"/>
        </w:rPr>
        <w:tab/>
      </w:r>
      <w:r>
        <w:rPr>
          <w:rFonts w:ascii="Times New Roman" w:hAnsi="Times New Roman"/>
          <w:sz w:val="21"/>
        </w:rPr>
        <w:t>12</w:t>
      </w:r>
    </w:p>
    <w:p w14:paraId="1920324F">
      <w:pPr>
        <w:tabs>
          <w:tab w:val="left" w:pos="605"/>
          <w:tab w:val="right" w:pos="9144"/>
        </w:tabs>
        <w:spacing w:before="0" w:after="20" w:line="240" w:lineRule="auto"/>
        <w:ind w:left="0"/>
      </w:pPr>
      <w:r>
        <w:rPr>
          <w:rFonts w:ascii="Times New Roman" w:hAnsi="Times New Roman"/>
          <w:sz w:val="21"/>
        </w:rPr>
        <w:tab/>
      </w:r>
      <w:r>
        <w:rPr>
          <w:rFonts w:ascii="Times New Roman" w:hAnsi="Times New Roman"/>
          <w:sz w:val="21"/>
        </w:rPr>
        <w:t>References</w:t>
      </w:r>
      <w:r>
        <w:rPr>
          <w:rFonts w:ascii="Times New Roman" w:hAnsi="Times New Roman"/>
          <w:sz w:val="21"/>
        </w:rPr>
        <w:tab/>
      </w:r>
      <w:r>
        <w:rPr>
          <w:rFonts w:ascii="Times New Roman" w:hAnsi="Times New Roman"/>
          <w:sz w:val="21"/>
        </w:rPr>
        <w:t>12</w:t>
      </w:r>
    </w:p>
    <w:p w14:paraId="2DF903A9">
      <w:pPr>
        <w:tabs>
          <w:tab w:val="left" w:pos="605"/>
          <w:tab w:val="right" w:pos="9144"/>
        </w:tabs>
        <w:spacing w:before="0" w:after="20" w:line="240" w:lineRule="auto"/>
        <w:ind w:left="0"/>
      </w:pPr>
      <w:r>
        <w:rPr>
          <w:rFonts w:ascii="Times New Roman" w:hAnsi="Times New Roman"/>
          <w:sz w:val="21"/>
        </w:rPr>
        <w:tab/>
      </w:r>
      <w:r>
        <w:rPr>
          <w:rFonts w:ascii="Times New Roman" w:hAnsi="Times New Roman"/>
          <w:sz w:val="21"/>
        </w:rPr>
        <w:t>Appendix I – Existing Literature Overview Table</w:t>
      </w:r>
      <w:r>
        <w:rPr>
          <w:rFonts w:ascii="Times New Roman" w:hAnsi="Times New Roman"/>
          <w:sz w:val="21"/>
        </w:rPr>
        <w:tab/>
      </w:r>
      <w:r>
        <w:rPr>
          <w:rFonts w:ascii="Times New Roman" w:hAnsi="Times New Roman"/>
          <w:sz w:val="21"/>
        </w:rPr>
        <w:t>15</w:t>
      </w:r>
    </w:p>
    <w:p w14:paraId="2CBF1396">
      <w:pPr>
        <w:tabs>
          <w:tab w:val="left" w:pos="605"/>
          <w:tab w:val="right" w:pos="9144"/>
        </w:tabs>
        <w:spacing w:before="0" w:after="20" w:line="240" w:lineRule="auto"/>
        <w:ind w:left="0"/>
      </w:pPr>
      <w:r>
        <w:rPr>
          <w:rFonts w:ascii="Times New Roman" w:hAnsi="Times New Roman"/>
          <w:sz w:val="21"/>
        </w:rPr>
        <w:tab/>
      </w:r>
      <w:r>
        <w:rPr>
          <w:rFonts w:ascii="Times New Roman" w:hAnsi="Times New Roman"/>
          <w:sz w:val="21"/>
        </w:rPr>
        <w:t>Appendix II – Evaluation Rubric (Draft)</w:t>
      </w:r>
      <w:r>
        <w:rPr>
          <w:rFonts w:ascii="Times New Roman" w:hAnsi="Times New Roman"/>
          <w:sz w:val="21"/>
        </w:rPr>
        <w:tab/>
      </w:r>
      <w:r>
        <w:rPr>
          <w:rFonts w:ascii="Times New Roman" w:hAnsi="Times New Roman"/>
          <w:sz w:val="21"/>
        </w:rPr>
        <w:t>15</w:t>
      </w:r>
      <w:r>
        <w:br w:type="page"/>
      </w:r>
    </w:p>
    <w:p w14:paraId="72AC8EB8">
      <w:pPr>
        <w:pStyle w:val="2"/>
      </w:pPr>
      <w:r>
        <w:rPr>
          <w:rFonts w:ascii="Times New Roman" w:hAnsi="Times New Roman" w:eastAsia="Times New Roman"/>
          <w:b/>
          <w:i w:val="0"/>
          <w:sz w:val="32"/>
        </w:rPr>
        <w:t>List of Figures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6336"/>
        <w:gridCol w:w="1152"/>
      </w:tblGrid>
      <w:tr w14:paraId="7330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D9E2F3"/>
          </w:tcPr>
          <w:p w14:paraId="66737EB0">
            <w:pPr>
              <w:spacing w:line="240" w:lineRule="auto"/>
            </w:pPr>
            <w:r>
              <w:rPr>
                <w:rFonts w:ascii="Times New Roman" w:hAnsi="Times New Roman" w:eastAsia="Times New Roman"/>
                <w:b/>
                <w:i w:val="0"/>
                <w:sz w:val="22"/>
              </w:rPr>
              <w:t>Figure</w:t>
            </w:r>
          </w:p>
        </w:tc>
        <w:tc>
          <w:tcPr>
            <w:tcW w:w="6336" w:type="dxa"/>
            <w:shd w:val="clear" w:color="auto" w:fill="D9E2F3"/>
          </w:tcPr>
          <w:p w14:paraId="65441F21">
            <w:pPr>
              <w:spacing w:line="240" w:lineRule="auto"/>
            </w:pPr>
            <w:r>
              <w:rPr>
                <w:rFonts w:ascii="Times New Roman" w:hAnsi="Times New Roman" w:eastAsia="Times New Roman"/>
                <w:b/>
                <w:i w:val="0"/>
                <w:sz w:val="22"/>
              </w:rPr>
              <w:t>Title</w:t>
            </w:r>
          </w:p>
        </w:tc>
        <w:tc>
          <w:tcPr>
            <w:tcW w:w="1152" w:type="dxa"/>
            <w:shd w:val="clear" w:color="auto" w:fill="D9E2F3"/>
          </w:tcPr>
          <w:p w14:paraId="20C3CEDF">
            <w:pPr>
              <w:spacing w:line="240" w:lineRule="auto"/>
            </w:pPr>
            <w:r>
              <w:rPr>
                <w:rFonts w:ascii="Times New Roman" w:hAnsi="Times New Roman" w:eastAsia="Times New Roman"/>
                <w:b/>
                <w:i w:val="0"/>
                <w:sz w:val="22"/>
              </w:rPr>
              <w:t>Page</w:t>
            </w:r>
          </w:p>
        </w:tc>
      </w:tr>
      <w:tr w14:paraId="183DA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8AF5F61">
            <w:pPr>
              <w:spacing w:after="40" w:line="240" w:lineRule="auto"/>
            </w:pPr>
            <w:r>
              <w:rPr>
                <w:rFonts w:ascii="Times New Roman" w:hAnsi="Times New Roman" w:eastAsia="Times New Roman"/>
                <w:b w:val="0"/>
                <w:i w:val="0"/>
                <w:sz w:val="22"/>
              </w:rPr>
              <w:t>Figure 3.1</w:t>
            </w:r>
          </w:p>
        </w:tc>
        <w:tc>
          <w:tcPr>
            <w:tcW w:w="6336" w:type="dxa"/>
          </w:tcPr>
          <w:p w14:paraId="5D35BA0F">
            <w:pPr>
              <w:spacing w:after="40" w:line="240" w:lineRule="auto"/>
            </w:pPr>
            <w:r>
              <w:rPr>
                <w:rFonts w:ascii="Times New Roman" w:hAnsi="Times New Roman" w:eastAsia="Times New Roman"/>
                <w:b w:val="0"/>
                <w:i w:val="0"/>
                <w:sz w:val="22"/>
              </w:rPr>
              <w:t>Use Case Diagram of the proposed training companion</w:t>
            </w:r>
          </w:p>
        </w:tc>
        <w:tc>
          <w:tcPr>
            <w:tcW w:w="1152" w:type="dxa"/>
          </w:tcPr>
          <w:p w14:paraId="47AC5326">
            <w:r>
              <w:t>8</w:t>
            </w:r>
          </w:p>
        </w:tc>
      </w:tr>
      <w:tr w14:paraId="7623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1E8C3CC0">
            <w:pPr>
              <w:spacing w:after="40" w:line="240" w:lineRule="auto"/>
            </w:pPr>
            <w:r>
              <w:rPr>
                <w:rFonts w:ascii="Times New Roman" w:hAnsi="Times New Roman" w:eastAsia="Times New Roman"/>
                <w:b w:val="0"/>
                <w:i w:val="0"/>
                <w:sz w:val="22"/>
              </w:rPr>
              <w:t>Figure 3.2</w:t>
            </w:r>
          </w:p>
        </w:tc>
        <w:tc>
          <w:tcPr>
            <w:tcW w:w="6336" w:type="dxa"/>
          </w:tcPr>
          <w:p w14:paraId="2B64F919">
            <w:pPr>
              <w:spacing w:after="40" w:line="240" w:lineRule="auto"/>
            </w:pPr>
            <w:r>
              <w:rPr>
                <w:rFonts w:ascii="Times New Roman" w:hAnsi="Times New Roman" w:eastAsia="Times New Roman"/>
                <w:b w:val="0"/>
                <w:i w:val="0"/>
                <w:sz w:val="22"/>
              </w:rPr>
              <w:t>High-level system architecture (MedGemma + RAG feedback pipeline)</w:t>
            </w:r>
          </w:p>
        </w:tc>
        <w:tc>
          <w:tcPr>
            <w:tcW w:w="1152" w:type="dxa"/>
          </w:tcPr>
          <w:p w14:paraId="44C4299C">
            <w:r>
              <w:t>9</w:t>
            </w:r>
          </w:p>
        </w:tc>
      </w:tr>
      <w:tr w14:paraId="5FD57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9AADF9D">
            <w:pPr>
              <w:spacing w:after="40" w:line="240" w:lineRule="auto"/>
            </w:pPr>
            <w:r>
              <w:rPr>
                <w:rFonts w:ascii="Times New Roman" w:hAnsi="Times New Roman" w:eastAsia="Times New Roman"/>
                <w:b w:val="0"/>
                <w:i w:val="0"/>
                <w:sz w:val="22"/>
              </w:rPr>
              <w:t>Figure 3.3</w:t>
            </w:r>
          </w:p>
        </w:tc>
        <w:tc>
          <w:tcPr>
            <w:tcW w:w="6336" w:type="dxa"/>
          </w:tcPr>
          <w:p w14:paraId="3EB0F2CF">
            <w:pPr>
              <w:spacing w:after="40" w:line="240" w:lineRule="auto"/>
            </w:pPr>
            <w:r>
              <w:rPr>
                <w:rFonts w:ascii="Times New Roman" w:hAnsi="Times New Roman" w:eastAsia="Times New Roman"/>
                <w:b w:val="0"/>
                <w:i w:val="0"/>
                <w:sz w:val="22"/>
              </w:rPr>
              <w:t>Gantt chart of the project plan</w:t>
            </w:r>
          </w:p>
        </w:tc>
        <w:tc>
          <w:tcPr>
            <w:tcW w:w="1152" w:type="dxa"/>
          </w:tcPr>
          <w:p w14:paraId="2CE300FF">
            <w:r>
              <w:t>11</w:t>
            </w:r>
          </w:p>
        </w:tc>
      </w:tr>
    </w:tbl>
    <w:p w14:paraId="4AD37BFF">
      <w:pPr>
        <w:spacing w:after="40"/>
      </w:pPr>
    </w:p>
    <w:p w14:paraId="4F024666">
      <w:r>
        <w:br w:type="page"/>
      </w:r>
    </w:p>
    <w:p w14:paraId="6DD51008">
      <w:pPr>
        <w:pStyle w:val="2"/>
      </w:pPr>
      <w:r>
        <w:rPr>
          <w:rFonts w:ascii="Times New Roman" w:hAnsi="Times New Roman" w:eastAsia="Times New Roman"/>
          <w:b/>
          <w:i w:val="0"/>
          <w:sz w:val="32"/>
        </w:rPr>
        <w:t>List of Tables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6336"/>
        <w:gridCol w:w="1152"/>
      </w:tblGrid>
      <w:tr w14:paraId="32C50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D9E2F3"/>
          </w:tcPr>
          <w:p w14:paraId="07D91C4E">
            <w:pPr>
              <w:spacing w:line="240" w:lineRule="auto"/>
            </w:pPr>
            <w:r>
              <w:rPr>
                <w:rFonts w:ascii="Times New Roman" w:hAnsi="Times New Roman" w:eastAsia="Times New Roman"/>
                <w:b/>
                <w:i w:val="0"/>
                <w:sz w:val="22"/>
              </w:rPr>
              <w:t>Table</w:t>
            </w:r>
          </w:p>
        </w:tc>
        <w:tc>
          <w:tcPr>
            <w:tcW w:w="6336" w:type="dxa"/>
            <w:shd w:val="clear" w:color="auto" w:fill="D9E2F3"/>
          </w:tcPr>
          <w:p w14:paraId="45048BCA">
            <w:pPr>
              <w:spacing w:line="240" w:lineRule="auto"/>
            </w:pPr>
            <w:r>
              <w:rPr>
                <w:rFonts w:ascii="Times New Roman" w:hAnsi="Times New Roman" w:eastAsia="Times New Roman"/>
                <w:b/>
                <w:i w:val="0"/>
                <w:sz w:val="22"/>
              </w:rPr>
              <w:t>Title</w:t>
            </w:r>
          </w:p>
        </w:tc>
        <w:tc>
          <w:tcPr>
            <w:tcW w:w="1152" w:type="dxa"/>
            <w:shd w:val="clear" w:color="auto" w:fill="D9E2F3"/>
          </w:tcPr>
          <w:p w14:paraId="3AB44FC9">
            <w:pPr>
              <w:spacing w:line="240" w:lineRule="auto"/>
            </w:pPr>
            <w:r>
              <w:rPr>
                <w:rFonts w:ascii="Times New Roman" w:hAnsi="Times New Roman" w:eastAsia="Times New Roman"/>
                <w:b/>
                <w:i w:val="0"/>
                <w:sz w:val="22"/>
              </w:rPr>
              <w:t>Page</w:t>
            </w:r>
          </w:p>
        </w:tc>
      </w:tr>
      <w:tr w14:paraId="0ABC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848A544">
            <w:pPr>
              <w:spacing w:after="40" w:line="240" w:lineRule="auto"/>
            </w:pPr>
            <w:r>
              <w:rPr>
                <w:rFonts w:ascii="Times New Roman" w:hAnsi="Times New Roman" w:eastAsia="Times New Roman"/>
                <w:b w:val="0"/>
                <w:i w:val="0"/>
                <w:sz w:val="22"/>
              </w:rPr>
              <w:t>Table 2.1</w:t>
            </w:r>
          </w:p>
        </w:tc>
        <w:tc>
          <w:tcPr>
            <w:tcW w:w="6336" w:type="dxa"/>
          </w:tcPr>
          <w:p w14:paraId="6CD7B950">
            <w:pPr>
              <w:spacing w:after="40" w:line="240" w:lineRule="auto"/>
            </w:pPr>
            <w:r>
              <w:rPr>
                <w:rFonts w:ascii="Times New Roman" w:hAnsi="Times New Roman" w:eastAsia="Times New Roman"/>
                <w:b w:val="0"/>
                <w:i w:val="0"/>
                <w:sz w:val="22"/>
              </w:rPr>
              <w:t>Comparison of existing CXR interpretation systems</w:t>
            </w:r>
          </w:p>
        </w:tc>
        <w:tc>
          <w:tcPr>
            <w:tcW w:w="1152" w:type="dxa"/>
          </w:tcPr>
          <w:p w14:paraId="31E53C02">
            <w:r>
              <w:t>4</w:t>
            </w:r>
          </w:p>
        </w:tc>
      </w:tr>
      <w:tr w14:paraId="1AFFA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59318EE">
            <w:pPr>
              <w:spacing w:after="40" w:line="240" w:lineRule="auto"/>
            </w:pPr>
            <w:r>
              <w:rPr>
                <w:rFonts w:ascii="Times New Roman" w:hAnsi="Times New Roman" w:eastAsia="Times New Roman"/>
                <w:b w:val="0"/>
                <w:i w:val="0"/>
                <w:sz w:val="22"/>
              </w:rPr>
              <w:t>Table 3.1</w:t>
            </w:r>
          </w:p>
        </w:tc>
        <w:tc>
          <w:tcPr>
            <w:tcW w:w="6336" w:type="dxa"/>
          </w:tcPr>
          <w:p w14:paraId="71351799">
            <w:pPr>
              <w:spacing w:after="40" w:line="240" w:lineRule="auto"/>
            </w:pPr>
            <w:r>
              <w:rPr>
                <w:rFonts w:ascii="Times New Roman" w:hAnsi="Times New Roman" w:eastAsia="Times New Roman"/>
                <w:b w:val="0"/>
                <w:i w:val="0"/>
                <w:sz w:val="22"/>
              </w:rPr>
              <w:t>Functional and non-functional requirements</w:t>
            </w:r>
          </w:p>
        </w:tc>
        <w:tc>
          <w:tcPr>
            <w:tcW w:w="1152" w:type="dxa"/>
          </w:tcPr>
          <w:p w14:paraId="6922D414">
            <w:r>
              <w:t>7</w:t>
            </w:r>
          </w:p>
        </w:tc>
      </w:tr>
      <w:tr w14:paraId="69085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5FF3E5F">
            <w:pPr>
              <w:spacing w:after="40" w:line="240" w:lineRule="auto"/>
            </w:pPr>
            <w:r>
              <w:rPr>
                <w:rFonts w:ascii="Times New Roman" w:hAnsi="Times New Roman" w:eastAsia="Times New Roman"/>
                <w:b w:val="0"/>
                <w:i w:val="0"/>
                <w:sz w:val="22"/>
              </w:rPr>
              <w:t>Table 3.2</w:t>
            </w:r>
          </w:p>
        </w:tc>
        <w:tc>
          <w:tcPr>
            <w:tcW w:w="6336" w:type="dxa"/>
          </w:tcPr>
          <w:p w14:paraId="38309302">
            <w:pPr>
              <w:spacing w:after="40" w:line="240" w:lineRule="auto"/>
            </w:pPr>
            <w:r>
              <w:rPr>
                <w:rFonts w:ascii="Times New Roman" w:hAnsi="Times New Roman" w:eastAsia="Times New Roman"/>
                <w:b w:val="0"/>
                <w:i w:val="0"/>
                <w:sz w:val="22"/>
              </w:rPr>
              <w:t>Proposed tools and technologies</w:t>
            </w:r>
          </w:p>
        </w:tc>
        <w:tc>
          <w:tcPr>
            <w:tcW w:w="1152" w:type="dxa"/>
          </w:tcPr>
          <w:p w14:paraId="5614DE2C">
            <w:r>
              <w:t>10</w:t>
            </w:r>
          </w:p>
        </w:tc>
      </w:tr>
      <w:tr w14:paraId="691B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1EA0F2D6">
            <w:pPr>
              <w:spacing w:after="40" w:line="240" w:lineRule="auto"/>
            </w:pPr>
            <w:r>
              <w:rPr>
                <w:rFonts w:ascii="Times New Roman" w:hAnsi="Times New Roman" w:eastAsia="Times New Roman"/>
                <w:b w:val="0"/>
                <w:i w:val="0"/>
                <w:sz w:val="22"/>
              </w:rPr>
              <w:t>Table 3.3</w:t>
            </w:r>
          </w:p>
        </w:tc>
        <w:tc>
          <w:tcPr>
            <w:tcW w:w="6336" w:type="dxa"/>
          </w:tcPr>
          <w:p w14:paraId="30F767D3">
            <w:pPr>
              <w:spacing w:after="40" w:line="240" w:lineRule="auto"/>
            </w:pPr>
            <w:r>
              <w:rPr>
                <w:rFonts w:ascii="Times New Roman" w:hAnsi="Times New Roman" w:eastAsia="Times New Roman"/>
                <w:b w:val="0"/>
                <w:i w:val="0"/>
                <w:sz w:val="22"/>
              </w:rPr>
              <w:t>Project plan and timeline</w:t>
            </w:r>
          </w:p>
        </w:tc>
        <w:tc>
          <w:tcPr>
            <w:tcW w:w="1152" w:type="dxa"/>
          </w:tcPr>
          <w:p w14:paraId="3BA05A4B">
            <w:r>
              <w:t>11</w:t>
            </w:r>
          </w:p>
        </w:tc>
      </w:tr>
      <w:tr w14:paraId="526F8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EFDCAC6">
            <w:pPr>
              <w:spacing w:after="40" w:line="240" w:lineRule="auto"/>
            </w:pPr>
            <w:r>
              <w:rPr>
                <w:rFonts w:ascii="Times New Roman" w:hAnsi="Times New Roman" w:eastAsia="Times New Roman"/>
                <w:b w:val="0"/>
                <w:i w:val="0"/>
                <w:sz w:val="22"/>
              </w:rPr>
              <w:t>Table A.1</w:t>
            </w:r>
          </w:p>
        </w:tc>
        <w:tc>
          <w:tcPr>
            <w:tcW w:w="6336" w:type="dxa"/>
          </w:tcPr>
          <w:p w14:paraId="6EC9E3E4">
            <w:pPr>
              <w:spacing w:after="40" w:line="240" w:lineRule="auto"/>
            </w:pPr>
            <w:r>
              <w:rPr>
                <w:rFonts w:ascii="Times New Roman" w:hAnsi="Times New Roman" w:eastAsia="Times New Roman"/>
                <w:b w:val="0"/>
                <w:i w:val="0"/>
                <w:sz w:val="22"/>
              </w:rPr>
              <w:t>Existing literature overview</w:t>
            </w:r>
          </w:p>
        </w:tc>
        <w:tc>
          <w:tcPr>
            <w:tcW w:w="1152" w:type="dxa"/>
          </w:tcPr>
          <w:p w14:paraId="7785217C">
            <w:r>
              <w:t>15</w:t>
            </w:r>
          </w:p>
        </w:tc>
      </w:tr>
    </w:tbl>
    <w:p w14:paraId="3BBEEE50">
      <w:pPr>
        <w:spacing w:after="40"/>
      </w:pPr>
    </w:p>
    <w:p w14:paraId="68026E8B">
      <w:r>
        <w:br w:type="page"/>
      </w:r>
    </w:p>
    <w:p w14:paraId="15D3D87B">
      <w:pPr>
        <w:pStyle w:val="2"/>
      </w:pPr>
      <w:r>
        <w:rPr>
          <w:rFonts w:ascii="Times New Roman" w:hAnsi="Times New Roman" w:eastAsia="Times New Roman"/>
          <w:b/>
          <w:i w:val="0"/>
          <w:sz w:val="32"/>
        </w:rPr>
        <w:t>List of Abbreviations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6768"/>
      </w:tblGrid>
      <w:tr w14:paraId="45081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2F3"/>
          </w:tcPr>
          <w:p w14:paraId="5A4DBD47">
            <w:pPr>
              <w:spacing w:line="240" w:lineRule="auto"/>
            </w:pPr>
            <w:r>
              <w:rPr>
                <w:rFonts w:ascii="Times New Roman" w:hAnsi="Times New Roman" w:eastAsia="Times New Roman"/>
                <w:b/>
                <w:i w:val="0"/>
                <w:sz w:val="22"/>
              </w:rPr>
              <w:t>Abbreviation</w:t>
            </w:r>
          </w:p>
        </w:tc>
        <w:tc>
          <w:tcPr>
            <w:tcW w:w="6768" w:type="dxa"/>
            <w:shd w:val="clear" w:color="auto" w:fill="D9E2F3"/>
          </w:tcPr>
          <w:p w14:paraId="15408035">
            <w:pPr>
              <w:spacing w:line="240" w:lineRule="auto"/>
            </w:pPr>
            <w:r>
              <w:rPr>
                <w:rFonts w:ascii="Times New Roman" w:hAnsi="Times New Roman" w:eastAsia="Times New Roman"/>
                <w:b/>
                <w:i w:val="0"/>
                <w:sz w:val="22"/>
              </w:rPr>
              <w:t>Full Meaning</w:t>
            </w:r>
          </w:p>
        </w:tc>
      </w:tr>
      <w:tr w14:paraId="7C16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254DFD2">
            <w:pPr>
              <w:spacing w:after="40" w:line="240" w:lineRule="auto"/>
            </w:pPr>
            <w:r>
              <w:rPr>
                <w:rFonts w:ascii="Times New Roman" w:hAnsi="Times New Roman" w:eastAsia="Times New Roman"/>
                <w:b w:val="0"/>
                <w:i w:val="0"/>
                <w:sz w:val="22"/>
              </w:rPr>
              <w:t>AI</w:t>
            </w:r>
          </w:p>
        </w:tc>
        <w:tc>
          <w:tcPr>
            <w:tcW w:w="6768" w:type="dxa"/>
          </w:tcPr>
          <w:p w14:paraId="12072447">
            <w:pPr>
              <w:spacing w:after="40" w:line="240" w:lineRule="auto"/>
            </w:pPr>
            <w:r>
              <w:rPr>
                <w:rFonts w:ascii="Times New Roman" w:hAnsi="Times New Roman" w:eastAsia="Times New Roman"/>
                <w:b w:val="0"/>
                <w:i w:val="0"/>
                <w:sz w:val="22"/>
              </w:rPr>
              <w:t>Artificial Intelligence</w:t>
            </w:r>
          </w:p>
        </w:tc>
      </w:tr>
      <w:tr w14:paraId="1E4D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63C8A5AF">
            <w:pPr>
              <w:spacing w:after="40" w:line="240" w:lineRule="auto"/>
            </w:pPr>
            <w:r>
              <w:rPr>
                <w:rFonts w:ascii="Times New Roman" w:hAnsi="Times New Roman" w:eastAsia="Times New Roman"/>
                <w:b w:val="0"/>
                <w:i w:val="0"/>
                <w:sz w:val="22"/>
              </w:rPr>
              <w:t>CXR</w:t>
            </w:r>
          </w:p>
        </w:tc>
        <w:tc>
          <w:tcPr>
            <w:tcW w:w="6768" w:type="dxa"/>
          </w:tcPr>
          <w:p w14:paraId="1FDF304E">
            <w:pPr>
              <w:spacing w:after="40" w:line="240" w:lineRule="auto"/>
            </w:pPr>
            <w:r>
              <w:rPr>
                <w:rFonts w:ascii="Times New Roman" w:hAnsi="Times New Roman" w:eastAsia="Times New Roman"/>
                <w:b w:val="0"/>
                <w:i w:val="0"/>
                <w:sz w:val="22"/>
              </w:rPr>
              <w:t>Chest X-ray</w:t>
            </w:r>
          </w:p>
        </w:tc>
      </w:tr>
      <w:tr w14:paraId="1FFB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26366A4">
            <w:pPr>
              <w:spacing w:after="40" w:line="240" w:lineRule="auto"/>
            </w:pPr>
            <w:r>
              <w:rPr>
                <w:rFonts w:ascii="Times New Roman" w:hAnsi="Times New Roman" w:eastAsia="Times New Roman"/>
                <w:b w:val="0"/>
                <w:i w:val="0"/>
                <w:sz w:val="22"/>
              </w:rPr>
              <w:t>ERD</w:t>
            </w:r>
          </w:p>
        </w:tc>
        <w:tc>
          <w:tcPr>
            <w:tcW w:w="6768" w:type="dxa"/>
          </w:tcPr>
          <w:p w14:paraId="4FDC6BBC">
            <w:pPr>
              <w:spacing w:after="40" w:line="240" w:lineRule="auto"/>
            </w:pPr>
            <w:r>
              <w:rPr>
                <w:rFonts w:ascii="Times New Roman" w:hAnsi="Times New Roman" w:eastAsia="Times New Roman"/>
                <w:b w:val="0"/>
                <w:i w:val="0"/>
                <w:sz w:val="22"/>
              </w:rPr>
              <w:t>Entity-Relationship Diagram</w:t>
            </w:r>
          </w:p>
        </w:tc>
      </w:tr>
      <w:tr w14:paraId="1E27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2F7F0A9">
            <w:pPr>
              <w:spacing w:after="40" w:line="240" w:lineRule="auto"/>
            </w:pPr>
            <w:r>
              <w:rPr>
                <w:rFonts w:ascii="Times New Roman" w:hAnsi="Times New Roman" w:eastAsia="Times New Roman"/>
                <w:b w:val="0"/>
                <w:i w:val="0"/>
                <w:sz w:val="22"/>
              </w:rPr>
              <w:t>GDPR</w:t>
            </w:r>
          </w:p>
        </w:tc>
        <w:tc>
          <w:tcPr>
            <w:tcW w:w="6768" w:type="dxa"/>
          </w:tcPr>
          <w:p w14:paraId="5C415AF1">
            <w:pPr>
              <w:spacing w:after="40" w:line="240" w:lineRule="auto"/>
            </w:pPr>
            <w:r>
              <w:rPr>
                <w:rFonts w:ascii="Times New Roman" w:hAnsi="Times New Roman" w:eastAsia="Times New Roman"/>
                <w:b w:val="0"/>
                <w:i w:val="0"/>
                <w:sz w:val="22"/>
              </w:rPr>
              <w:t>General Data Protection Regulation</w:t>
            </w:r>
          </w:p>
        </w:tc>
      </w:tr>
      <w:tr w14:paraId="1D55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E643761">
            <w:pPr>
              <w:spacing w:after="40" w:line="240" w:lineRule="auto"/>
            </w:pPr>
            <w:r>
              <w:rPr>
                <w:rFonts w:ascii="Times New Roman" w:hAnsi="Times New Roman" w:eastAsia="Times New Roman"/>
                <w:b w:val="0"/>
                <w:i w:val="0"/>
                <w:sz w:val="22"/>
              </w:rPr>
              <w:t>LLM</w:t>
            </w:r>
          </w:p>
        </w:tc>
        <w:tc>
          <w:tcPr>
            <w:tcW w:w="6768" w:type="dxa"/>
          </w:tcPr>
          <w:p w14:paraId="6F1E8718">
            <w:pPr>
              <w:spacing w:after="40" w:line="240" w:lineRule="auto"/>
            </w:pPr>
            <w:r>
              <w:rPr>
                <w:rFonts w:ascii="Times New Roman" w:hAnsi="Times New Roman" w:eastAsia="Times New Roman"/>
                <w:b w:val="0"/>
                <w:i w:val="0"/>
                <w:sz w:val="22"/>
              </w:rPr>
              <w:t>Large Language Model</w:t>
            </w:r>
          </w:p>
        </w:tc>
      </w:tr>
      <w:tr w14:paraId="4D12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DEAF80C">
            <w:pPr>
              <w:spacing w:after="40" w:line="240" w:lineRule="auto"/>
            </w:pPr>
            <w:r>
              <w:rPr>
                <w:rFonts w:ascii="Times New Roman" w:hAnsi="Times New Roman" w:eastAsia="Times New Roman"/>
                <w:b w:val="0"/>
                <w:i w:val="0"/>
                <w:sz w:val="22"/>
              </w:rPr>
              <w:t>MIMIC-CXR</w:t>
            </w:r>
          </w:p>
        </w:tc>
        <w:tc>
          <w:tcPr>
            <w:tcW w:w="6768" w:type="dxa"/>
          </w:tcPr>
          <w:p w14:paraId="38F95C8E">
            <w:pPr>
              <w:spacing w:after="40" w:line="240" w:lineRule="auto"/>
            </w:pPr>
            <w:r>
              <w:rPr>
                <w:rFonts w:ascii="Times New Roman" w:hAnsi="Times New Roman" w:eastAsia="Times New Roman"/>
                <w:b w:val="0"/>
                <w:i w:val="0"/>
                <w:sz w:val="22"/>
              </w:rPr>
              <w:t>Medical Information Mart for Intensive Care – Chest X-ray</w:t>
            </w:r>
          </w:p>
        </w:tc>
      </w:tr>
      <w:tr w14:paraId="475E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4C6F4E0">
            <w:pPr>
              <w:spacing w:after="40" w:line="240" w:lineRule="auto"/>
            </w:pPr>
            <w:r>
              <w:rPr>
                <w:rFonts w:ascii="Times New Roman" w:hAnsi="Times New Roman" w:eastAsia="Times New Roman"/>
                <w:b w:val="0"/>
                <w:i w:val="0"/>
                <w:sz w:val="22"/>
              </w:rPr>
              <w:t>NIH</w:t>
            </w:r>
          </w:p>
        </w:tc>
        <w:tc>
          <w:tcPr>
            <w:tcW w:w="6768" w:type="dxa"/>
          </w:tcPr>
          <w:p w14:paraId="51AB7D66">
            <w:pPr>
              <w:spacing w:after="40" w:line="240" w:lineRule="auto"/>
            </w:pPr>
            <w:r>
              <w:rPr>
                <w:rFonts w:ascii="Times New Roman" w:hAnsi="Times New Roman" w:eastAsia="Times New Roman"/>
                <w:b w:val="0"/>
                <w:i w:val="0"/>
                <w:sz w:val="22"/>
              </w:rPr>
              <w:t>National Institutes of Health</w:t>
            </w:r>
          </w:p>
        </w:tc>
      </w:tr>
      <w:tr w14:paraId="6D3D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5E9B0D7">
            <w:pPr>
              <w:spacing w:after="40" w:line="240" w:lineRule="auto"/>
            </w:pPr>
            <w:r>
              <w:rPr>
                <w:rFonts w:ascii="Times New Roman" w:hAnsi="Times New Roman" w:eastAsia="Times New Roman"/>
                <w:b w:val="0"/>
                <w:i w:val="0"/>
                <w:sz w:val="22"/>
              </w:rPr>
              <w:t>NIST</w:t>
            </w:r>
          </w:p>
        </w:tc>
        <w:tc>
          <w:tcPr>
            <w:tcW w:w="6768" w:type="dxa"/>
          </w:tcPr>
          <w:p w14:paraId="0B95986B">
            <w:pPr>
              <w:spacing w:after="40" w:line="240" w:lineRule="auto"/>
            </w:pPr>
            <w:r>
              <w:rPr>
                <w:rFonts w:ascii="Times New Roman" w:hAnsi="Times New Roman" w:eastAsia="Times New Roman"/>
                <w:b w:val="0"/>
                <w:i w:val="0"/>
                <w:sz w:val="22"/>
              </w:rPr>
              <w:t>National Institute of Standards and Technology</w:t>
            </w:r>
          </w:p>
        </w:tc>
      </w:tr>
      <w:tr w14:paraId="06F5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C582CE5">
            <w:pPr>
              <w:spacing w:after="40" w:line="240" w:lineRule="auto"/>
            </w:pPr>
            <w:r>
              <w:rPr>
                <w:rFonts w:ascii="Times New Roman" w:hAnsi="Times New Roman" w:eastAsia="Times New Roman"/>
                <w:b w:val="0"/>
                <w:i w:val="0"/>
                <w:sz w:val="22"/>
              </w:rPr>
              <w:t>OWASP</w:t>
            </w:r>
          </w:p>
        </w:tc>
        <w:tc>
          <w:tcPr>
            <w:tcW w:w="6768" w:type="dxa"/>
          </w:tcPr>
          <w:p w14:paraId="2935710D">
            <w:pPr>
              <w:spacing w:after="40" w:line="240" w:lineRule="auto"/>
            </w:pPr>
            <w:r>
              <w:rPr>
                <w:rFonts w:ascii="Times New Roman" w:hAnsi="Times New Roman" w:eastAsia="Times New Roman"/>
                <w:b w:val="0"/>
                <w:i w:val="0"/>
                <w:sz w:val="22"/>
              </w:rPr>
              <w:t>Open Worldwide Application Security Project</w:t>
            </w:r>
          </w:p>
        </w:tc>
      </w:tr>
      <w:tr w14:paraId="16B00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93FF744">
            <w:pPr>
              <w:spacing w:after="40" w:line="240" w:lineRule="auto"/>
            </w:pPr>
            <w:r>
              <w:rPr>
                <w:rFonts w:ascii="Times New Roman" w:hAnsi="Times New Roman" w:eastAsia="Times New Roman"/>
                <w:b w:val="0"/>
                <w:i w:val="0"/>
                <w:sz w:val="22"/>
              </w:rPr>
              <w:t>PDPA</w:t>
            </w:r>
          </w:p>
        </w:tc>
        <w:tc>
          <w:tcPr>
            <w:tcW w:w="6768" w:type="dxa"/>
          </w:tcPr>
          <w:p w14:paraId="20558653">
            <w:pPr>
              <w:spacing w:after="40" w:line="240" w:lineRule="auto"/>
            </w:pPr>
            <w:r>
              <w:rPr>
                <w:rFonts w:ascii="Times New Roman" w:hAnsi="Times New Roman" w:eastAsia="Times New Roman"/>
                <w:b w:val="0"/>
                <w:i w:val="0"/>
                <w:sz w:val="22"/>
              </w:rPr>
              <w:t>Personal Data Protection Act</w:t>
            </w:r>
          </w:p>
        </w:tc>
      </w:tr>
      <w:tr w14:paraId="7D0ED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E18961B">
            <w:pPr>
              <w:spacing w:after="40" w:line="240" w:lineRule="auto"/>
            </w:pPr>
            <w:r>
              <w:rPr>
                <w:rFonts w:ascii="Times New Roman" w:hAnsi="Times New Roman" w:eastAsia="Times New Roman"/>
                <w:b w:val="0"/>
                <w:i w:val="0"/>
                <w:sz w:val="22"/>
              </w:rPr>
              <w:t>PEFT</w:t>
            </w:r>
          </w:p>
        </w:tc>
        <w:tc>
          <w:tcPr>
            <w:tcW w:w="6768" w:type="dxa"/>
          </w:tcPr>
          <w:p w14:paraId="3BCB4C2B">
            <w:pPr>
              <w:spacing w:after="40" w:line="240" w:lineRule="auto"/>
            </w:pPr>
            <w:r>
              <w:rPr>
                <w:rFonts w:ascii="Times New Roman" w:hAnsi="Times New Roman" w:eastAsia="Times New Roman"/>
                <w:b w:val="0"/>
                <w:i w:val="0"/>
                <w:sz w:val="22"/>
              </w:rPr>
              <w:t>Parameter-Efficient Fine-Tuning</w:t>
            </w:r>
          </w:p>
        </w:tc>
      </w:tr>
      <w:tr w14:paraId="15FE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0598DD3">
            <w:pPr>
              <w:spacing w:after="40" w:line="240" w:lineRule="auto"/>
            </w:pPr>
            <w:r>
              <w:rPr>
                <w:rFonts w:ascii="Times New Roman" w:hAnsi="Times New Roman" w:eastAsia="Times New Roman"/>
                <w:b w:val="0"/>
                <w:i w:val="0"/>
                <w:sz w:val="22"/>
              </w:rPr>
              <w:t>RAG</w:t>
            </w:r>
          </w:p>
        </w:tc>
        <w:tc>
          <w:tcPr>
            <w:tcW w:w="6768" w:type="dxa"/>
          </w:tcPr>
          <w:p w14:paraId="483C7C5B">
            <w:pPr>
              <w:spacing w:after="40" w:line="240" w:lineRule="auto"/>
            </w:pPr>
            <w:r>
              <w:rPr>
                <w:rFonts w:ascii="Times New Roman" w:hAnsi="Times New Roman" w:eastAsia="Times New Roman"/>
                <w:b w:val="0"/>
                <w:i w:val="0"/>
                <w:sz w:val="22"/>
              </w:rPr>
              <w:t>Retrieval-Augmented Generation</w:t>
            </w:r>
          </w:p>
        </w:tc>
      </w:tr>
      <w:tr w14:paraId="6B8D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C0D76C5">
            <w:pPr>
              <w:spacing w:after="40" w:line="240" w:lineRule="auto"/>
            </w:pPr>
            <w:r>
              <w:rPr>
                <w:rFonts w:ascii="Times New Roman" w:hAnsi="Times New Roman" w:eastAsia="Times New Roman"/>
                <w:b w:val="0"/>
                <w:i w:val="0"/>
                <w:sz w:val="22"/>
              </w:rPr>
              <w:t>VLM</w:t>
            </w:r>
          </w:p>
        </w:tc>
        <w:tc>
          <w:tcPr>
            <w:tcW w:w="6768" w:type="dxa"/>
          </w:tcPr>
          <w:p w14:paraId="4A2743C7">
            <w:pPr>
              <w:spacing w:after="40" w:line="240" w:lineRule="auto"/>
            </w:pPr>
            <w:r>
              <w:rPr>
                <w:rFonts w:ascii="Times New Roman" w:hAnsi="Times New Roman" w:eastAsia="Times New Roman"/>
                <w:b w:val="0"/>
                <w:i w:val="0"/>
                <w:sz w:val="22"/>
              </w:rPr>
              <w:t>Vision-Language Model</w:t>
            </w:r>
          </w:p>
        </w:tc>
      </w:tr>
      <w:tr w14:paraId="0842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4B62873">
            <w:pPr>
              <w:spacing w:after="40" w:line="240" w:lineRule="auto"/>
            </w:pPr>
            <w:r>
              <w:rPr>
                <w:rFonts w:ascii="Times New Roman" w:hAnsi="Times New Roman" w:eastAsia="Times New Roman"/>
                <w:b w:val="0"/>
                <w:i w:val="0"/>
                <w:sz w:val="22"/>
              </w:rPr>
              <w:t>WHO</w:t>
            </w:r>
          </w:p>
        </w:tc>
        <w:tc>
          <w:tcPr>
            <w:tcW w:w="6768" w:type="dxa"/>
          </w:tcPr>
          <w:p w14:paraId="4C5ECA59">
            <w:pPr>
              <w:spacing w:after="40" w:line="240" w:lineRule="auto"/>
            </w:pPr>
            <w:r>
              <w:rPr>
                <w:rFonts w:ascii="Times New Roman" w:hAnsi="Times New Roman" w:eastAsia="Times New Roman"/>
                <w:b w:val="0"/>
                <w:i w:val="0"/>
                <w:sz w:val="22"/>
              </w:rPr>
              <w:t>World Health Organization</w:t>
            </w:r>
          </w:p>
        </w:tc>
      </w:tr>
    </w:tbl>
    <w:p w14:paraId="6705EED0">
      <w:pPr>
        <w:spacing w:after="40"/>
      </w:pPr>
    </w:p>
    <w:p w14:paraId="6602C9F3">
      <w:pPr>
        <w:sectPr>
          <w:footerReference r:id="rId5" w:type="default"/>
          <w:pgSz w:w="11909" w:h="16834"/>
          <w:pgMar w:top="1440" w:right="1440" w:bottom="1440" w:left="1440" w:header="720" w:footer="720" w:gutter="0"/>
          <w:pgNumType w:fmt="lowerRoman" w:start="1"/>
          <w:cols w:space="720" w:num="1"/>
          <w:docGrid w:linePitch="360" w:charSpace="0"/>
        </w:sectPr>
      </w:pPr>
    </w:p>
    <w:p w14:paraId="0C8785CC">
      <w:pPr>
        <w:pStyle w:val="2"/>
      </w:pPr>
      <w:r>
        <w:rPr>
          <w:rFonts w:ascii="Times New Roman" w:hAnsi="Times New Roman" w:eastAsia="Times New Roman"/>
          <w:b/>
          <w:i w:val="0"/>
          <w:sz w:val="32"/>
        </w:rPr>
        <w:t>1. Introduction</w:t>
      </w:r>
    </w:p>
    <w:p w14:paraId="0812C4EC">
      <w:pPr>
        <w:pStyle w:val="3"/>
      </w:pPr>
      <w:r>
        <w:rPr>
          <w:rFonts w:ascii="Times New Roman" w:hAnsi="Times New Roman" w:eastAsia="Times New Roman"/>
          <w:b/>
          <w:i w:val="0"/>
          <w:sz w:val="28"/>
        </w:rPr>
        <w:t>1.1 Background</w:t>
      </w:r>
    </w:p>
    <w:p w14:paraId="664254CB">
      <w:pPr>
        <w:spacing w:after="120" w:line="360" w:lineRule="auto"/>
      </w:pPr>
      <w:r>
        <w:rPr>
          <w:rFonts w:ascii="Times New Roman" w:hAnsi="Times New Roman" w:eastAsia="Times New Roman"/>
          <w:b w:val="0"/>
          <w:i w:val="0"/>
          <w:sz w:val="22"/>
        </w:rPr>
        <w:t>Medical imaging is central to modern hospital-based patient care, and the chest X-ray (CXR) remains one of the most frequently performed radiological examinations worldwide. Interpreting a CXR is a foundational competency for radiologists and many other clinicians, but it is a skill that develops slowly, through repeated exposure to varied cases and through structured feedback from experienced supervisors. Radiology training therefore depends heavily on the availability of expert time and on access to sufficient, well-labelled teaching cases.</w:t>
      </w:r>
    </w:p>
    <w:p w14:paraId="218F53C1">
      <w:pPr>
        <w:spacing w:after="120" w:line="360" w:lineRule="auto"/>
      </w:pPr>
      <w:r>
        <w:rPr>
          <w:rFonts w:ascii="Times New Roman" w:hAnsi="Times New Roman" w:eastAsia="Times New Roman"/>
          <w:b w:val="0"/>
          <w:i w:val="0"/>
          <w:sz w:val="22"/>
        </w:rPr>
        <w:t>In parallel, artificial intelligence (AI) has advanced rapidly in medical imaging. Medical vision-language models (VLMs) such as MedGemma can now jointly reason over an image and its associated text, and Retrieval-Augmented Generation (RAG) allows a language model to ground its output in external, verifiable knowledge sources. Most published systems, however, are framed around clinical diagnosis, automated report generation, or clinical decision support for qualified practitioners. Far less attention has been paid to using these same technologies to support students who are still learning to interpret images. This project investigates that under-explored space: an educational, student-facing CXR training companion that helps learners practise interpretation and receive evidence-grounded feedback, while remaining clearly separated from clinical use.</w:t>
      </w:r>
    </w:p>
    <w:p w14:paraId="6D0C6A83">
      <w:pPr>
        <w:pStyle w:val="3"/>
      </w:pPr>
      <w:r>
        <w:rPr>
          <w:rFonts w:ascii="Times New Roman" w:hAnsi="Times New Roman" w:eastAsia="Times New Roman"/>
          <w:b/>
          <w:i w:val="0"/>
          <w:sz w:val="28"/>
        </w:rPr>
        <w:t>1.2 Problem Statement</w:t>
      </w:r>
    </w:p>
    <w:p w14:paraId="077AE6C4">
      <w:pPr>
        <w:spacing w:after="120" w:line="360" w:lineRule="auto"/>
      </w:pPr>
      <w:r>
        <w:t>Sri Lanka faces a significant shortage of radiologists, with only 0.78 radiologists per 100,000 population, compared with approximately 13 per 100,000 in Europe and 8.5 per 100,000 in the United Kingdom. This shortage can delay diagnosis and treatment because medical imaging plays a central role in patient care, and it is compounded by the high cost of training, by trainees remaining abroad after overseas training, by rising demand from an ageing population, and by ageing or inadequate imaging equipment that constrains hands-on training (Karunaratne, 2023). Because radiology training takes several years, the workforce shortage cannot be resolved quickly, and the training pipeline itself becomes a bottleneck.</w:t>
      </w:r>
    </w:p>
    <w:p w14:paraId="0F8E8D86">
      <w:pPr>
        <w:spacing w:after="120" w:line="360" w:lineRule="auto"/>
      </w:pPr>
      <w:r>
        <w:rPr>
          <w:rFonts w:ascii="Times New Roman" w:hAnsi="Times New Roman" w:eastAsia="Times New Roman"/>
          <w:b w:val="0"/>
          <w:i w:val="0"/>
          <w:sz w:val="22"/>
        </w:rPr>
        <w:t>Student radiologists therefore need repeated case exposure and structured feedback, yet individual supervised feedback on every practice case is rarely available at scale. At the same time, there is still no widely established, student-facing training companion that combines CXR image understanding with evidence-grounded explanations and feedback specifically designed for learning. Existing AI radiology systems concentrate on clinical support rather than on student practice, and there is limited evidence on how a medical VLM and RAG can be combined to produce reliable, useful educational feedback. This project addresses that gap.</w:t>
      </w:r>
    </w:p>
    <w:p w14:paraId="77F4C76B">
      <w:pPr>
        <w:pStyle w:val="3"/>
      </w:pPr>
      <w:r>
        <w:rPr>
          <w:rFonts w:ascii="Times New Roman" w:hAnsi="Times New Roman" w:eastAsia="Times New Roman"/>
          <w:b/>
          <w:i w:val="0"/>
          <w:sz w:val="28"/>
        </w:rPr>
        <w:t>1.3 Aims of the Project</w:t>
      </w:r>
    </w:p>
    <w:p w14:paraId="5CF5C10F">
      <w:pPr>
        <w:spacing w:after="120" w:line="360" w:lineRule="auto"/>
      </w:pPr>
      <w:r>
        <w:rPr>
          <w:rFonts w:ascii="Times New Roman" w:hAnsi="Times New Roman" w:eastAsia="Times New Roman"/>
          <w:b w:val="0"/>
          <w:i w:val="0"/>
          <w:sz w:val="22"/>
        </w:rPr>
        <w:t>The aim of this project is to design, implement and evaluate a student-in-the-loop chest X-ray training companion that uses MedGemma and Retrieval-Augmented Generation to provide structured, evidence-grounded educational feedback on a selected set of common CXR findings.</w:t>
      </w:r>
    </w:p>
    <w:p w14:paraId="0DA6E336">
      <w:pPr>
        <w:pStyle w:val="3"/>
      </w:pPr>
      <w:r>
        <w:rPr>
          <w:rFonts w:ascii="Times New Roman" w:hAnsi="Times New Roman" w:eastAsia="Times New Roman"/>
          <w:b/>
          <w:i w:val="0"/>
          <w:sz w:val="28"/>
        </w:rPr>
        <w:t>1.4 Academic Questions</w:t>
      </w:r>
    </w:p>
    <w:p w14:paraId="6D65F704">
      <w:pPr>
        <w:spacing w:after="120" w:line="360" w:lineRule="auto"/>
      </w:pPr>
      <w:r>
        <w:rPr>
          <w:rFonts w:ascii="Times New Roman" w:hAnsi="Times New Roman" w:eastAsia="Times New Roman"/>
          <w:b w:val="0"/>
          <w:i w:val="0"/>
          <w:sz w:val="22"/>
        </w:rPr>
        <w:t>The project seeks to answer the following main academic question and sub-questions, which follow directly from the problem statement and aim:</w:t>
      </w:r>
    </w:p>
    <w:p w14:paraId="390E4485">
      <w:pPr>
        <w:spacing w:after="120" w:line="360" w:lineRule="auto"/>
      </w:pPr>
      <w:r>
        <w:rPr>
          <w:rFonts w:ascii="Times New Roman" w:hAnsi="Times New Roman" w:eastAsia="Times New Roman"/>
          <w:b/>
          <w:i w:val="0"/>
          <w:sz w:val="22"/>
        </w:rPr>
        <w:t>Main AQ: How can a medical vision-language model and Retrieval-Augmented Generation be combined to provide reliable, evidence-grounded feedback that supports student radiologists in practising chest X-ray interpretation?</w:t>
      </w:r>
    </w:p>
    <w:p w14:paraId="3E36011A">
      <w:pPr>
        <w:spacing w:after="120" w:line="360" w:lineRule="auto"/>
      </w:pPr>
      <w:r>
        <w:rPr>
          <w:rFonts w:ascii="Times New Roman" w:hAnsi="Times New Roman" w:eastAsia="Times New Roman"/>
          <w:b w:val="0"/>
          <w:i w:val="0"/>
          <w:sz w:val="22"/>
        </w:rPr>
        <w:t>AQ1: What limitations exist in current AI systems used for chest X-ray interpretation when they are considered as tools for student learning rather than clinical diagnosis?</w:t>
      </w:r>
    </w:p>
    <w:p w14:paraId="0A61A294">
      <w:pPr>
        <w:spacing w:after="120" w:line="360" w:lineRule="auto"/>
      </w:pPr>
      <w:r>
        <w:rPr>
          <w:rFonts w:ascii="Times New Roman" w:hAnsi="Times New Roman" w:eastAsia="Times New Roman"/>
          <w:b w:val="0"/>
          <w:i w:val="0"/>
          <w:sz w:val="22"/>
        </w:rPr>
        <w:t>AQ2: How can MedGemma be adapted or prompted to support student radiologists in practising interpretation of selected chest X-ray findings?</w:t>
      </w:r>
    </w:p>
    <w:p w14:paraId="15F5A197">
      <w:pPr>
        <w:spacing w:after="120" w:line="360" w:lineRule="auto"/>
      </w:pPr>
      <w:r>
        <w:rPr>
          <w:rFonts w:ascii="Times New Roman" w:hAnsi="Times New Roman" w:eastAsia="Times New Roman"/>
          <w:b w:val="0"/>
          <w:i w:val="0"/>
          <w:sz w:val="22"/>
        </w:rPr>
        <w:t>AQ3: Does Retrieval-Augmented Generation improve the grounding, clarity and educational usefulness of the feedback generated for chest X-ray training?</w:t>
      </w:r>
    </w:p>
    <w:p w14:paraId="4FC73255">
      <w:pPr>
        <w:spacing w:after="120" w:line="360" w:lineRule="auto"/>
      </w:pPr>
      <w:r>
        <w:rPr>
          <w:rFonts w:ascii="Times New Roman" w:hAnsi="Times New Roman" w:eastAsia="Times New Roman"/>
          <w:b w:val="0"/>
          <w:i w:val="0"/>
          <w:sz w:val="22"/>
        </w:rPr>
        <w:t>AQ4: Which configuration – MedGemma only, MedGemma + RAG, or fine-tuned MedGemma + RAG – provides the best balance between finding recognition, evidence grounding and feedback quality when evaluated against a defined rubric?</w:t>
      </w:r>
    </w:p>
    <w:p w14:paraId="4ACAE18A">
      <w:pPr>
        <w:pStyle w:val="3"/>
      </w:pPr>
      <w:r>
        <w:rPr>
          <w:rFonts w:ascii="Times New Roman" w:hAnsi="Times New Roman" w:eastAsia="Times New Roman"/>
          <w:b/>
          <w:i w:val="0"/>
          <w:sz w:val="28"/>
        </w:rPr>
        <w:t>1.5 Objectives</w:t>
      </w:r>
    </w:p>
    <w:p w14:paraId="7F2F6F55">
      <w:pPr>
        <w:spacing w:after="120" w:line="360" w:lineRule="auto"/>
      </w:pPr>
      <w:r>
        <w:rPr>
          <w:rFonts w:ascii="Times New Roman" w:hAnsi="Times New Roman" w:eastAsia="Times New Roman"/>
          <w:b w:val="0"/>
          <w:i w:val="0"/>
          <w:sz w:val="22"/>
        </w:rPr>
        <w:t>The following SMART objectives will collectively achieve the aim:</w:t>
      </w:r>
    </w:p>
    <w:p w14:paraId="6C3736CD">
      <w:pPr>
        <w:pStyle w:val="31"/>
        <w:spacing w:after="60" w:line="360" w:lineRule="auto"/>
      </w:pPr>
      <w:r>
        <w:rPr>
          <w:rFonts w:ascii="Times New Roman" w:hAnsi="Times New Roman" w:eastAsia="Times New Roman"/>
          <w:b w:val="0"/>
          <w:i w:val="0"/>
          <w:sz w:val="22"/>
        </w:rPr>
        <w:t>To review existing literature, models and systems related to AI-assisted chest X-ray interpretation and RAG, and to identify their limitations for educational use.</w:t>
      </w:r>
    </w:p>
    <w:p w14:paraId="5F1B2EA5">
      <w:pPr>
        <w:pStyle w:val="31"/>
        <w:spacing w:after="60" w:line="360" w:lineRule="auto"/>
      </w:pPr>
      <w:r>
        <w:rPr>
          <w:rFonts w:ascii="Times New Roman" w:hAnsi="Times New Roman" w:eastAsia="Times New Roman"/>
          <w:b w:val="0"/>
          <w:i w:val="0"/>
          <w:sz w:val="22"/>
        </w:rPr>
        <w:t>To select a narrow set of common CXR findings and gather suitable public image data and labels for those findings.</w:t>
      </w:r>
    </w:p>
    <w:p w14:paraId="6C8B4E52">
      <w:pPr>
        <w:pStyle w:val="31"/>
        <w:spacing w:after="60" w:line="360" w:lineRule="auto"/>
      </w:pPr>
      <w:r>
        <w:rPr>
          <w:rFonts w:ascii="Times New Roman" w:hAnsi="Times New Roman" w:eastAsia="Times New Roman"/>
          <w:b w:val="0"/>
          <w:i w:val="0"/>
          <w:sz w:val="22"/>
        </w:rPr>
        <w:t>To gather and analyse the functional and non-functional requirements of a student-facing training companion, including the required feedback components.</w:t>
      </w:r>
    </w:p>
    <w:p w14:paraId="73D5C6AF">
      <w:pPr>
        <w:pStyle w:val="31"/>
        <w:spacing w:after="60" w:line="360" w:lineRule="auto"/>
      </w:pPr>
      <w:r>
        <w:rPr>
          <w:rFonts w:ascii="Times New Roman" w:hAnsi="Times New Roman" w:eastAsia="Times New Roman"/>
          <w:b w:val="0"/>
          <w:i w:val="0"/>
          <w:sz w:val="22"/>
        </w:rPr>
        <w:t>To design the architecture, data flow and a curated educational RAG corpus for the proposed system.</w:t>
      </w:r>
    </w:p>
    <w:p w14:paraId="1CBBE635">
      <w:pPr>
        <w:pStyle w:val="31"/>
        <w:spacing w:after="60" w:line="360" w:lineRule="auto"/>
      </w:pPr>
      <w:r>
        <w:rPr>
          <w:rFonts w:ascii="Times New Roman" w:hAnsi="Times New Roman" w:eastAsia="Times New Roman"/>
          <w:b w:val="0"/>
          <w:i w:val="0"/>
          <w:sz w:val="22"/>
        </w:rPr>
        <w:t>To implement a working prototype that realises the student-attempt-then-AI-feedback workflow using MedGemma and RAG.</w:t>
      </w:r>
    </w:p>
    <w:p w14:paraId="4CF47501">
      <w:pPr>
        <w:pStyle w:val="31"/>
        <w:spacing w:after="60" w:line="360" w:lineRule="auto"/>
      </w:pPr>
      <w:r>
        <w:rPr>
          <w:rFonts w:ascii="Times New Roman" w:hAnsi="Times New Roman" w:eastAsia="Times New Roman"/>
          <w:b w:val="0"/>
          <w:i w:val="0"/>
          <w:sz w:val="22"/>
        </w:rPr>
        <w:t>To test and evaluate the prototype against defined success criteria, comparing MedGemma only, MedGemma + RAG and (if feasible) fine-tuned MedGemma + RAG, and to document the process and findings.</w:t>
      </w:r>
    </w:p>
    <w:p w14:paraId="3BC5FA39">
      <w:pPr>
        <w:pStyle w:val="3"/>
      </w:pPr>
      <w:r>
        <w:rPr>
          <w:rFonts w:ascii="Times New Roman" w:hAnsi="Times New Roman" w:eastAsia="Times New Roman"/>
          <w:b/>
          <w:i w:val="0"/>
          <w:sz w:val="28"/>
        </w:rPr>
        <w:t>1.6 Scope</w:t>
      </w:r>
    </w:p>
    <w:p w14:paraId="5CAB87BC">
      <w:pPr>
        <w:pStyle w:val="4"/>
      </w:pPr>
      <w:r>
        <w:rPr>
          <w:rFonts w:ascii="Times New Roman" w:hAnsi="Times New Roman" w:eastAsia="Times New Roman"/>
          <w:b/>
          <w:i w:val="0"/>
          <w:sz w:val="24"/>
        </w:rPr>
        <w:t>1.6.1 In-Scope</w:t>
      </w:r>
    </w:p>
    <w:p w14:paraId="47FF461D">
      <w:pPr>
        <w:pStyle w:val="25"/>
        <w:spacing w:after="60" w:line="360" w:lineRule="auto"/>
      </w:pPr>
      <w:r>
        <w:rPr>
          <w:rFonts w:ascii="Times New Roman" w:hAnsi="Times New Roman" w:eastAsia="Times New Roman"/>
          <w:b/>
          <w:i w:val="0"/>
          <w:sz w:val="22"/>
        </w:rPr>
        <w:t xml:space="preserve">Selected findings: </w:t>
      </w:r>
      <w:r>
        <w:rPr>
          <w:rFonts w:ascii="Times New Roman" w:hAnsi="Times New Roman" w:eastAsia="Times New Roman"/>
          <w:b w:val="0"/>
          <w:i w:val="0"/>
          <w:sz w:val="22"/>
        </w:rPr>
        <w:t>A defined, narrow set of common chest X-ray findings suitable for student training. The candidate set is pneumothorax, pleural effusion, cardiomegaly, consolidation / airspace opacity, nodule or mass, and fracture; the final subset will be fixed by dataset label quality and availability.</w:t>
      </w:r>
    </w:p>
    <w:p w14:paraId="366BD2C7">
      <w:pPr>
        <w:pStyle w:val="25"/>
        <w:spacing w:after="60" w:line="360" w:lineRule="auto"/>
      </w:pPr>
      <w:r>
        <w:rPr>
          <w:rFonts w:ascii="Times New Roman" w:hAnsi="Times New Roman" w:eastAsia="Times New Roman"/>
          <w:b/>
          <w:i w:val="0"/>
          <w:sz w:val="22"/>
        </w:rPr>
        <w:t xml:space="preserve">Core workflow: </w:t>
      </w:r>
      <w:r>
        <w:rPr>
          <w:rFonts w:ascii="Times New Roman" w:hAnsi="Times New Roman" w:eastAsia="Times New Roman"/>
          <w:b w:val="0"/>
          <w:i w:val="0"/>
          <w:sz w:val="22"/>
        </w:rPr>
        <w:t>The student-in-the-loop workflow in which a learner first records their own interpretation, then receives MedGemma-based image analysis and RAG-retrieved evidence, and finally an educational feedback note.</w:t>
      </w:r>
    </w:p>
    <w:p w14:paraId="1A441A04">
      <w:pPr>
        <w:pStyle w:val="25"/>
        <w:spacing w:after="60" w:line="360" w:lineRule="auto"/>
      </w:pPr>
      <w:r>
        <w:rPr>
          <w:rFonts w:ascii="Times New Roman" w:hAnsi="Times New Roman" w:eastAsia="Times New Roman"/>
          <w:b/>
          <w:i w:val="0"/>
          <w:sz w:val="22"/>
        </w:rPr>
        <w:t xml:space="preserve">Platform: </w:t>
      </w:r>
      <w:r>
        <w:rPr>
          <w:rFonts w:ascii="Times New Roman" w:hAnsi="Times New Roman" w:eastAsia="Times New Roman"/>
          <w:b w:val="0"/>
          <w:i w:val="0"/>
          <w:sz w:val="22"/>
        </w:rPr>
        <w:t>A prototype web application accessible via desktop browsers, using de-identified public CXR images only.</w:t>
      </w:r>
    </w:p>
    <w:p w14:paraId="026B06BE">
      <w:pPr>
        <w:pStyle w:val="25"/>
        <w:spacing w:after="60" w:line="360" w:lineRule="auto"/>
      </w:pPr>
      <w:r>
        <w:rPr>
          <w:rFonts w:ascii="Times New Roman" w:hAnsi="Times New Roman" w:eastAsia="Times New Roman"/>
          <w:b/>
          <w:i w:val="0"/>
          <w:sz w:val="22"/>
        </w:rPr>
        <w:t xml:space="preserve">Evaluation: </w:t>
      </w:r>
      <w:r>
        <w:rPr>
          <w:rFonts w:ascii="Times New Roman" w:hAnsi="Times New Roman" w:eastAsia="Times New Roman"/>
          <w:b w:val="0"/>
          <w:i w:val="0"/>
          <w:sz w:val="22"/>
        </w:rPr>
        <w:t>A comparative evaluation of MedGemma only versus MedGemma + RAG (and fine-tuned MedGemma + RAG if time permits), covering both technical performance and educational feedback quality.</w:t>
      </w:r>
    </w:p>
    <w:p w14:paraId="235BD8BD">
      <w:pPr>
        <w:pStyle w:val="4"/>
      </w:pPr>
      <w:r>
        <w:rPr>
          <w:rFonts w:ascii="Times New Roman" w:hAnsi="Times New Roman" w:eastAsia="Times New Roman"/>
          <w:b/>
          <w:i w:val="0"/>
          <w:sz w:val="24"/>
        </w:rPr>
        <w:t>1.6.2 Out-of-Scope</w:t>
      </w:r>
    </w:p>
    <w:p w14:paraId="55B8EB49">
      <w:pPr>
        <w:pStyle w:val="25"/>
        <w:spacing w:after="60" w:line="360" w:lineRule="auto"/>
      </w:pPr>
      <w:r>
        <w:rPr>
          <w:rFonts w:ascii="Times New Roman" w:hAnsi="Times New Roman" w:eastAsia="Times New Roman"/>
          <w:b w:val="0"/>
          <w:i w:val="0"/>
          <w:sz w:val="22"/>
        </w:rPr>
        <w:t>Clinical diagnosis, treatment or patient-management decisions – excluded because the system is an educational tool and clinical deployment is beyond the project's academic focus and approval.</w:t>
      </w:r>
    </w:p>
    <w:p w14:paraId="343C873E">
      <w:pPr>
        <w:pStyle w:val="25"/>
        <w:spacing w:after="60" w:line="360" w:lineRule="auto"/>
      </w:pPr>
      <w:r>
        <w:rPr>
          <w:rFonts w:ascii="Times New Roman" w:hAnsi="Times New Roman" w:eastAsia="Times New Roman"/>
          <w:b w:val="0"/>
          <w:i w:val="0"/>
          <w:sz w:val="22"/>
        </w:rPr>
        <w:t>Use of real, identifiable patient data or live hospital images – excluded due to data-protection, ethical-approval and licensing constraints.</w:t>
      </w:r>
    </w:p>
    <w:p w14:paraId="2256DD3B">
      <w:pPr>
        <w:pStyle w:val="25"/>
        <w:spacing w:after="60" w:line="360" w:lineRule="auto"/>
      </w:pPr>
      <w:r>
        <w:rPr>
          <w:rFonts w:ascii="Times New Roman" w:hAnsi="Times New Roman" w:eastAsia="Times New Roman"/>
          <w:b w:val="0"/>
          <w:i w:val="0"/>
          <w:sz w:val="22"/>
        </w:rPr>
        <w:t>Coverage of all thoracic diseases or all CXR abnormalities – excluded to keep the corpus, evaluation and timeline feasible for a final-year project.</w:t>
      </w:r>
    </w:p>
    <w:p w14:paraId="42FD1319">
      <w:pPr>
        <w:pStyle w:val="25"/>
        <w:spacing w:after="60" w:line="360" w:lineRule="auto"/>
      </w:pPr>
      <w:r>
        <w:rPr>
          <w:rFonts w:ascii="Times New Roman" w:hAnsi="Times New Roman" w:eastAsia="Times New Roman"/>
          <w:b w:val="0"/>
          <w:i w:val="0"/>
          <w:sz w:val="22"/>
        </w:rPr>
        <w:t>A native mobile application – excluded due to time constraints; the prototype targets desktop browsers only.</w:t>
      </w:r>
    </w:p>
    <w:p w14:paraId="1A1AC885">
      <w:pPr>
        <w:pStyle w:val="25"/>
        <w:spacing w:after="60" w:line="360" w:lineRule="auto"/>
      </w:pPr>
      <w:r>
        <w:rPr>
          <w:rFonts w:ascii="Times New Roman" w:hAnsi="Times New Roman" w:eastAsia="Times New Roman"/>
          <w:b w:val="0"/>
          <w:i w:val="0"/>
          <w:sz w:val="22"/>
        </w:rPr>
        <w:t>Integration with hospital information systems or PACS – excluded as outside the educational scope and unavailable within the project constraints.</w:t>
      </w:r>
    </w:p>
    <w:p w14:paraId="52650009">
      <w:pPr>
        <w:pStyle w:val="3"/>
      </w:pPr>
      <w:r>
        <w:rPr>
          <w:rFonts w:ascii="Times New Roman" w:hAnsi="Times New Roman" w:eastAsia="Times New Roman"/>
          <w:b/>
          <w:i w:val="0"/>
          <w:sz w:val="28"/>
        </w:rPr>
        <w:t>1.7 Structure of the Proposal</w:t>
      </w:r>
    </w:p>
    <w:p w14:paraId="73FEBB80">
      <w:pPr>
        <w:spacing w:after="120" w:line="360" w:lineRule="auto"/>
      </w:pPr>
      <w:r>
        <w:rPr>
          <w:rFonts w:ascii="Times New Roman" w:hAnsi="Times New Roman" w:eastAsia="Times New Roman"/>
          <w:b w:val="0"/>
          <w:i w:val="0"/>
          <w:sz w:val="22"/>
        </w:rPr>
        <w:t>The remainder of this proposal is organised as follows. Chapter 2 presents a critical review of related academic work, existing systems and the core concepts underpinning the project, and identifies the research gap. Chapter 3 describes the proposed methodology, including the research and development approach, the software development methodology, requirement gathering, the proposed artefact and architecture, the tools and technologies, resource requirements, the project plan and timeline, and ethical considerations. The proposal ends with the reference list and appendices, including an overview table of the reviewed literature.</w:t>
      </w:r>
    </w:p>
    <w:p w14:paraId="59444A45">
      <w:pPr>
        <w:pStyle w:val="2"/>
      </w:pPr>
      <w:r>
        <w:rPr>
          <w:rFonts w:ascii="Times New Roman" w:hAnsi="Times New Roman" w:eastAsia="Times New Roman"/>
          <w:b/>
          <w:i w:val="0"/>
          <w:sz w:val="32"/>
        </w:rPr>
        <w:t>2. Literature Review</w:t>
      </w:r>
    </w:p>
    <w:p w14:paraId="11A6A52B">
      <w:pPr>
        <w:pStyle w:val="3"/>
      </w:pPr>
      <w:r>
        <w:rPr>
          <w:rFonts w:ascii="Times New Roman" w:hAnsi="Times New Roman" w:eastAsia="Times New Roman"/>
          <w:b/>
          <w:i w:val="0"/>
          <w:sz w:val="28"/>
        </w:rPr>
        <w:t>2.1 Introduction</w:t>
      </w:r>
    </w:p>
    <w:p w14:paraId="076FFEAB">
      <w:pPr>
        <w:spacing w:after="120" w:line="360" w:lineRule="auto"/>
      </w:pPr>
      <w:r>
        <w:rPr>
          <w:rFonts w:ascii="Times New Roman" w:hAnsi="Times New Roman" w:eastAsia="Times New Roman"/>
          <w:b w:val="0"/>
          <w:i w:val="0"/>
          <w:sz w:val="22"/>
        </w:rPr>
        <w:t>This chapter critically reviews existing academic work, models and systems relevant to AI-assisted chest X-ray interpretation and to Retrieval-Augmented Generation in healthcare. The purpose is to position the proposed training companion against what already exists, to identify the strengths and limitations of current approaches, and to establish the gap that this project addresses. The review draws on recent peer-reviewed articles, technical reports and preprints on medical vision-language models, RAG for biomedicine, and chest X-ray interpretation systems.</w:t>
      </w:r>
    </w:p>
    <w:p w14:paraId="45DD2656">
      <w:pPr>
        <w:pStyle w:val="3"/>
      </w:pPr>
      <w:r>
        <w:rPr>
          <w:rFonts w:ascii="Times New Roman" w:hAnsi="Times New Roman" w:eastAsia="Times New Roman"/>
          <w:b/>
          <w:i w:val="0"/>
          <w:sz w:val="28"/>
        </w:rPr>
        <w:t>2.2 Review of Existing Systems / Similar Work</w:t>
      </w:r>
    </w:p>
    <w:p w14:paraId="7A19D476">
      <w:pPr>
        <w:spacing w:after="120" w:line="360" w:lineRule="auto"/>
      </w:pPr>
      <w:r>
        <w:rPr>
          <w:rFonts w:ascii="Times New Roman" w:hAnsi="Times New Roman" w:eastAsia="Times New Roman"/>
          <w:b w:val="0"/>
          <w:i w:val="0"/>
          <w:sz w:val="22"/>
        </w:rPr>
        <w:t>A number of systems apply large multimodal models to chest X-ray interpretation. CXR-LLaVA and CheXagent are multimodal models built specifically for CXR understanding and report generation, and they demonstrate strong image-to-text capability; however, they are oriented towards clinical reporting rather than student learning, and they generally do not ground their explanations in retrievable teaching evidence (Lee et al., 2025; Chen et al., 2024). LLaVA-Med extends a general assistant to the biomedical domain efficiently, but it is broad rather than specialised for CXR education (Li et al., 2023). MedGemma is a medical VLM whose technical report shows competitive performance across image and text tasks, but its documentation stresses that intended uses require adaptation and validation for a defined use case, which motivates the educational framing adopted here (Sellergren et al., 2025).</w:t>
      </w:r>
    </w:p>
    <w:p w14:paraId="29CE233F">
      <w:pPr>
        <w:spacing w:after="120" w:line="360" w:lineRule="auto"/>
      </w:pPr>
      <w:r>
        <w:rPr>
          <w:rFonts w:ascii="Times New Roman" w:hAnsi="Times New Roman" w:eastAsia="Times New Roman"/>
          <w:b w:val="0"/>
          <w:i w:val="0"/>
          <w:sz w:val="22"/>
        </w:rPr>
        <w:t>Agentic and retrieval-oriented systems such as CXRAgent, MedRAX and multi-agent RAG frameworks for medical imaging show that combining retrieval and orchestration can improve reasoning and evidence use in radiology tasks (Lou et al., 2025; Pambudi and Menolascina, 2025). Benchmarks such as ReXVQA provide large-scale evaluation of CXR question answering (Pal et al., 2025). Across these systems, the dominant focus is diagnostic accuracy or clinical decision support; comparatively little work evaluates a student-facing workflow in which the learner attempts an interpretation before receiving grounded feedback. Table 2.1 summarises representative systems and their limitations for educational use, and a fuller overview is provided in Appendix I.</w:t>
      </w:r>
    </w:p>
    <w:p w14:paraId="46206F56">
      <w:pPr>
        <w:spacing w:after="200"/>
        <w:jc w:val="center"/>
      </w:pPr>
      <w:r>
        <w:rPr>
          <w:rFonts w:ascii="Times New Roman" w:hAnsi="Times New Roman" w:eastAsia="Times New Roman"/>
          <w:b/>
          <w:i w:val="0"/>
          <w:sz w:val="20"/>
        </w:rPr>
        <w:t>Table 2.1: Comparison of existing CXR interpretation systems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448"/>
        <w:gridCol w:w="2160"/>
        <w:gridCol w:w="2304"/>
      </w:tblGrid>
      <w:tr w14:paraId="60E75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2F3"/>
          </w:tcPr>
          <w:p w14:paraId="4B26B0AC">
            <w:pPr>
              <w:spacing w:line="240" w:lineRule="auto"/>
            </w:pPr>
            <w:r>
              <w:rPr>
                <w:rFonts w:ascii="Times New Roman" w:hAnsi="Times New Roman" w:eastAsia="Times New Roman"/>
                <w:b/>
                <w:i w:val="0"/>
                <w:sz w:val="22"/>
              </w:rPr>
              <w:t>System / Study</w:t>
            </w:r>
          </w:p>
        </w:tc>
        <w:tc>
          <w:tcPr>
            <w:tcW w:w="2448" w:type="dxa"/>
            <w:shd w:val="clear" w:color="auto" w:fill="D9E2F3"/>
          </w:tcPr>
          <w:p w14:paraId="3B0593CB">
            <w:pPr>
              <w:spacing w:line="240" w:lineRule="auto"/>
            </w:pPr>
            <w:r>
              <w:rPr>
                <w:rFonts w:ascii="Times New Roman" w:hAnsi="Times New Roman" w:eastAsia="Times New Roman"/>
                <w:b/>
                <w:i w:val="0"/>
                <w:sz w:val="22"/>
              </w:rPr>
              <w:t>Approach</w:t>
            </w:r>
          </w:p>
        </w:tc>
        <w:tc>
          <w:tcPr>
            <w:tcW w:w="2160" w:type="dxa"/>
            <w:shd w:val="clear" w:color="auto" w:fill="D9E2F3"/>
          </w:tcPr>
          <w:p w14:paraId="7E66A07A">
            <w:pPr>
              <w:spacing w:line="240" w:lineRule="auto"/>
            </w:pPr>
            <w:r>
              <w:rPr>
                <w:rFonts w:ascii="Times New Roman" w:hAnsi="Times New Roman" w:eastAsia="Times New Roman"/>
                <w:b/>
                <w:i w:val="0"/>
                <w:sz w:val="22"/>
              </w:rPr>
              <w:t>Strengths</w:t>
            </w:r>
          </w:p>
        </w:tc>
        <w:tc>
          <w:tcPr>
            <w:tcW w:w="2304" w:type="dxa"/>
            <w:shd w:val="clear" w:color="auto" w:fill="D9E2F3"/>
          </w:tcPr>
          <w:p w14:paraId="18B7F68B">
            <w:pPr>
              <w:spacing w:line="240" w:lineRule="auto"/>
            </w:pPr>
            <w:r>
              <w:rPr>
                <w:rFonts w:ascii="Times New Roman" w:hAnsi="Times New Roman" w:eastAsia="Times New Roman"/>
                <w:b/>
                <w:i w:val="0"/>
                <w:sz w:val="22"/>
              </w:rPr>
              <w:t>Limitations for education</w:t>
            </w:r>
          </w:p>
        </w:tc>
      </w:tr>
      <w:tr w14:paraId="2751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779B1FC">
            <w:pPr>
              <w:spacing w:after="40" w:line="240" w:lineRule="auto"/>
            </w:pPr>
            <w:r>
              <w:rPr>
                <w:rFonts w:ascii="Times New Roman" w:hAnsi="Times New Roman" w:eastAsia="Times New Roman"/>
                <w:b w:val="0"/>
                <w:i w:val="0"/>
                <w:sz w:val="22"/>
              </w:rPr>
              <w:t>CXR-LLaVA (Lee et al., 2025)</w:t>
            </w:r>
          </w:p>
        </w:tc>
        <w:tc>
          <w:tcPr>
            <w:tcW w:w="2448" w:type="dxa"/>
          </w:tcPr>
          <w:p w14:paraId="697E990E">
            <w:pPr>
              <w:spacing w:after="40" w:line="240" w:lineRule="auto"/>
            </w:pPr>
            <w:r>
              <w:rPr>
                <w:rFonts w:ascii="Times New Roman" w:hAnsi="Times New Roman" w:eastAsia="Times New Roman"/>
                <w:b w:val="0"/>
                <w:i w:val="0"/>
                <w:sz w:val="22"/>
              </w:rPr>
              <w:t>Multimodal LLM for CXR interpretation</w:t>
            </w:r>
          </w:p>
        </w:tc>
        <w:tc>
          <w:tcPr>
            <w:tcW w:w="2160" w:type="dxa"/>
          </w:tcPr>
          <w:p w14:paraId="708547A2">
            <w:pPr>
              <w:spacing w:after="40" w:line="240" w:lineRule="auto"/>
            </w:pPr>
            <w:r>
              <w:rPr>
                <w:rFonts w:ascii="Times New Roman" w:hAnsi="Times New Roman" w:eastAsia="Times New Roman"/>
                <w:b w:val="0"/>
                <w:i w:val="0"/>
                <w:sz w:val="22"/>
              </w:rPr>
              <w:t>Strong image-to-text; report generation</w:t>
            </w:r>
          </w:p>
        </w:tc>
        <w:tc>
          <w:tcPr>
            <w:tcW w:w="2304" w:type="dxa"/>
          </w:tcPr>
          <w:p w14:paraId="235D4C98">
            <w:pPr>
              <w:spacing w:after="40" w:line="240" w:lineRule="auto"/>
            </w:pPr>
            <w:r>
              <w:rPr>
                <w:rFonts w:ascii="Times New Roman" w:hAnsi="Times New Roman" w:eastAsia="Times New Roman"/>
                <w:b w:val="0"/>
                <w:i w:val="0"/>
                <w:sz w:val="22"/>
              </w:rPr>
              <w:t>Clinical focus; no evidence grounding / RAG; not student-facing</w:t>
            </w:r>
          </w:p>
        </w:tc>
      </w:tr>
      <w:tr w14:paraId="2E47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83B9E99">
            <w:pPr>
              <w:spacing w:after="40" w:line="240" w:lineRule="auto"/>
            </w:pPr>
            <w:r>
              <w:rPr>
                <w:rFonts w:ascii="Times New Roman" w:hAnsi="Times New Roman" w:eastAsia="Times New Roman"/>
                <w:b w:val="0"/>
                <w:i w:val="0"/>
                <w:sz w:val="22"/>
              </w:rPr>
              <w:t>CheXagent (Chen et al., 2024)</w:t>
            </w:r>
          </w:p>
        </w:tc>
        <w:tc>
          <w:tcPr>
            <w:tcW w:w="2448" w:type="dxa"/>
          </w:tcPr>
          <w:p w14:paraId="35178C26">
            <w:pPr>
              <w:spacing w:after="40" w:line="240" w:lineRule="auto"/>
            </w:pPr>
            <w:r>
              <w:rPr>
                <w:rFonts w:ascii="Times New Roman" w:hAnsi="Times New Roman" w:eastAsia="Times New Roman"/>
                <w:b w:val="0"/>
                <w:i w:val="0"/>
                <w:sz w:val="22"/>
              </w:rPr>
              <w:t>Foundation model for CXR</w:t>
            </w:r>
          </w:p>
        </w:tc>
        <w:tc>
          <w:tcPr>
            <w:tcW w:w="2160" w:type="dxa"/>
          </w:tcPr>
          <w:p w14:paraId="026F8B35">
            <w:pPr>
              <w:spacing w:after="40" w:line="240" w:lineRule="auto"/>
            </w:pPr>
            <w:r>
              <w:rPr>
                <w:rFonts w:ascii="Times New Roman" w:hAnsi="Times New Roman" w:eastAsia="Times New Roman"/>
                <w:b w:val="0"/>
                <w:i w:val="0"/>
                <w:sz w:val="22"/>
              </w:rPr>
              <w:t>Broad CXR capability; benchmarked</w:t>
            </w:r>
          </w:p>
        </w:tc>
        <w:tc>
          <w:tcPr>
            <w:tcW w:w="2304" w:type="dxa"/>
          </w:tcPr>
          <w:p w14:paraId="1485339D">
            <w:pPr>
              <w:spacing w:after="40" w:line="240" w:lineRule="auto"/>
            </w:pPr>
            <w:r>
              <w:rPr>
                <w:rFonts w:ascii="Times New Roman" w:hAnsi="Times New Roman" w:eastAsia="Times New Roman"/>
                <w:b w:val="0"/>
                <w:i w:val="0"/>
                <w:sz w:val="22"/>
              </w:rPr>
              <w:t>Diagnostic orientation; limited educational feedback design</w:t>
            </w:r>
          </w:p>
        </w:tc>
      </w:tr>
      <w:tr w14:paraId="6355B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0ED7308">
            <w:pPr>
              <w:spacing w:after="40" w:line="240" w:lineRule="auto"/>
            </w:pPr>
            <w:r>
              <w:rPr>
                <w:rFonts w:ascii="Times New Roman" w:hAnsi="Times New Roman" w:eastAsia="Times New Roman"/>
                <w:b w:val="0"/>
                <w:i w:val="0"/>
                <w:sz w:val="22"/>
              </w:rPr>
              <w:t>MedRAX (2024/25)</w:t>
            </w:r>
          </w:p>
        </w:tc>
        <w:tc>
          <w:tcPr>
            <w:tcW w:w="2448" w:type="dxa"/>
          </w:tcPr>
          <w:p w14:paraId="6EFA2BF6">
            <w:pPr>
              <w:spacing w:after="40" w:line="240" w:lineRule="auto"/>
            </w:pPr>
            <w:r>
              <w:rPr>
                <w:rFonts w:ascii="Times New Roman" w:hAnsi="Times New Roman" w:eastAsia="Times New Roman"/>
                <w:b w:val="0"/>
                <w:i w:val="0"/>
                <w:sz w:val="22"/>
              </w:rPr>
              <w:t>Agentic CXR analysis with tools</w:t>
            </w:r>
          </w:p>
        </w:tc>
        <w:tc>
          <w:tcPr>
            <w:tcW w:w="2160" w:type="dxa"/>
          </w:tcPr>
          <w:p w14:paraId="2723DA1D">
            <w:pPr>
              <w:spacing w:after="40" w:line="240" w:lineRule="auto"/>
            </w:pPr>
            <w:r>
              <w:rPr>
                <w:rFonts w:ascii="Times New Roman" w:hAnsi="Times New Roman" w:eastAsia="Times New Roman"/>
                <w:b w:val="0"/>
                <w:i w:val="0"/>
                <w:sz w:val="22"/>
              </w:rPr>
              <w:t>Tool use; structured reasoning</w:t>
            </w:r>
          </w:p>
        </w:tc>
        <w:tc>
          <w:tcPr>
            <w:tcW w:w="2304" w:type="dxa"/>
          </w:tcPr>
          <w:p w14:paraId="0411B3FF">
            <w:pPr>
              <w:spacing w:after="40" w:line="240" w:lineRule="auto"/>
            </w:pPr>
            <w:r>
              <w:rPr>
                <w:rFonts w:ascii="Times New Roman" w:hAnsi="Times New Roman" w:eastAsia="Times New Roman"/>
                <w:b w:val="0"/>
                <w:i w:val="0"/>
                <w:sz w:val="22"/>
              </w:rPr>
              <w:t>Clinical-decision focus; complexity; not learning-oriented</w:t>
            </w:r>
          </w:p>
        </w:tc>
      </w:tr>
      <w:tr w14:paraId="3D8DB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37B17AC">
            <w:pPr>
              <w:spacing w:after="40" w:line="240" w:lineRule="auto"/>
            </w:pPr>
            <w:r>
              <w:rPr>
                <w:rFonts w:ascii="Times New Roman" w:hAnsi="Times New Roman" w:eastAsia="Times New Roman"/>
                <w:b w:val="0"/>
                <w:i w:val="0"/>
                <w:sz w:val="22"/>
              </w:rPr>
              <w:t>MedGemma (Sellergren et al., 2025)</w:t>
            </w:r>
          </w:p>
        </w:tc>
        <w:tc>
          <w:tcPr>
            <w:tcW w:w="2448" w:type="dxa"/>
          </w:tcPr>
          <w:p w14:paraId="6B07A06D">
            <w:pPr>
              <w:spacing w:after="40" w:line="240" w:lineRule="auto"/>
            </w:pPr>
            <w:r>
              <w:rPr>
                <w:rFonts w:ascii="Times New Roman" w:hAnsi="Times New Roman" w:eastAsia="Times New Roman"/>
                <w:b w:val="0"/>
                <w:i w:val="0"/>
                <w:sz w:val="22"/>
              </w:rPr>
              <w:t>Medical vision-language model</w:t>
            </w:r>
          </w:p>
        </w:tc>
        <w:tc>
          <w:tcPr>
            <w:tcW w:w="2160" w:type="dxa"/>
          </w:tcPr>
          <w:p w14:paraId="0EC3BC89">
            <w:pPr>
              <w:spacing w:after="40" w:line="240" w:lineRule="auto"/>
            </w:pPr>
            <w:r>
              <w:rPr>
                <w:rFonts w:ascii="Times New Roman" w:hAnsi="Times New Roman" w:eastAsia="Times New Roman"/>
                <w:b w:val="0"/>
                <w:i w:val="0"/>
                <w:sz w:val="22"/>
              </w:rPr>
              <w:t>Multimodal medical reasoning; adaptable</w:t>
            </w:r>
          </w:p>
        </w:tc>
        <w:tc>
          <w:tcPr>
            <w:tcW w:w="2304" w:type="dxa"/>
          </w:tcPr>
          <w:p w14:paraId="34B46930">
            <w:pPr>
              <w:spacing w:after="40" w:line="240" w:lineRule="auto"/>
            </w:pPr>
            <w:r>
              <w:rPr>
                <w:rFonts w:ascii="Times New Roman" w:hAnsi="Times New Roman" w:eastAsia="Times New Roman"/>
                <w:b w:val="0"/>
                <w:i w:val="0"/>
                <w:sz w:val="22"/>
              </w:rPr>
              <w:t>Requires adaptation/validation; not an educational system by itself</w:t>
            </w:r>
          </w:p>
        </w:tc>
      </w:tr>
      <w:tr w14:paraId="398E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6871628">
            <w:pPr>
              <w:spacing w:after="40" w:line="240" w:lineRule="auto"/>
            </w:pPr>
            <w:r>
              <w:rPr>
                <w:rFonts w:ascii="Times New Roman" w:hAnsi="Times New Roman" w:eastAsia="Times New Roman"/>
                <w:b w:val="0"/>
                <w:i w:val="0"/>
                <w:sz w:val="22"/>
              </w:rPr>
              <w:t>RAG-in-biomedicine reviews (Liu et al., 2025)</w:t>
            </w:r>
          </w:p>
        </w:tc>
        <w:tc>
          <w:tcPr>
            <w:tcW w:w="2448" w:type="dxa"/>
          </w:tcPr>
          <w:p w14:paraId="31763C42">
            <w:pPr>
              <w:spacing w:after="40" w:line="240" w:lineRule="auto"/>
            </w:pPr>
            <w:r>
              <w:rPr>
                <w:rFonts w:ascii="Times New Roman" w:hAnsi="Times New Roman" w:eastAsia="Times New Roman"/>
                <w:b w:val="0"/>
                <w:i w:val="0"/>
                <w:sz w:val="22"/>
              </w:rPr>
              <w:t>RAG for biomedical LLMs</w:t>
            </w:r>
          </w:p>
        </w:tc>
        <w:tc>
          <w:tcPr>
            <w:tcW w:w="2160" w:type="dxa"/>
          </w:tcPr>
          <w:p w14:paraId="3C6A7FF9">
            <w:pPr>
              <w:spacing w:after="40" w:line="240" w:lineRule="auto"/>
            </w:pPr>
            <w:r>
              <w:rPr>
                <w:rFonts w:ascii="Times New Roman" w:hAnsi="Times New Roman" w:eastAsia="Times New Roman"/>
                <w:b w:val="0"/>
                <w:i w:val="0"/>
                <w:sz w:val="22"/>
              </w:rPr>
              <w:t>Improves grounding; systematic evidence</w:t>
            </w:r>
          </w:p>
        </w:tc>
        <w:tc>
          <w:tcPr>
            <w:tcW w:w="2304" w:type="dxa"/>
          </w:tcPr>
          <w:p w14:paraId="003C61A1">
            <w:pPr>
              <w:spacing w:after="40" w:line="240" w:lineRule="auto"/>
            </w:pPr>
            <w:r>
              <w:rPr>
                <w:rFonts w:ascii="Times New Roman" w:hAnsi="Times New Roman" w:eastAsia="Times New Roman"/>
                <w:b w:val="0"/>
                <w:i w:val="0"/>
                <w:sz w:val="22"/>
              </w:rPr>
              <w:t>Retrieval quality varies; few CXR-education applications</w:t>
            </w:r>
          </w:p>
        </w:tc>
      </w:tr>
    </w:tbl>
    <w:p w14:paraId="0E27C068">
      <w:pPr>
        <w:spacing w:after="40"/>
      </w:pPr>
    </w:p>
    <w:p w14:paraId="6AB995E4">
      <w:pPr>
        <w:pStyle w:val="3"/>
      </w:pPr>
      <w:r>
        <w:rPr>
          <w:rFonts w:ascii="Times New Roman" w:hAnsi="Times New Roman" w:eastAsia="Times New Roman"/>
          <w:b/>
          <w:i w:val="0"/>
          <w:sz w:val="28"/>
        </w:rPr>
        <w:t>2.3 Review of Related Concepts and Theories</w:t>
      </w:r>
    </w:p>
    <w:p w14:paraId="561DF268">
      <w:pPr>
        <w:spacing w:after="120" w:line="360" w:lineRule="auto"/>
      </w:pPr>
      <w:r>
        <w:rPr>
          <w:rFonts w:ascii="Times New Roman" w:hAnsi="Times New Roman" w:eastAsia="Times New Roman"/>
          <w:b w:val="0"/>
          <w:i w:val="0"/>
          <w:sz w:val="22"/>
        </w:rPr>
        <w:t>Medical vision-language models combine an image encoder with a language model so that visual features can be described, questioned and explained in natural language. This is central to CXR interpretation, which requires both recognising radiographic signs and articulating the reasoning behind a finding (Sellergren et al., 2025; Chen et al., 2024).</w:t>
      </w:r>
    </w:p>
    <w:p w14:paraId="7D907E7E">
      <w:pPr>
        <w:spacing w:after="120" w:line="360" w:lineRule="auto"/>
      </w:pPr>
      <w:r>
        <w:rPr>
          <w:rFonts w:ascii="Times New Roman" w:hAnsi="Times New Roman" w:eastAsia="Times New Roman"/>
          <w:b w:val="0"/>
          <w:i w:val="0"/>
          <w:sz w:val="22"/>
        </w:rPr>
        <w:t>Retrieval-Augmented Generation supplements a language model with an external knowledge base: a retriever selects relevant passages from a corpus, and the model conditions its output on those passages. In biomedicine, systematic reviews report that RAG can improve factual grounding and reduce unsupported claims, although retrieval quality and corpus curation remain decisive factors (Liu et al., 2025; Amugongo et al., 2025; Abo El-Enen et al., 2025). Related concepts include prompt engineering, which shapes model behaviour without changing weights, and parameter-efficient fine-tuning (PEFT), which adapts a model with limited compute; recent scoping work examines how fine-tuning and RAG can be integrated in healthcare AI (Collaco et al., 2026). Finally, educational theory on formative feedback and active learning underpins the student-first workflow: requiring a learner to commit to an interpretation before seeing AI output supports reflection and reduces answer-seeking behaviour.</w:t>
      </w:r>
    </w:p>
    <w:p w14:paraId="327622D9">
      <w:pPr>
        <w:pStyle w:val="3"/>
      </w:pPr>
      <w:r>
        <w:rPr>
          <w:rFonts w:ascii="Times New Roman" w:hAnsi="Times New Roman" w:eastAsia="Times New Roman"/>
          <w:b/>
          <w:i w:val="0"/>
          <w:sz w:val="28"/>
        </w:rPr>
        <w:t>2.4 Research Gap</w:t>
      </w:r>
    </w:p>
    <w:p w14:paraId="422DCCE0">
      <w:pPr>
        <w:spacing w:after="120" w:line="360" w:lineRule="auto"/>
      </w:pPr>
      <w:r>
        <w:rPr>
          <w:rFonts w:ascii="Times New Roman" w:hAnsi="Times New Roman" w:eastAsia="Times New Roman"/>
          <w:b w:val="0"/>
          <w:i w:val="0"/>
          <w:sz w:val="22"/>
        </w:rPr>
        <w:t>Synthesising the review, four connected gaps emerge that link directly back to the problem statement in Section 1.2:</w:t>
      </w:r>
    </w:p>
    <w:p w14:paraId="5ECA4BE2">
      <w:pPr>
        <w:pStyle w:val="25"/>
        <w:spacing w:after="60" w:line="360" w:lineRule="auto"/>
      </w:pPr>
      <w:r>
        <w:rPr>
          <w:rFonts w:ascii="Times New Roman" w:hAnsi="Times New Roman" w:eastAsia="Times New Roman"/>
          <w:b/>
          <w:i w:val="0"/>
          <w:sz w:val="22"/>
        </w:rPr>
        <w:t xml:space="preserve">Methodological gap: </w:t>
      </w:r>
      <w:r>
        <w:rPr>
          <w:rFonts w:ascii="Times New Roman" w:hAnsi="Times New Roman" w:eastAsia="Times New Roman"/>
          <w:b w:val="0"/>
          <w:i w:val="0"/>
          <w:sz w:val="22"/>
        </w:rPr>
        <w:t>There are limited comparisons between prompting-only, RAG-based and fine-tuned + RAG approaches for educational chest X-ray training.</w:t>
      </w:r>
    </w:p>
    <w:p w14:paraId="05DA024B">
      <w:pPr>
        <w:pStyle w:val="25"/>
        <w:spacing w:after="60" w:line="360" w:lineRule="auto"/>
      </w:pPr>
      <w:r>
        <w:rPr>
          <w:rFonts w:ascii="Times New Roman" w:hAnsi="Times New Roman" w:eastAsia="Times New Roman"/>
          <w:b/>
          <w:i w:val="0"/>
          <w:sz w:val="22"/>
        </w:rPr>
        <w:t xml:space="preserve">Empirical gap: </w:t>
      </w:r>
      <w:r>
        <w:rPr>
          <w:rFonts w:ascii="Times New Roman" w:hAnsi="Times New Roman" w:eastAsia="Times New Roman"/>
          <w:b w:val="0"/>
          <w:i w:val="0"/>
          <w:sz w:val="22"/>
        </w:rPr>
        <w:t>Few studies evaluate image-interpretation quality and evidence-grounded feedback quality together, especially in a student learning context.</w:t>
      </w:r>
    </w:p>
    <w:p w14:paraId="7BE0546E">
      <w:pPr>
        <w:pStyle w:val="25"/>
        <w:spacing w:after="60" w:line="360" w:lineRule="auto"/>
      </w:pPr>
      <w:r>
        <w:rPr>
          <w:rFonts w:ascii="Times New Roman" w:hAnsi="Times New Roman" w:eastAsia="Times New Roman"/>
          <w:b/>
          <w:i w:val="0"/>
          <w:sz w:val="22"/>
        </w:rPr>
        <w:t xml:space="preserve">Knowledge gap: </w:t>
      </w:r>
      <w:r>
        <w:rPr>
          <w:rFonts w:ascii="Times New Roman" w:hAnsi="Times New Roman" w:eastAsia="Times New Roman"/>
          <w:b w:val="0"/>
          <w:i w:val="0"/>
          <w:sz w:val="22"/>
        </w:rPr>
        <w:t>There is no clear best practice for combining a medical VLM with RAG to build a reliable, useful CXR training companion for students.</w:t>
      </w:r>
    </w:p>
    <w:p w14:paraId="523DB1B8">
      <w:pPr>
        <w:pStyle w:val="3"/>
      </w:pPr>
      <w:r>
        <w:rPr>
          <w:rFonts w:ascii="Times New Roman" w:hAnsi="Times New Roman" w:eastAsia="Times New Roman"/>
          <w:b/>
          <w:i w:val="0"/>
          <w:sz w:val="28"/>
        </w:rPr>
        <w:t>2.5 Justification / Significance of the Study</w:t>
      </w:r>
    </w:p>
    <w:p w14:paraId="2DCD9A18">
      <w:pPr>
        <w:spacing w:after="120" w:line="360" w:lineRule="auto"/>
      </w:pPr>
      <w:r>
        <w:rPr>
          <w:rFonts w:ascii="Times New Roman" w:hAnsi="Times New Roman" w:eastAsia="Times New Roman"/>
          <w:b w:val="0"/>
          <w:i w:val="0"/>
          <w:sz w:val="22"/>
        </w:rPr>
        <w:t>The study matters academically because it evaluates, in a controlled and narrow setting, whether RAG improves the usefulness, grounding and trustworthiness of AI-generated feedback – a question with limited existing evidence. It matters educationally because it reframes AI in radiology from replacing expert judgement towards supporting student learning and reflective practice. The direct beneficiaries are student radiologists, who gain access to structured, immediate, evidence-grounded practice feedback, and radiology educators, who gain a controlled baseline of formative support for common findings. More broadly, the framework contributes to the responsible-AI conversation by demonstrating a clearly bounded, educational-use design that avoids clinical deployment claims.</w:t>
      </w:r>
    </w:p>
    <w:p w14:paraId="2D9F49AA">
      <w:pPr>
        <w:pStyle w:val="3"/>
      </w:pPr>
      <w:r>
        <w:rPr>
          <w:rFonts w:ascii="Times New Roman" w:hAnsi="Times New Roman" w:eastAsia="Times New Roman"/>
          <w:b/>
          <w:i w:val="0"/>
          <w:sz w:val="28"/>
        </w:rPr>
        <w:t>2.6 Summary</w:t>
      </w:r>
    </w:p>
    <w:p w14:paraId="7A1DAD40">
      <w:pPr>
        <w:spacing w:after="120" w:line="360" w:lineRule="auto"/>
      </w:pPr>
      <w:r>
        <w:rPr>
          <w:rFonts w:ascii="Times New Roman" w:hAnsi="Times New Roman" w:eastAsia="Times New Roman"/>
          <w:b w:val="0"/>
          <w:i w:val="0"/>
          <w:sz w:val="22"/>
        </w:rPr>
        <w:t>The literature shows strong progress in multimodal CXR interpretation and growing evidence that RAG improves grounding in biomedical applications, but a consistent focus on clinical rather than educational use, and little combined evaluation of interpretation and feedback quality for students. These insights directly inform the design and methodology in Chapter 3: a student-first workflow, a curated educational corpus, a comparative evaluation of MedGemma with and without RAG, and a rubric that measures grounding, clarity and usefulness alongside finding recognition.</w:t>
      </w:r>
    </w:p>
    <w:p w14:paraId="4F6A502B">
      <w:pPr>
        <w:pStyle w:val="2"/>
      </w:pPr>
      <w:r>
        <w:rPr>
          <w:rFonts w:ascii="Times New Roman" w:hAnsi="Times New Roman" w:eastAsia="Times New Roman"/>
          <w:b/>
          <w:i w:val="0"/>
          <w:sz w:val="32"/>
        </w:rPr>
        <w:t>3. Methodology</w:t>
      </w:r>
    </w:p>
    <w:p w14:paraId="61918B55">
      <w:pPr>
        <w:pStyle w:val="3"/>
      </w:pPr>
      <w:r>
        <w:rPr>
          <w:rFonts w:ascii="Times New Roman" w:hAnsi="Times New Roman" w:eastAsia="Times New Roman"/>
          <w:b/>
          <w:i w:val="0"/>
          <w:sz w:val="28"/>
        </w:rPr>
        <w:t>3.1 Introduction</w:t>
      </w:r>
    </w:p>
    <w:p w14:paraId="7DA87DB2">
      <w:pPr>
        <w:spacing w:after="120" w:line="360" w:lineRule="auto"/>
      </w:pPr>
      <w:r>
        <w:rPr>
          <w:rFonts w:ascii="Times New Roman" w:hAnsi="Times New Roman" w:eastAsia="Times New Roman"/>
          <w:b w:val="0"/>
          <w:i w:val="0"/>
          <w:sz w:val="22"/>
        </w:rPr>
        <w:t>This chapter describes the approach that will be taken to achieve the project's aim and objectives. It sets out the research and development approach, the software development methodology, the requirement-gathering plan, the proposed artefact and architecture, the tools and technologies, the resource requirements, the project plan and timeline, and the ethical considerations.</w:t>
      </w:r>
    </w:p>
    <w:p w14:paraId="6A2401C0">
      <w:pPr>
        <w:pStyle w:val="3"/>
      </w:pPr>
      <w:r>
        <w:rPr>
          <w:rFonts w:ascii="Times New Roman" w:hAnsi="Times New Roman" w:eastAsia="Times New Roman"/>
          <w:b/>
          <w:i w:val="0"/>
          <w:sz w:val="28"/>
        </w:rPr>
        <w:t>3.2 Research / Development Approach</w:t>
      </w:r>
    </w:p>
    <w:p w14:paraId="5BFFF836">
      <w:pPr>
        <w:spacing w:after="120" w:line="360" w:lineRule="auto"/>
      </w:pPr>
      <w:r>
        <w:rPr>
          <w:rFonts w:ascii="Times New Roman" w:hAnsi="Times New Roman" w:eastAsia="Times New Roman"/>
          <w:b w:val="0"/>
          <w:i w:val="0"/>
          <w:sz w:val="22"/>
        </w:rPr>
        <w:t>The project follows a design-and-creation approach, because its central output is a novel software artefact – the training companion – whose construction is itself the vehicle for answering the academic questions. This is combined with an experimental strand, because the project systematically compares defined configurations (MedGemma only, MedGemma + RAG, and fine-tuned MedGemma + RAG) under controlled conditions. A mixed-method methodology is adopted: quantitative measures (finding recognition, agreement with dataset labels, retrieval-relevance scores) provide objective comparison, while qualitative, rubric-based assessment of feedback (clarity, grounding, usefulness) captures the educational dimension that numbers alone cannot. The mix is justified because the research question concerns not only whether findings are recognised but whether the resulting feedback is genuinely useful for learning.</w:t>
      </w:r>
    </w:p>
    <w:p w14:paraId="1BA4993E">
      <w:pPr>
        <w:pStyle w:val="3"/>
      </w:pPr>
      <w:r>
        <w:rPr>
          <w:rFonts w:ascii="Times New Roman" w:hAnsi="Times New Roman" w:eastAsia="Times New Roman"/>
          <w:b/>
          <w:i w:val="0"/>
          <w:sz w:val="28"/>
        </w:rPr>
        <w:t>3.3 System Development Methodology</w:t>
      </w:r>
    </w:p>
    <w:p w14:paraId="235001E1">
      <w:pPr>
        <w:spacing w:after="120" w:line="360" w:lineRule="auto"/>
      </w:pPr>
      <w:r>
        <w:rPr>
          <w:rFonts w:ascii="Times New Roman" w:hAnsi="Times New Roman" w:eastAsia="Times New Roman"/>
          <w:b w:val="0"/>
          <w:i w:val="0"/>
          <w:sz w:val="22"/>
        </w:rPr>
        <w:t>An evolutionary prototyping methodology will be followed, applied within short iterations. Prototyping is appropriate because the requirements – particularly what constitutes good educational feedback – are not fully known in advance and are expected to be refined as the prototype is built and reviewed. Each iteration will deliver an increasingly complete slice of the workflow (image handling, MedGemma analysis, RAG retrieval, feedback generation, evaluation harness), allowing early testing and supervisor feedback. The iterations map onto the phases in the project plan (Section 3.8): an initial prototype establishes the MedGemma-only baseline, a second adds the RAG layer, and a final iteration adds optional fine-tuning and the full evaluation.</w:t>
      </w:r>
    </w:p>
    <w:p w14:paraId="788774D0">
      <w:pPr>
        <w:pStyle w:val="3"/>
      </w:pPr>
      <w:r>
        <w:rPr>
          <w:rFonts w:ascii="Times New Roman" w:hAnsi="Times New Roman" w:eastAsia="Times New Roman"/>
          <w:b/>
          <w:i w:val="0"/>
          <w:sz w:val="28"/>
        </w:rPr>
        <w:t>3.4 Requirement Gathering and Analysis</w:t>
      </w:r>
    </w:p>
    <w:p w14:paraId="59903966">
      <w:pPr>
        <w:spacing w:after="120" w:line="360" w:lineRule="auto"/>
      </w:pPr>
      <w:r>
        <w:rPr>
          <w:rFonts w:ascii="Times New Roman" w:hAnsi="Times New Roman" w:eastAsia="Times New Roman"/>
          <w:b w:val="0"/>
          <w:i w:val="0"/>
          <w:sz w:val="22"/>
        </w:rPr>
        <w:t>Requirements will be elicited mainly through document analysis of radiology teaching resources, dataset documentation and the reviewed literature, supplemented – where feasible – by informal consultation with a radiology educator or experienced reviewer to define what feedback student radiologists actually need. The target stakeholders are student radiologists (primary users), radiology educators (reviewers of feedback quality) and the developer/researcher. Functional and non-functional requirements will be documented and prioritised, and validated against the feedback components identified in the literature.</w:t>
      </w:r>
    </w:p>
    <w:p w14:paraId="3B5D5DED">
      <w:pPr>
        <w:pStyle w:val="4"/>
      </w:pPr>
      <w:r>
        <w:rPr>
          <w:rFonts w:ascii="Times New Roman" w:hAnsi="Times New Roman" w:eastAsia="Times New Roman"/>
          <w:b/>
          <w:i w:val="0"/>
          <w:sz w:val="24"/>
        </w:rPr>
        <w:t>3.4.1 Functional and Non-Functional Requirements</w:t>
      </w:r>
    </w:p>
    <w:p w14:paraId="39498C3D">
      <w:pPr>
        <w:spacing w:after="200"/>
        <w:jc w:val="center"/>
      </w:pPr>
      <w:r>
        <w:rPr>
          <w:rFonts w:ascii="Times New Roman" w:hAnsi="Times New Roman" w:eastAsia="Times New Roman"/>
          <w:b/>
          <w:i w:val="0"/>
          <w:sz w:val="20"/>
        </w:rPr>
        <w:t>Table 3.1: Functional and non-functional requirements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6336"/>
      </w:tblGrid>
      <w:tr w14:paraId="7D39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D9E2F3"/>
          </w:tcPr>
          <w:p w14:paraId="271CB730">
            <w:pPr>
              <w:spacing w:line="240" w:lineRule="auto"/>
            </w:pPr>
            <w:r>
              <w:rPr>
                <w:rFonts w:ascii="Times New Roman" w:hAnsi="Times New Roman" w:eastAsia="Times New Roman"/>
                <w:b/>
                <w:i w:val="0"/>
                <w:sz w:val="22"/>
              </w:rPr>
              <w:t>Type</w:t>
            </w:r>
          </w:p>
        </w:tc>
        <w:tc>
          <w:tcPr>
            <w:tcW w:w="6336" w:type="dxa"/>
            <w:shd w:val="clear" w:color="auto" w:fill="D9E2F3"/>
          </w:tcPr>
          <w:p w14:paraId="31486A53">
            <w:pPr>
              <w:spacing w:line="240" w:lineRule="auto"/>
            </w:pPr>
            <w:r>
              <w:rPr>
                <w:rFonts w:ascii="Times New Roman" w:hAnsi="Times New Roman" w:eastAsia="Times New Roman"/>
                <w:b/>
                <w:i w:val="0"/>
                <w:sz w:val="22"/>
              </w:rPr>
              <w:t>Requirement</w:t>
            </w:r>
          </w:p>
        </w:tc>
      </w:tr>
      <w:tr w14:paraId="3F6F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1116F8CF">
            <w:pPr>
              <w:spacing w:after="40" w:line="240" w:lineRule="auto"/>
            </w:pPr>
            <w:r>
              <w:rPr>
                <w:rFonts w:ascii="Times New Roman" w:hAnsi="Times New Roman" w:eastAsia="Times New Roman"/>
                <w:b w:val="0"/>
                <w:i w:val="0"/>
                <w:sz w:val="22"/>
              </w:rPr>
              <w:t>Functional</w:t>
            </w:r>
          </w:p>
        </w:tc>
        <w:tc>
          <w:tcPr>
            <w:tcW w:w="6336" w:type="dxa"/>
          </w:tcPr>
          <w:p w14:paraId="3E0C69ED">
            <w:pPr>
              <w:spacing w:after="40" w:line="240" w:lineRule="auto"/>
            </w:pPr>
            <w:r>
              <w:rPr>
                <w:rFonts w:ascii="Times New Roman" w:hAnsi="Times New Roman" w:eastAsia="Times New Roman"/>
                <w:b w:val="0"/>
                <w:i w:val="0"/>
                <w:sz w:val="22"/>
              </w:rPr>
              <w:t>Display a chest X-ray image from a curated public dataset to the student.</w:t>
            </w:r>
          </w:p>
        </w:tc>
      </w:tr>
      <w:tr w14:paraId="3AD7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352DE51D">
            <w:pPr>
              <w:spacing w:after="40" w:line="240" w:lineRule="auto"/>
            </w:pPr>
            <w:r>
              <w:rPr>
                <w:rFonts w:ascii="Times New Roman" w:hAnsi="Times New Roman" w:eastAsia="Times New Roman"/>
                <w:b w:val="0"/>
                <w:i w:val="0"/>
                <w:sz w:val="22"/>
              </w:rPr>
              <w:t>Functional</w:t>
            </w:r>
          </w:p>
        </w:tc>
        <w:tc>
          <w:tcPr>
            <w:tcW w:w="6336" w:type="dxa"/>
          </w:tcPr>
          <w:p w14:paraId="6C229AA0">
            <w:pPr>
              <w:spacing w:after="40" w:line="240" w:lineRule="auto"/>
            </w:pPr>
            <w:r>
              <w:rPr>
                <w:rFonts w:ascii="Times New Roman" w:hAnsi="Times New Roman" w:eastAsia="Times New Roman"/>
                <w:b w:val="0"/>
                <w:i w:val="0"/>
                <w:sz w:val="22"/>
              </w:rPr>
              <w:t>Allow the student to record their own interpretation before any AI output is shown.</w:t>
            </w:r>
          </w:p>
        </w:tc>
      </w:tr>
      <w:tr w14:paraId="09F3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25FC422D">
            <w:pPr>
              <w:spacing w:after="40" w:line="240" w:lineRule="auto"/>
            </w:pPr>
            <w:r>
              <w:rPr>
                <w:rFonts w:ascii="Times New Roman" w:hAnsi="Times New Roman" w:eastAsia="Times New Roman"/>
                <w:b w:val="0"/>
                <w:i w:val="0"/>
                <w:sz w:val="22"/>
              </w:rPr>
              <w:t>Functional</w:t>
            </w:r>
          </w:p>
        </w:tc>
        <w:tc>
          <w:tcPr>
            <w:tcW w:w="6336" w:type="dxa"/>
          </w:tcPr>
          <w:p w14:paraId="29A2D8CC">
            <w:pPr>
              <w:spacing w:after="40" w:line="240" w:lineRule="auto"/>
            </w:pPr>
            <w:r>
              <w:rPr>
                <w:rFonts w:ascii="Times New Roman" w:hAnsi="Times New Roman" w:eastAsia="Times New Roman"/>
                <w:b w:val="0"/>
                <w:i w:val="0"/>
                <w:sz w:val="22"/>
              </w:rPr>
              <w:t>Analyse the image with MedGemma to propose likely findings and an initial explanation.</w:t>
            </w:r>
          </w:p>
        </w:tc>
      </w:tr>
      <w:tr w14:paraId="32A6D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02EF8D63">
            <w:pPr>
              <w:spacing w:after="40" w:line="240" w:lineRule="auto"/>
            </w:pPr>
            <w:r>
              <w:rPr>
                <w:rFonts w:ascii="Times New Roman" w:hAnsi="Times New Roman" w:eastAsia="Times New Roman"/>
                <w:b w:val="0"/>
                <w:i w:val="0"/>
                <w:sz w:val="22"/>
              </w:rPr>
              <w:t>Functional</w:t>
            </w:r>
          </w:p>
        </w:tc>
        <w:tc>
          <w:tcPr>
            <w:tcW w:w="6336" w:type="dxa"/>
          </w:tcPr>
          <w:p w14:paraId="0B331731">
            <w:pPr>
              <w:spacing w:after="40" w:line="240" w:lineRule="auto"/>
            </w:pPr>
            <w:r>
              <w:rPr>
                <w:rFonts w:ascii="Times New Roman" w:hAnsi="Times New Roman" w:eastAsia="Times New Roman"/>
                <w:b w:val="0"/>
                <w:i w:val="0"/>
                <w:sz w:val="22"/>
              </w:rPr>
              <w:t>Retrieve relevant teaching evidence from a curated corpus using RAG.</w:t>
            </w:r>
          </w:p>
        </w:tc>
      </w:tr>
      <w:tr w14:paraId="2CDD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1CA58462">
            <w:pPr>
              <w:spacing w:after="40" w:line="240" w:lineRule="auto"/>
            </w:pPr>
            <w:r>
              <w:rPr>
                <w:rFonts w:ascii="Times New Roman" w:hAnsi="Times New Roman" w:eastAsia="Times New Roman"/>
                <w:b w:val="0"/>
                <w:i w:val="0"/>
                <w:sz w:val="22"/>
              </w:rPr>
              <w:t>Functional</w:t>
            </w:r>
          </w:p>
        </w:tc>
        <w:tc>
          <w:tcPr>
            <w:tcW w:w="6336" w:type="dxa"/>
          </w:tcPr>
          <w:p w14:paraId="200C1342">
            <w:pPr>
              <w:spacing w:after="40" w:line="240" w:lineRule="auto"/>
            </w:pPr>
            <w:r>
              <w:rPr>
                <w:rFonts w:ascii="Times New Roman" w:hAnsi="Times New Roman" w:eastAsia="Times New Roman"/>
                <w:b w:val="0"/>
                <w:i w:val="0"/>
                <w:sz w:val="22"/>
              </w:rPr>
              <w:t>Generate a feedback note: likely finding, key signs, comparison with the student's answer, missed clues, supporting evidence, and a learning point/mini-quiz.</w:t>
            </w:r>
          </w:p>
        </w:tc>
      </w:tr>
      <w:tr w14:paraId="1A4B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33121B81">
            <w:pPr>
              <w:spacing w:after="40" w:line="240" w:lineRule="auto"/>
            </w:pPr>
            <w:r>
              <w:rPr>
                <w:rFonts w:ascii="Times New Roman" w:hAnsi="Times New Roman" w:eastAsia="Times New Roman"/>
                <w:b w:val="0"/>
                <w:i w:val="0"/>
                <w:sz w:val="22"/>
              </w:rPr>
              <w:t>Functional</w:t>
            </w:r>
          </w:p>
        </w:tc>
        <w:tc>
          <w:tcPr>
            <w:tcW w:w="6336" w:type="dxa"/>
          </w:tcPr>
          <w:p w14:paraId="41B9E10F">
            <w:pPr>
              <w:spacing w:after="40" w:line="240" w:lineRule="auto"/>
            </w:pPr>
            <w:r>
              <w:rPr>
                <w:rFonts w:ascii="Times New Roman" w:hAnsi="Times New Roman" w:eastAsia="Times New Roman"/>
                <w:b w:val="0"/>
                <w:i w:val="0"/>
                <w:sz w:val="22"/>
              </w:rPr>
              <w:t>Display retrieved source citations alongside the feedback.</w:t>
            </w:r>
          </w:p>
        </w:tc>
      </w:tr>
      <w:tr w14:paraId="7416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737FF4FF">
            <w:pPr>
              <w:spacing w:after="40" w:line="240" w:lineRule="auto"/>
            </w:pPr>
            <w:r>
              <w:rPr>
                <w:rFonts w:ascii="Times New Roman" w:hAnsi="Times New Roman" w:eastAsia="Times New Roman"/>
                <w:b w:val="0"/>
                <w:i w:val="0"/>
                <w:sz w:val="22"/>
              </w:rPr>
              <w:t>Non-functional (Usability)</w:t>
            </w:r>
          </w:p>
        </w:tc>
        <w:tc>
          <w:tcPr>
            <w:tcW w:w="6336" w:type="dxa"/>
          </w:tcPr>
          <w:p w14:paraId="30C79FA1">
            <w:pPr>
              <w:spacing w:after="40" w:line="240" w:lineRule="auto"/>
            </w:pPr>
            <w:r>
              <w:rPr>
                <w:rFonts w:ascii="Times New Roman" w:hAnsi="Times New Roman" w:eastAsia="Times New Roman"/>
                <w:b w:val="0"/>
                <w:i w:val="0"/>
                <w:sz w:val="22"/>
              </w:rPr>
              <w:t>Feedback must be clear and understandable at the intended student level.</w:t>
            </w:r>
          </w:p>
        </w:tc>
      </w:tr>
      <w:tr w14:paraId="1ABBE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4EE071C0">
            <w:pPr>
              <w:spacing w:after="40" w:line="240" w:lineRule="auto"/>
            </w:pPr>
            <w:r>
              <w:rPr>
                <w:rFonts w:ascii="Times New Roman" w:hAnsi="Times New Roman" w:eastAsia="Times New Roman"/>
                <w:b w:val="0"/>
                <w:i w:val="0"/>
                <w:sz w:val="22"/>
              </w:rPr>
              <w:t>Non-functional (Reliability)</w:t>
            </w:r>
          </w:p>
        </w:tc>
        <w:tc>
          <w:tcPr>
            <w:tcW w:w="6336" w:type="dxa"/>
          </w:tcPr>
          <w:p w14:paraId="42BD8497">
            <w:pPr>
              <w:spacing w:after="40" w:line="240" w:lineRule="auto"/>
            </w:pPr>
            <w:r>
              <w:rPr>
                <w:rFonts w:ascii="Times New Roman" w:hAnsi="Times New Roman" w:eastAsia="Times New Roman"/>
                <w:b w:val="0"/>
                <w:i w:val="0"/>
                <w:sz w:val="22"/>
              </w:rPr>
              <w:t>Separate model-suggested findings from retrieved teaching evidence; state uncertainty where appropriate.</w:t>
            </w:r>
          </w:p>
        </w:tc>
      </w:tr>
      <w:tr w14:paraId="4564E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418A855B">
            <w:pPr>
              <w:spacing w:after="40" w:line="240" w:lineRule="auto"/>
            </w:pPr>
            <w:r>
              <w:rPr>
                <w:rFonts w:ascii="Times New Roman" w:hAnsi="Times New Roman" w:eastAsia="Times New Roman"/>
                <w:b w:val="0"/>
                <w:i w:val="0"/>
                <w:sz w:val="22"/>
              </w:rPr>
              <w:t>Non-functional (Security)</w:t>
            </w:r>
          </w:p>
        </w:tc>
        <w:tc>
          <w:tcPr>
            <w:tcW w:w="6336" w:type="dxa"/>
          </w:tcPr>
          <w:p w14:paraId="2D969AB0">
            <w:pPr>
              <w:spacing w:after="40" w:line="240" w:lineRule="auto"/>
            </w:pPr>
            <w:r>
              <w:rPr>
                <w:rFonts w:ascii="Times New Roman" w:hAnsi="Times New Roman" w:eastAsia="Times New Roman"/>
                <w:b w:val="0"/>
                <w:i w:val="0"/>
                <w:sz w:val="22"/>
              </w:rPr>
              <w:t>Enforce role separation, secure secret handling, input/file validation.</w:t>
            </w:r>
          </w:p>
        </w:tc>
      </w:tr>
      <w:tr w14:paraId="4C68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44F2CAF7">
            <w:pPr>
              <w:spacing w:after="40" w:line="240" w:lineRule="auto"/>
            </w:pPr>
            <w:r>
              <w:rPr>
                <w:rFonts w:ascii="Times New Roman" w:hAnsi="Times New Roman" w:eastAsia="Times New Roman"/>
                <w:b w:val="0"/>
                <w:i w:val="0"/>
                <w:sz w:val="22"/>
              </w:rPr>
              <w:t>Non-functional (Traceability)</w:t>
            </w:r>
          </w:p>
        </w:tc>
        <w:tc>
          <w:tcPr>
            <w:tcW w:w="6336" w:type="dxa"/>
          </w:tcPr>
          <w:p w14:paraId="6BEE6CBA">
            <w:pPr>
              <w:spacing w:after="40" w:line="240" w:lineRule="auto"/>
            </w:pPr>
            <w:r>
              <w:rPr>
                <w:rFonts w:ascii="Times New Roman" w:hAnsi="Times New Roman" w:eastAsia="Times New Roman"/>
                <w:b w:val="0"/>
                <w:i w:val="0"/>
                <w:sz w:val="22"/>
              </w:rPr>
              <w:t>Log prompt version, model version and retrieved passages for each feedback item to support evaluation.</w:t>
            </w:r>
          </w:p>
        </w:tc>
      </w:tr>
      <w:tr w14:paraId="50F30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1BA94D0D">
            <w:pPr>
              <w:spacing w:after="40" w:line="240" w:lineRule="auto"/>
            </w:pPr>
            <w:r>
              <w:rPr>
                <w:rFonts w:ascii="Times New Roman" w:hAnsi="Times New Roman" w:eastAsia="Times New Roman"/>
                <w:b w:val="0"/>
                <w:i w:val="0"/>
                <w:sz w:val="22"/>
              </w:rPr>
              <w:t>Non-functional (Performance)</w:t>
            </w:r>
          </w:p>
        </w:tc>
        <w:tc>
          <w:tcPr>
            <w:tcW w:w="6336" w:type="dxa"/>
          </w:tcPr>
          <w:p w14:paraId="6A7D30A1">
            <w:pPr>
              <w:spacing w:after="40" w:line="240" w:lineRule="auto"/>
            </w:pPr>
            <w:r>
              <w:rPr>
                <w:rFonts w:ascii="Times New Roman" w:hAnsi="Times New Roman" w:eastAsia="Times New Roman"/>
                <w:b w:val="0"/>
                <w:i w:val="0"/>
                <w:sz w:val="22"/>
              </w:rPr>
              <w:t>Return feedback within a reasonable interactive time on available hardware.</w:t>
            </w:r>
          </w:p>
        </w:tc>
      </w:tr>
    </w:tbl>
    <w:p w14:paraId="20879E5D">
      <w:pPr>
        <w:spacing w:after="40"/>
      </w:pPr>
    </w:p>
    <w:p w14:paraId="0C13F002">
      <w:pPr>
        <w:pStyle w:val="4"/>
      </w:pPr>
      <w:r>
        <w:rPr>
          <w:rFonts w:ascii="Times New Roman" w:hAnsi="Times New Roman" w:eastAsia="Times New Roman"/>
          <w:b/>
          <w:i w:val="0"/>
          <w:sz w:val="24"/>
        </w:rPr>
        <w:t>3.4.2 Use Case Diagram</w:t>
      </w:r>
    </w:p>
    <w:p w14:paraId="29563274">
      <w:pPr>
        <w:spacing w:before="120" w:after="120"/>
        <w:jc w:val="center"/>
      </w:pPr>
      <w:r>
        <w:drawing>
          <wp:inline distT="0" distB="0" distL="114300" distR="114300">
            <wp:extent cx="5715000" cy="3796665"/>
            <wp:effectExtent l="0" t="0" r="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3796678"/>
                    </a:xfrm>
                    <a:prstGeom prst="rect">
                      <a:avLst/>
                    </a:prstGeom>
                  </pic:spPr>
                </pic:pic>
              </a:graphicData>
            </a:graphic>
          </wp:inline>
        </w:drawing>
      </w:r>
    </w:p>
    <w:p w14:paraId="3E96F872">
      <w:pPr>
        <w:spacing w:after="200"/>
        <w:jc w:val="center"/>
      </w:pPr>
      <w:r>
        <w:rPr>
          <w:rFonts w:ascii="Times New Roman" w:hAnsi="Times New Roman" w:eastAsia="Times New Roman"/>
          <w:b/>
          <w:i w:val="0"/>
          <w:sz w:val="20"/>
        </w:rPr>
        <w:t>Figure 3.1: Use Case Diagram of the proposed training companion</w:t>
      </w:r>
    </w:p>
    <w:p w14:paraId="1A496CB1">
      <w:pPr>
        <w:spacing w:after="120" w:line="360" w:lineRule="auto"/>
      </w:pPr>
      <w:r>
        <w:rPr>
          <w:rFonts w:ascii="Times New Roman" w:hAnsi="Times New Roman" w:eastAsia="Times New Roman"/>
          <w:b w:val="0"/>
          <w:i w:val="0"/>
          <w:sz w:val="22"/>
        </w:rPr>
        <w:t>The primary actor is the Student, who selects a case, submits an interpretation, views feedback and answers reflective prompts. A secondary actor, the Educator/Reviewer, reviews generated feedback and applies the evaluation rubric. The Administrator/Developer manages the corpus, prompt versions and model configuration. Key use cases include View CXR case, Submit interpretation, Generate AI analysis (MedGemma), Retrieve evidence (RAG), Generate feedback note, and Review/score feedback.</w:t>
      </w:r>
    </w:p>
    <w:p w14:paraId="5CC70CD6">
      <w:pPr>
        <w:pStyle w:val="3"/>
      </w:pPr>
      <w:r>
        <w:rPr>
          <w:rFonts w:ascii="Times New Roman" w:hAnsi="Times New Roman" w:eastAsia="Times New Roman"/>
          <w:b/>
          <w:i w:val="0"/>
          <w:sz w:val="28"/>
        </w:rPr>
        <w:t>3.5 Proposed Artefact</w:t>
      </w:r>
    </w:p>
    <w:p w14:paraId="58D1ABB1">
      <w:pPr>
        <w:spacing w:after="120" w:line="360" w:lineRule="auto"/>
      </w:pPr>
      <w:r>
        <w:rPr>
          <w:rFonts w:ascii="Times New Roman" w:hAnsi="Times New Roman" w:eastAsia="Times New Roman"/>
          <w:b w:val="0"/>
          <w:i w:val="0"/>
          <w:sz w:val="22"/>
        </w:rPr>
        <w:t>The proposed artefact is a client-server web application organised in a layered architecture. A presentation layer (browser UI) handles case display and student input; an application layer orchestrates the workflow; a model-inference component runs MedGemma for image analysis; a retrieval component embeds the query and searches a vector database over the curated corpus; and a feedback-generation component composes the final student-facing note. Data modelling will capture cases, student attempts, retrieved passages and feedback records (documented with an ERD/class diagram during design). The end-to-end flow is: CXR case → student interpretation → MedGemma analysis → RAG retrieval → feedback generation → student reflection.</w:t>
      </w:r>
    </w:p>
    <w:p w14:paraId="3C6A80A0">
      <w:pPr>
        <w:jc w:val="center"/>
      </w:pPr>
      <w:r>
        <w:drawing>
          <wp:inline distT="0" distB="0" distL="114300" distR="114300">
            <wp:extent cx="5806440" cy="32696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806440" cy="3269646"/>
                    </a:xfrm>
                    <a:prstGeom prst="rect">
                      <a:avLst/>
                    </a:prstGeom>
                  </pic:spPr>
                </pic:pic>
              </a:graphicData>
            </a:graphic>
          </wp:inline>
        </w:drawing>
      </w:r>
    </w:p>
    <w:p w14:paraId="61533706">
      <w:pPr>
        <w:spacing w:after="200"/>
        <w:jc w:val="center"/>
      </w:pPr>
      <w:r>
        <w:rPr>
          <w:rFonts w:ascii="Times New Roman" w:hAnsi="Times New Roman" w:eastAsia="Times New Roman"/>
          <w:b/>
          <w:i w:val="0"/>
          <w:sz w:val="20"/>
        </w:rPr>
        <w:t>Figure 3.2: High-level system architecture (MedGemma + RAG feedback pipeline)</w:t>
      </w:r>
    </w:p>
    <w:p w14:paraId="22096928">
      <w:pPr>
        <w:spacing w:after="120" w:line="360" w:lineRule="auto"/>
      </w:pPr>
      <w:r>
        <w:rPr>
          <w:rFonts w:ascii="Times New Roman" w:hAnsi="Times New Roman" w:eastAsia="Times New Roman"/>
          <w:b w:val="0"/>
          <w:i w:val="0"/>
          <w:sz w:val="22"/>
        </w:rPr>
        <w:t>Each generated feedback note is planned to contain the following components:</w:t>
      </w:r>
    </w:p>
    <w:p w14:paraId="1274F0BD">
      <w:pPr>
        <w:pStyle w:val="25"/>
        <w:spacing w:after="60" w:line="360" w:lineRule="auto"/>
      </w:pPr>
      <w:r>
        <w:rPr>
          <w:rFonts w:ascii="Times New Roman" w:hAnsi="Times New Roman" w:eastAsia="Times New Roman"/>
          <w:b w:val="0"/>
          <w:i w:val="0"/>
          <w:sz w:val="22"/>
        </w:rPr>
        <w:t>Likely finding</w:t>
      </w:r>
    </w:p>
    <w:p w14:paraId="1F9E7294">
      <w:pPr>
        <w:pStyle w:val="25"/>
        <w:spacing w:after="60" w:line="360" w:lineRule="auto"/>
      </w:pPr>
      <w:r>
        <w:rPr>
          <w:rFonts w:ascii="Times New Roman" w:hAnsi="Times New Roman" w:eastAsia="Times New Roman"/>
          <w:b w:val="0"/>
          <w:i w:val="0"/>
          <w:sz w:val="22"/>
        </w:rPr>
        <w:t>Key radiographic signs</w:t>
      </w:r>
    </w:p>
    <w:p w14:paraId="4D6A71FF">
      <w:pPr>
        <w:pStyle w:val="25"/>
        <w:spacing w:after="60" w:line="360" w:lineRule="auto"/>
      </w:pPr>
      <w:r>
        <w:rPr>
          <w:rFonts w:ascii="Times New Roman" w:hAnsi="Times New Roman" w:eastAsia="Times New Roman"/>
          <w:b w:val="0"/>
          <w:i w:val="0"/>
          <w:sz w:val="22"/>
        </w:rPr>
        <w:t>Comparison with the student's answer</w:t>
      </w:r>
    </w:p>
    <w:p w14:paraId="54E18931">
      <w:pPr>
        <w:pStyle w:val="25"/>
        <w:spacing w:after="60" w:line="360" w:lineRule="auto"/>
      </w:pPr>
      <w:r>
        <w:rPr>
          <w:rFonts w:ascii="Times New Roman" w:hAnsi="Times New Roman" w:eastAsia="Times New Roman"/>
          <w:b w:val="0"/>
          <w:i w:val="0"/>
          <w:sz w:val="22"/>
        </w:rPr>
        <w:t>Missed or incorrect reasoning</w:t>
      </w:r>
    </w:p>
    <w:p w14:paraId="4BD0B108">
      <w:pPr>
        <w:pStyle w:val="25"/>
        <w:spacing w:after="60" w:line="360" w:lineRule="auto"/>
      </w:pPr>
      <w:r>
        <w:rPr>
          <w:rFonts w:ascii="Times New Roman" w:hAnsi="Times New Roman" w:eastAsia="Times New Roman"/>
          <w:b w:val="0"/>
          <w:i w:val="0"/>
          <w:sz w:val="22"/>
        </w:rPr>
        <w:t>Retrieved supporting evidence (with sources)</w:t>
      </w:r>
    </w:p>
    <w:p w14:paraId="3D0D7824">
      <w:pPr>
        <w:pStyle w:val="25"/>
        <w:spacing w:after="60" w:line="360" w:lineRule="auto"/>
      </w:pPr>
      <w:r>
        <w:rPr>
          <w:rFonts w:ascii="Times New Roman" w:hAnsi="Times New Roman" w:eastAsia="Times New Roman"/>
          <w:b w:val="0"/>
          <w:i w:val="0"/>
          <w:sz w:val="22"/>
        </w:rPr>
        <w:t>Learning point or mini-quiz question</w:t>
      </w:r>
    </w:p>
    <w:p w14:paraId="6EE5F7E4">
      <w:pPr>
        <w:pStyle w:val="3"/>
      </w:pPr>
      <w:r>
        <w:rPr>
          <w:rFonts w:ascii="Times New Roman" w:hAnsi="Times New Roman" w:eastAsia="Times New Roman"/>
          <w:b/>
          <w:i w:val="0"/>
          <w:sz w:val="28"/>
        </w:rPr>
        <w:t>3.6 Tools and Technologies</w:t>
      </w:r>
    </w:p>
    <w:p w14:paraId="02B68DEF">
      <w:pPr>
        <w:spacing w:after="200"/>
        <w:jc w:val="center"/>
      </w:pPr>
      <w:r>
        <w:rPr>
          <w:rFonts w:ascii="Times New Roman" w:hAnsi="Times New Roman" w:eastAsia="Times New Roman"/>
          <w:b/>
          <w:i w:val="0"/>
          <w:sz w:val="20"/>
        </w:rPr>
        <w:t>Table 3.2: Proposed tools and technologies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24"/>
        <w:gridCol w:w="3600"/>
      </w:tblGrid>
      <w:tr w14:paraId="1A05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2F3"/>
          </w:tcPr>
          <w:p w14:paraId="164B09A5">
            <w:pPr>
              <w:spacing w:line="240" w:lineRule="auto"/>
            </w:pPr>
            <w:r>
              <w:rPr>
                <w:rFonts w:ascii="Times New Roman" w:hAnsi="Times New Roman" w:eastAsia="Times New Roman"/>
                <w:b/>
                <w:i w:val="0"/>
                <w:sz w:val="22"/>
              </w:rPr>
              <w:t>Category</w:t>
            </w:r>
          </w:p>
        </w:tc>
        <w:tc>
          <w:tcPr>
            <w:tcW w:w="3024" w:type="dxa"/>
            <w:shd w:val="clear" w:color="auto" w:fill="D9E2F3"/>
          </w:tcPr>
          <w:p w14:paraId="6F3D867D">
            <w:pPr>
              <w:spacing w:line="240" w:lineRule="auto"/>
            </w:pPr>
            <w:r>
              <w:rPr>
                <w:rFonts w:ascii="Times New Roman" w:hAnsi="Times New Roman" w:eastAsia="Times New Roman"/>
                <w:b/>
                <w:i w:val="0"/>
                <w:sz w:val="22"/>
              </w:rPr>
              <w:t>Tool / Technology</w:t>
            </w:r>
          </w:p>
        </w:tc>
        <w:tc>
          <w:tcPr>
            <w:tcW w:w="3600" w:type="dxa"/>
            <w:shd w:val="clear" w:color="auto" w:fill="D9E2F3"/>
          </w:tcPr>
          <w:p w14:paraId="1DBFB2DC">
            <w:pPr>
              <w:spacing w:line="240" w:lineRule="auto"/>
            </w:pPr>
            <w:r>
              <w:rPr>
                <w:rFonts w:ascii="Times New Roman" w:hAnsi="Times New Roman" w:eastAsia="Times New Roman"/>
                <w:b/>
                <w:i w:val="0"/>
                <w:sz w:val="22"/>
              </w:rPr>
              <w:t>Justification</w:t>
            </w:r>
          </w:p>
        </w:tc>
      </w:tr>
      <w:tr w14:paraId="73883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A333B43">
            <w:pPr>
              <w:spacing w:after="40" w:line="240" w:lineRule="auto"/>
            </w:pPr>
            <w:r>
              <w:rPr>
                <w:rFonts w:ascii="Times New Roman" w:hAnsi="Times New Roman" w:eastAsia="Times New Roman"/>
                <w:b w:val="0"/>
                <w:i w:val="0"/>
                <w:sz w:val="22"/>
              </w:rPr>
              <w:t>Programming Language</w:t>
            </w:r>
          </w:p>
        </w:tc>
        <w:tc>
          <w:tcPr>
            <w:tcW w:w="3024" w:type="dxa"/>
          </w:tcPr>
          <w:p w14:paraId="1AB00D3B">
            <w:pPr>
              <w:spacing w:after="40" w:line="240" w:lineRule="auto"/>
            </w:pPr>
            <w:r>
              <w:rPr>
                <w:rFonts w:ascii="Times New Roman" w:hAnsi="Times New Roman" w:eastAsia="Times New Roman"/>
                <w:b w:val="0"/>
                <w:i w:val="0"/>
                <w:sz w:val="22"/>
              </w:rPr>
              <w:t>Python</w:t>
            </w:r>
          </w:p>
        </w:tc>
        <w:tc>
          <w:tcPr>
            <w:tcW w:w="3600" w:type="dxa"/>
          </w:tcPr>
          <w:p w14:paraId="565DBC34">
            <w:pPr>
              <w:spacing w:after="40" w:line="240" w:lineRule="auto"/>
            </w:pPr>
            <w:r>
              <w:rPr>
                <w:rFonts w:ascii="Times New Roman" w:hAnsi="Times New Roman" w:eastAsia="Times New Roman"/>
                <w:b w:val="0"/>
                <w:i w:val="0"/>
                <w:sz w:val="22"/>
              </w:rPr>
              <w:t>Dominant ecosystem for ML/VLM and RAG tooling.</w:t>
            </w:r>
          </w:p>
        </w:tc>
      </w:tr>
      <w:tr w14:paraId="6CEA9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1C6DE77B">
            <w:pPr>
              <w:spacing w:after="40" w:line="240" w:lineRule="auto"/>
            </w:pPr>
            <w:r>
              <w:rPr>
                <w:rFonts w:ascii="Times New Roman" w:hAnsi="Times New Roman" w:eastAsia="Times New Roman"/>
                <w:b w:val="0"/>
                <w:i w:val="0"/>
                <w:sz w:val="22"/>
              </w:rPr>
              <w:t>Medical VLM</w:t>
            </w:r>
          </w:p>
        </w:tc>
        <w:tc>
          <w:tcPr>
            <w:tcW w:w="3024" w:type="dxa"/>
          </w:tcPr>
          <w:p w14:paraId="79078DC4">
            <w:pPr>
              <w:spacing w:after="40" w:line="240" w:lineRule="auto"/>
            </w:pPr>
            <w:r>
              <w:rPr>
                <w:rFonts w:ascii="Times New Roman" w:hAnsi="Times New Roman" w:eastAsia="Times New Roman"/>
                <w:b w:val="0"/>
                <w:i w:val="0"/>
                <w:sz w:val="22"/>
              </w:rPr>
              <w:t>MedGemma</w:t>
            </w:r>
          </w:p>
        </w:tc>
        <w:tc>
          <w:tcPr>
            <w:tcW w:w="3600" w:type="dxa"/>
          </w:tcPr>
          <w:p w14:paraId="7A16889F">
            <w:pPr>
              <w:spacing w:after="40" w:line="240" w:lineRule="auto"/>
            </w:pPr>
            <w:r>
              <w:rPr>
                <w:rFonts w:ascii="Times New Roman" w:hAnsi="Times New Roman" w:eastAsia="Times New Roman"/>
                <w:b w:val="0"/>
                <w:i w:val="0"/>
                <w:sz w:val="22"/>
              </w:rPr>
              <w:t>Medical vision-language model suited to CXR image + text tasks.</w:t>
            </w:r>
          </w:p>
        </w:tc>
      </w:tr>
      <w:tr w14:paraId="2214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1291A40">
            <w:pPr>
              <w:spacing w:after="40" w:line="240" w:lineRule="auto"/>
            </w:pPr>
            <w:r>
              <w:rPr>
                <w:rFonts w:ascii="Times New Roman" w:hAnsi="Times New Roman" w:eastAsia="Times New Roman"/>
                <w:b w:val="0"/>
                <w:i w:val="0"/>
                <w:sz w:val="22"/>
              </w:rPr>
              <w:t>RAG / Orchestration</w:t>
            </w:r>
          </w:p>
        </w:tc>
        <w:tc>
          <w:tcPr>
            <w:tcW w:w="3024" w:type="dxa"/>
          </w:tcPr>
          <w:p w14:paraId="43F5889F">
            <w:pPr>
              <w:spacing w:after="40" w:line="240" w:lineRule="auto"/>
            </w:pPr>
            <w:r>
              <w:rPr>
                <w:rFonts w:ascii="Times New Roman" w:hAnsi="Times New Roman" w:eastAsia="Times New Roman"/>
                <w:b w:val="0"/>
                <w:i w:val="0"/>
                <w:sz w:val="22"/>
              </w:rPr>
              <w:t>LangChain or LlamaIndex</w:t>
            </w:r>
          </w:p>
        </w:tc>
        <w:tc>
          <w:tcPr>
            <w:tcW w:w="3600" w:type="dxa"/>
          </w:tcPr>
          <w:p w14:paraId="3DB3F45F">
            <w:pPr>
              <w:spacing w:after="40" w:line="240" w:lineRule="auto"/>
            </w:pPr>
            <w:r>
              <w:rPr>
                <w:rFonts w:ascii="Times New Roman" w:hAnsi="Times New Roman" w:eastAsia="Times New Roman"/>
                <w:b w:val="0"/>
                <w:i w:val="0"/>
                <w:sz w:val="22"/>
              </w:rPr>
              <w:t>Mature frameworks for retrieval and generation pipelines.</w:t>
            </w:r>
          </w:p>
        </w:tc>
      </w:tr>
      <w:tr w14:paraId="6BDF0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98B8E1A">
            <w:pPr>
              <w:spacing w:after="40" w:line="240" w:lineRule="auto"/>
            </w:pPr>
            <w:r>
              <w:rPr>
                <w:rFonts w:ascii="Times New Roman" w:hAnsi="Times New Roman" w:eastAsia="Times New Roman"/>
                <w:b w:val="0"/>
                <w:i w:val="0"/>
                <w:sz w:val="22"/>
              </w:rPr>
              <w:t>Vector Database</w:t>
            </w:r>
          </w:p>
        </w:tc>
        <w:tc>
          <w:tcPr>
            <w:tcW w:w="3024" w:type="dxa"/>
          </w:tcPr>
          <w:p w14:paraId="5B619345">
            <w:pPr>
              <w:spacing w:after="40" w:line="240" w:lineRule="auto"/>
            </w:pPr>
            <w:r>
              <w:rPr>
                <w:rFonts w:ascii="Times New Roman" w:hAnsi="Times New Roman" w:eastAsia="Times New Roman"/>
                <w:b w:val="0"/>
                <w:i w:val="0"/>
                <w:sz w:val="22"/>
              </w:rPr>
              <w:t>FAISS or Chroma</w:t>
            </w:r>
          </w:p>
        </w:tc>
        <w:tc>
          <w:tcPr>
            <w:tcW w:w="3600" w:type="dxa"/>
          </w:tcPr>
          <w:p w14:paraId="7F0B7DDB">
            <w:pPr>
              <w:spacing w:after="40" w:line="240" w:lineRule="auto"/>
            </w:pPr>
            <w:r>
              <w:rPr>
                <w:rFonts w:ascii="Times New Roman" w:hAnsi="Times New Roman" w:eastAsia="Times New Roman"/>
                <w:b w:val="0"/>
                <w:i w:val="0"/>
                <w:sz w:val="22"/>
              </w:rPr>
              <w:t>Efficient similarity search over the curated corpus.</w:t>
            </w:r>
          </w:p>
        </w:tc>
      </w:tr>
      <w:tr w14:paraId="3530F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A076935">
            <w:pPr>
              <w:spacing w:after="40" w:line="240" w:lineRule="auto"/>
            </w:pPr>
            <w:r>
              <w:rPr>
                <w:rFonts w:ascii="Times New Roman" w:hAnsi="Times New Roman" w:eastAsia="Times New Roman"/>
                <w:b w:val="0"/>
                <w:i w:val="0"/>
                <w:sz w:val="22"/>
              </w:rPr>
              <w:t>Embeddings</w:t>
            </w:r>
          </w:p>
        </w:tc>
        <w:tc>
          <w:tcPr>
            <w:tcW w:w="3024" w:type="dxa"/>
          </w:tcPr>
          <w:p w14:paraId="4A736926">
            <w:pPr>
              <w:spacing w:after="40" w:line="240" w:lineRule="auto"/>
            </w:pPr>
            <w:r>
              <w:rPr>
                <w:rFonts w:ascii="Times New Roman" w:hAnsi="Times New Roman" w:eastAsia="Times New Roman"/>
                <w:b w:val="0"/>
                <w:i w:val="0"/>
                <w:sz w:val="22"/>
              </w:rPr>
              <w:t>Biomedical / sentence-transformer embeddings</w:t>
            </w:r>
          </w:p>
        </w:tc>
        <w:tc>
          <w:tcPr>
            <w:tcW w:w="3600" w:type="dxa"/>
          </w:tcPr>
          <w:p w14:paraId="6496E9BB">
            <w:pPr>
              <w:spacing w:after="40" w:line="240" w:lineRule="auto"/>
            </w:pPr>
            <w:r>
              <w:rPr>
                <w:rFonts w:ascii="Times New Roman" w:hAnsi="Times New Roman" w:eastAsia="Times New Roman"/>
                <w:b w:val="0"/>
                <w:i w:val="0"/>
                <w:sz w:val="22"/>
              </w:rPr>
              <w:t>Domain-appropriate retrieval quality.</w:t>
            </w:r>
          </w:p>
        </w:tc>
      </w:tr>
      <w:tr w14:paraId="4875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A95CC32">
            <w:pPr>
              <w:spacing w:after="40" w:line="240" w:lineRule="auto"/>
            </w:pPr>
            <w:r>
              <w:rPr>
                <w:rFonts w:ascii="Times New Roman" w:hAnsi="Times New Roman" w:eastAsia="Times New Roman"/>
                <w:b w:val="0"/>
                <w:i w:val="0"/>
                <w:sz w:val="22"/>
              </w:rPr>
              <w:t>Backend Framework</w:t>
            </w:r>
          </w:p>
        </w:tc>
        <w:tc>
          <w:tcPr>
            <w:tcW w:w="3024" w:type="dxa"/>
          </w:tcPr>
          <w:p w14:paraId="50E2272B">
            <w:pPr>
              <w:spacing w:after="40" w:line="240" w:lineRule="auto"/>
            </w:pPr>
            <w:r>
              <w:rPr>
                <w:rFonts w:ascii="Times New Roman" w:hAnsi="Times New Roman" w:eastAsia="Times New Roman"/>
                <w:b w:val="0"/>
                <w:i w:val="0"/>
                <w:sz w:val="22"/>
              </w:rPr>
              <w:t>FastAPI or Flask</w:t>
            </w:r>
          </w:p>
        </w:tc>
        <w:tc>
          <w:tcPr>
            <w:tcW w:w="3600" w:type="dxa"/>
          </w:tcPr>
          <w:p w14:paraId="2718B630">
            <w:pPr>
              <w:spacing w:after="40" w:line="240" w:lineRule="auto"/>
            </w:pPr>
            <w:r>
              <w:rPr>
                <w:rFonts w:ascii="Times New Roman" w:hAnsi="Times New Roman" w:eastAsia="Times New Roman"/>
                <w:b w:val="0"/>
                <w:i w:val="0"/>
                <w:sz w:val="22"/>
              </w:rPr>
              <w:t>Lightweight Python web/API layer for the workflow.</w:t>
            </w:r>
          </w:p>
        </w:tc>
      </w:tr>
      <w:tr w14:paraId="676E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7D3DBDC">
            <w:pPr>
              <w:spacing w:after="40" w:line="240" w:lineRule="auto"/>
            </w:pPr>
            <w:r>
              <w:rPr>
                <w:rFonts w:ascii="Times New Roman" w:hAnsi="Times New Roman" w:eastAsia="Times New Roman"/>
                <w:b w:val="0"/>
                <w:i w:val="0"/>
                <w:sz w:val="22"/>
              </w:rPr>
              <w:t>Frontend</w:t>
            </w:r>
          </w:p>
        </w:tc>
        <w:tc>
          <w:tcPr>
            <w:tcW w:w="3024" w:type="dxa"/>
          </w:tcPr>
          <w:p w14:paraId="3BBE0615">
            <w:pPr>
              <w:spacing w:after="40" w:line="240" w:lineRule="auto"/>
            </w:pPr>
            <w:r>
              <w:rPr>
                <w:rFonts w:ascii="Times New Roman" w:hAnsi="Times New Roman" w:eastAsia="Times New Roman"/>
                <w:b w:val="0"/>
                <w:i w:val="0"/>
                <w:sz w:val="22"/>
              </w:rPr>
              <w:t>React (or server-rendered templates)</w:t>
            </w:r>
          </w:p>
        </w:tc>
        <w:tc>
          <w:tcPr>
            <w:tcW w:w="3600" w:type="dxa"/>
          </w:tcPr>
          <w:p w14:paraId="556501C5">
            <w:pPr>
              <w:spacing w:after="40" w:line="240" w:lineRule="auto"/>
            </w:pPr>
            <w:r>
              <w:rPr>
                <w:rFonts w:ascii="Times New Roman" w:hAnsi="Times New Roman" w:eastAsia="Times New Roman"/>
                <w:b w:val="0"/>
                <w:i w:val="0"/>
                <w:sz w:val="22"/>
              </w:rPr>
              <w:t>Interactive student-facing UI in the browser.</w:t>
            </w:r>
          </w:p>
        </w:tc>
      </w:tr>
      <w:tr w14:paraId="5D06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0ABCF04">
            <w:pPr>
              <w:spacing w:after="40" w:line="240" w:lineRule="auto"/>
            </w:pPr>
            <w:r>
              <w:rPr>
                <w:rFonts w:ascii="Times New Roman" w:hAnsi="Times New Roman" w:eastAsia="Times New Roman"/>
                <w:b w:val="0"/>
                <w:i w:val="0"/>
                <w:sz w:val="22"/>
              </w:rPr>
              <w:t>Datastore</w:t>
            </w:r>
          </w:p>
        </w:tc>
        <w:tc>
          <w:tcPr>
            <w:tcW w:w="3024" w:type="dxa"/>
          </w:tcPr>
          <w:p w14:paraId="7B1F18E8">
            <w:pPr>
              <w:spacing w:after="40" w:line="240" w:lineRule="auto"/>
            </w:pPr>
            <w:r>
              <w:rPr>
                <w:rFonts w:ascii="Times New Roman" w:hAnsi="Times New Roman" w:eastAsia="Times New Roman"/>
                <w:b w:val="0"/>
                <w:i w:val="0"/>
                <w:sz w:val="22"/>
              </w:rPr>
              <w:t>SQLite/PostgreSQL (metadata)</w:t>
            </w:r>
          </w:p>
        </w:tc>
        <w:tc>
          <w:tcPr>
            <w:tcW w:w="3600" w:type="dxa"/>
          </w:tcPr>
          <w:p w14:paraId="75936337">
            <w:pPr>
              <w:spacing w:after="40" w:line="240" w:lineRule="auto"/>
            </w:pPr>
            <w:r>
              <w:rPr>
                <w:rFonts w:ascii="Times New Roman" w:hAnsi="Times New Roman" w:eastAsia="Times New Roman"/>
                <w:b w:val="0"/>
                <w:i w:val="0"/>
                <w:sz w:val="22"/>
              </w:rPr>
              <w:t>Store cases, attempts and feedback records.</w:t>
            </w:r>
          </w:p>
        </w:tc>
      </w:tr>
      <w:tr w14:paraId="1F083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9ADFD12">
            <w:pPr>
              <w:spacing w:after="40" w:line="240" w:lineRule="auto"/>
            </w:pPr>
            <w:r>
              <w:rPr>
                <w:rFonts w:ascii="Times New Roman" w:hAnsi="Times New Roman" w:eastAsia="Times New Roman"/>
                <w:b w:val="0"/>
                <w:i w:val="0"/>
                <w:sz w:val="22"/>
              </w:rPr>
              <w:t>Fine-tuning (optional)</w:t>
            </w:r>
          </w:p>
        </w:tc>
        <w:tc>
          <w:tcPr>
            <w:tcW w:w="3024" w:type="dxa"/>
          </w:tcPr>
          <w:p w14:paraId="5CFD87A5">
            <w:pPr>
              <w:spacing w:after="40" w:line="240" w:lineRule="auto"/>
            </w:pPr>
            <w:r>
              <w:rPr>
                <w:rFonts w:ascii="Times New Roman" w:hAnsi="Times New Roman" w:eastAsia="Times New Roman"/>
                <w:b w:val="0"/>
                <w:i w:val="0"/>
                <w:sz w:val="22"/>
              </w:rPr>
              <w:t>PEFT / LoRA</w:t>
            </w:r>
          </w:p>
        </w:tc>
        <w:tc>
          <w:tcPr>
            <w:tcW w:w="3600" w:type="dxa"/>
          </w:tcPr>
          <w:p w14:paraId="483BBCCA">
            <w:pPr>
              <w:spacing w:after="40" w:line="240" w:lineRule="auto"/>
            </w:pPr>
            <w:r>
              <w:rPr>
                <w:rFonts w:ascii="Times New Roman" w:hAnsi="Times New Roman" w:eastAsia="Times New Roman"/>
                <w:b w:val="0"/>
                <w:i w:val="0"/>
                <w:sz w:val="22"/>
              </w:rPr>
              <w:t>Parameter-efficient adaptation within limited compute.</w:t>
            </w:r>
          </w:p>
        </w:tc>
      </w:tr>
      <w:tr w14:paraId="28136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165CC11">
            <w:pPr>
              <w:spacing w:after="40" w:line="240" w:lineRule="auto"/>
            </w:pPr>
            <w:r>
              <w:rPr>
                <w:rFonts w:ascii="Times New Roman" w:hAnsi="Times New Roman" w:eastAsia="Times New Roman"/>
                <w:b w:val="0"/>
                <w:i w:val="0"/>
                <w:sz w:val="22"/>
              </w:rPr>
              <w:t>Development Tools</w:t>
            </w:r>
          </w:p>
        </w:tc>
        <w:tc>
          <w:tcPr>
            <w:tcW w:w="3024" w:type="dxa"/>
          </w:tcPr>
          <w:p w14:paraId="46FFC600">
            <w:pPr>
              <w:spacing w:after="40" w:line="240" w:lineRule="auto"/>
            </w:pPr>
            <w:r>
              <w:rPr>
                <w:rFonts w:ascii="Times New Roman" w:hAnsi="Times New Roman" w:eastAsia="Times New Roman"/>
                <w:b w:val="0"/>
                <w:i w:val="0"/>
                <w:sz w:val="22"/>
              </w:rPr>
              <w:t>VS Code, Git/GitHub</w:t>
            </w:r>
          </w:p>
        </w:tc>
        <w:tc>
          <w:tcPr>
            <w:tcW w:w="3600" w:type="dxa"/>
          </w:tcPr>
          <w:p w14:paraId="3491F38F">
            <w:pPr>
              <w:spacing w:after="40" w:line="240" w:lineRule="auto"/>
            </w:pPr>
            <w:r>
              <w:rPr>
                <w:rFonts w:ascii="Times New Roman" w:hAnsi="Times New Roman" w:eastAsia="Times New Roman"/>
                <w:b w:val="0"/>
                <w:i w:val="0"/>
                <w:sz w:val="22"/>
              </w:rPr>
              <w:t>Editing and version control.</w:t>
            </w:r>
          </w:p>
        </w:tc>
      </w:tr>
      <w:tr w14:paraId="10670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B724B99">
            <w:pPr>
              <w:spacing w:after="40" w:line="240" w:lineRule="auto"/>
            </w:pPr>
            <w:r>
              <w:rPr>
                <w:rFonts w:ascii="Times New Roman" w:hAnsi="Times New Roman" w:eastAsia="Times New Roman"/>
                <w:b w:val="0"/>
                <w:i w:val="0"/>
                <w:sz w:val="22"/>
              </w:rPr>
              <w:t>Environment</w:t>
            </w:r>
          </w:p>
        </w:tc>
        <w:tc>
          <w:tcPr>
            <w:tcW w:w="3024" w:type="dxa"/>
          </w:tcPr>
          <w:p w14:paraId="10570CD6">
            <w:pPr>
              <w:spacing w:after="40" w:line="240" w:lineRule="auto"/>
            </w:pPr>
            <w:r>
              <w:rPr>
                <w:rFonts w:ascii="Times New Roman" w:hAnsi="Times New Roman" w:eastAsia="Times New Roman"/>
                <w:b w:val="0"/>
                <w:i w:val="0"/>
                <w:sz w:val="22"/>
              </w:rPr>
              <w:t>Conda / venv, Jupyter</w:t>
            </w:r>
          </w:p>
        </w:tc>
        <w:tc>
          <w:tcPr>
            <w:tcW w:w="3600" w:type="dxa"/>
          </w:tcPr>
          <w:p w14:paraId="17BB6E5E">
            <w:pPr>
              <w:spacing w:after="40" w:line="240" w:lineRule="auto"/>
            </w:pPr>
            <w:r>
              <w:rPr>
                <w:rFonts w:ascii="Times New Roman" w:hAnsi="Times New Roman" w:eastAsia="Times New Roman"/>
                <w:b w:val="0"/>
                <w:i w:val="0"/>
                <w:sz w:val="22"/>
              </w:rPr>
              <w:t>Reproducible experiments and analysis.</w:t>
            </w:r>
          </w:p>
        </w:tc>
      </w:tr>
    </w:tbl>
    <w:p w14:paraId="14F5248D">
      <w:pPr>
        <w:spacing w:after="40"/>
      </w:pPr>
    </w:p>
    <w:p w14:paraId="3B9A3933">
      <w:pPr>
        <w:pStyle w:val="3"/>
      </w:pPr>
      <w:r>
        <w:rPr>
          <w:rFonts w:ascii="Times New Roman" w:hAnsi="Times New Roman" w:eastAsia="Times New Roman"/>
          <w:b/>
          <w:i w:val="0"/>
          <w:sz w:val="28"/>
        </w:rPr>
        <w:t>3.7 Resource Requirements</w:t>
      </w:r>
    </w:p>
    <w:p w14:paraId="0360D80B">
      <w:pPr>
        <w:spacing w:after="120" w:line="360" w:lineRule="auto"/>
      </w:pPr>
      <w:r>
        <w:rPr>
          <w:rFonts w:ascii="Times New Roman" w:hAnsi="Times New Roman" w:eastAsia="Times New Roman"/>
          <w:b w:val="0"/>
          <w:i w:val="0"/>
          <w:sz w:val="22"/>
        </w:rPr>
        <w:t>The project requires the following resources, obtained as noted:</w:t>
      </w:r>
    </w:p>
    <w:p w14:paraId="77ECFF0E">
      <w:pPr>
        <w:pStyle w:val="25"/>
        <w:spacing w:after="60" w:line="360" w:lineRule="auto"/>
      </w:pPr>
      <w:r>
        <w:rPr>
          <w:rFonts w:ascii="Times New Roman" w:hAnsi="Times New Roman" w:eastAsia="Times New Roman"/>
          <w:b/>
          <w:i w:val="0"/>
          <w:sz w:val="22"/>
        </w:rPr>
        <w:t xml:space="preserve">Compute: </w:t>
      </w:r>
      <w:r>
        <w:rPr>
          <w:rFonts w:ascii="Times New Roman" w:hAnsi="Times New Roman" w:eastAsia="Times New Roman"/>
          <w:b w:val="0"/>
          <w:i w:val="0"/>
          <w:sz w:val="22"/>
        </w:rPr>
        <w:t>A GPU-enabled environment for MedGemma inference and optional fine-tuning, via a local GPU or a cloud/academic compute allocation.</w:t>
      </w:r>
    </w:p>
    <w:p w14:paraId="33F1C6E5">
      <w:pPr>
        <w:pStyle w:val="25"/>
        <w:spacing w:after="60" w:line="360" w:lineRule="auto"/>
      </w:pPr>
      <w:r>
        <w:rPr>
          <w:rFonts w:ascii="Times New Roman" w:hAnsi="Times New Roman" w:eastAsia="Times New Roman"/>
          <w:b/>
          <w:i w:val="0"/>
          <w:sz w:val="22"/>
        </w:rPr>
        <w:t xml:space="preserve">Datasets: </w:t>
      </w:r>
      <w:r>
        <w:rPr>
          <w:rFonts w:ascii="Times New Roman" w:hAnsi="Times New Roman" w:eastAsia="Times New Roman"/>
          <w:b w:val="0"/>
          <w:i w:val="0"/>
          <w:sz w:val="22"/>
        </w:rPr>
        <w:t>Public, de-identified CXR datasets – NIH ChestX-ray and MIMIC-CXR (optionally MIMIC-CXR-JPG) – obtained under, and used strictly according to, their licences and access conditions.</w:t>
      </w:r>
    </w:p>
    <w:p w14:paraId="12D485B7">
      <w:pPr>
        <w:pStyle w:val="25"/>
        <w:spacing w:after="60" w:line="360" w:lineRule="auto"/>
      </w:pPr>
      <w:r>
        <w:rPr>
          <w:rFonts w:ascii="Times New Roman" w:hAnsi="Times New Roman" w:eastAsia="Times New Roman"/>
          <w:b/>
          <w:i w:val="0"/>
          <w:sz w:val="22"/>
        </w:rPr>
        <w:t xml:space="preserve">Models: </w:t>
      </w:r>
      <w:r>
        <w:rPr>
          <w:rFonts w:ascii="Times New Roman" w:hAnsi="Times New Roman" w:eastAsia="Times New Roman"/>
          <w:b w:val="0"/>
          <w:i w:val="0"/>
          <w:sz w:val="22"/>
        </w:rPr>
        <w:t>Access to MedGemma model weights/API under its usage terms, and any embedding models used.</w:t>
      </w:r>
    </w:p>
    <w:p w14:paraId="7788369C">
      <w:pPr>
        <w:pStyle w:val="25"/>
        <w:spacing w:after="60" w:line="360" w:lineRule="auto"/>
      </w:pPr>
      <w:r>
        <w:rPr>
          <w:rFonts w:ascii="Times New Roman" w:hAnsi="Times New Roman" w:eastAsia="Times New Roman"/>
          <w:b/>
          <w:i w:val="0"/>
          <w:sz w:val="22"/>
        </w:rPr>
        <w:t xml:space="preserve">RAG corpus: </w:t>
      </w:r>
      <w:r>
        <w:rPr>
          <w:rFonts w:ascii="Times New Roman" w:hAnsi="Times New Roman" w:eastAsia="Times New Roman"/>
          <w:b w:val="0"/>
          <w:i w:val="0"/>
          <w:sz w:val="22"/>
        </w:rPr>
        <w:t>A curated educational corpus of open-access papers, openly licensed guidelines and approved teaching notes, with a source register recording every document.</w:t>
      </w:r>
    </w:p>
    <w:p w14:paraId="305997C8">
      <w:pPr>
        <w:pStyle w:val="25"/>
        <w:spacing w:after="60" w:line="360" w:lineRule="auto"/>
      </w:pPr>
      <w:r>
        <w:rPr>
          <w:rFonts w:ascii="Times New Roman" w:hAnsi="Times New Roman" w:eastAsia="Times New Roman"/>
          <w:b/>
          <w:i w:val="0"/>
          <w:sz w:val="22"/>
        </w:rPr>
        <w:t xml:space="preserve">Software: </w:t>
      </w:r>
      <w:r>
        <w:rPr>
          <w:rFonts w:ascii="Times New Roman" w:hAnsi="Times New Roman" w:eastAsia="Times New Roman"/>
          <w:b w:val="0"/>
          <w:i w:val="0"/>
          <w:sz w:val="22"/>
        </w:rPr>
        <w:t>Standard development machine, code editor and version control.</w:t>
      </w:r>
    </w:p>
    <w:p w14:paraId="10AA96B3">
      <w:pPr>
        <w:pStyle w:val="3"/>
      </w:pPr>
      <w:r>
        <w:rPr>
          <w:rFonts w:ascii="Times New Roman" w:hAnsi="Times New Roman" w:eastAsia="Times New Roman"/>
          <w:b/>
          <w:i w:val="0"/>
          <w:sz w:val="28"/>
        </w:rPr>
        <w:t>3.8 Project Plan and Timeline</w:t>
      </w:r>
    </w:p>
    <w:p w14:paraId="30C032F6">
      <w:pPr>
        <w:spacing w:after="120" w:line="360" w:lineRule="auto"/>
      </w:pPr>
      <w:r>
        <w:rPr>
          <w:rFonts w:ascii="Times New Roman" w:hAnsi="Times New Roman" w:eastAsia="Times New Roman"/>
          <w:b w:val="0"/>
          <w:i w:val="0"/>
          <w:sz w:val="22"/>
        </w:rPr>
        <w:t>Table 3.3 presents the work breakdown and timeline across the available weeks; the phases follow the iterative prototyping plan in Section 3.3. The Gantt chart is shown in Figure 3.3.</w:t>
      </w:r>
    </w:p>
    <w:p w14:paraId="7B9590D8">
      <w:pPr>
        <w:spacing w:after="200"/>
        <w:jc w:val="center"/>
      </w:pPr>
      <w:r>
        <w:rPr>
          <w:rFonts w:ascii="Times New Roman" w:hAnsi="Times New Roman" w:eastAsia="Times New Roman"/>
          <w:b/>
          <w:i w:val="0"/>
          <w:sz w:val="20"/>
        </w:rPr>
        <w:t>Table 3.3: Project plan and timeline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1"/>
        <w:gridCol w:w="1698"/>
        <w:gridCol w:w="3816"/>
      </w:tblGrid>
      <w:tr w14:paraId="1945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2F3"/>
          </w:tcPr>
          <w:p w14:paraId="11D8E72A">
            <w:pPr>
              <w:spacing w:line="240" w:lineRule="auto"/>
            </w:pPr>
            <w:r>
              <w:rPr>
                <w:rFonts w:ascii="Times New Roman" w:hAnsi="Times New Roman" w:eastAsia="Times New Roman"/>
                <w:b/>
                <w:i w:val="0"/>
                <w:sz w:val="22"/>
              </w:rPr>
              <w:t>Phase / Activity</w:t>
            </w:r>
          </w:p>
        </w:tc>
        <w:tc>
          <w:tcPr>
            <w:tcW w:w="1872" w:type="dxa"/>
            <w:shd w:val="clear" w:color="auto" w:fill="D9E2F3"/>
          </w:tcPr>
          <w:p w14:paraId="73D24374">
            <w:pPr>
              <w:spacing w:line="240" w:lineRule="auto"/>
            </w:pPr>
            <w:r>
              <w:rPr>
                <w:rFonts w:ascii="Times New Roman" w:hAnsi="Times New Roman" w:eastAsia="Times New Roman"/>
                <w:b/>
                <w:i w:val="0"/>
                <w:sz w:val="22"/>
              </w:rPr>
              <w:t>Duration</w:t>
            </w:r>
          </w:p>
        </w:tc>
        <w:tc>
          <w:tcPr>
            <w:tcW w:w="4320" w:type="dxa"/>
            <w:shd w:val="clear" w:color="auto" w:fill="D9E2F3"/>
          </w:tcPr>
          <w:p w14:paraId="2D385885">
            <w:pPr>
              <w:spacing w:line="240" w:lineRule="auto"/>
            </w:pPr>
            <w:r>
              <w:rPr>
                <w:rFonts w:ascii="Times New Roman" w:hAnsi="Times New Roman" w:eastAsia="Times New Roman"/>
                <w:b/>
                <w:i w:val="0"/>
                <w:sz w:val="22"/>
              </w:rPr>
              <w:t>Deliverable</w:t>
            </w:r>
          </w:p>
        </w:tc>
      </w:tr>
      <w:tr w14:paraId="1681B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451C87E">
            <w:pPr>
              <w:spacing w:after="40" w:line="240" w:lineRule="auto"/>
            </w:pPr>
            <w:r>
              <w:rPr>
                <w:rFonts w:ascii="Times New Roman" w:hAnsi="Times New Roman" w:eastAsia="Times New Roman"/>
                <w:b w:val="0"/>
                <w:i w:val="0"/>
                <w:sz w:val="22"/>
              </w:rPr>
              <w:t>Literature Review &amp; Proposal</w:t>
            </w:r>
          </w:p>
        </w:tc>
        <w:tc>
          <w:tcPr>
            <w:tcW w:w="1872" w:type="dxa"/>
          </w:tcPr>
          <w:p w14:paraId="18E3BA00">
            <w:pPr>
              <w:spacing w:after="40" w:line="240" w:lineRule="auto"/>
            </w:pPr>
            <w:r>
              <w:rPr>
                <w:rFonts w:ascii="Times New Roman" w:hAnsi="Times New Roman" w:eastAsia="Times New Roman"/>
                <w:b w:val="0"/>
                <w:i w:val="0"/>
                <w:sz w:val="22"/>
              </w:rPr>
              <w:t>Weeks 1–3</w:t>
            </w:r>
          </w:p>
        </w:tc>
        <w:tc>
          <w:tcPr>
            <w:tcW w:w="4320" w:type="dxa"/>
          </w:tcPr>
          <w:p w14:paraId="591C9AF1">
            <w:pPr>
              <w:spacing w:after="40" w:line="240" w:lineRule="auto"/>
            </w:pPr>
            <w:r>
              <w:rPr>
                <w:rFonts w:ascii="Times New Roman" w:hAnsi="Times New Roman" w:eastAsia="Times New Roman"/>
                <w:b w:val="0"/>
                <w:i w:val="0"/>
                <w:sz w:val="22"/>
              </w:rPr>
              <w:t>Approved Proposal</w:t>
            </w:r>
          </w:p>
        </w:tc>
      </w:tr>
      <w:tr w14:paraId="44C6E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D148C48">
            <w:pPr>
              <w:spacing w:after="40" w:line="240" w:lineRule="auto"/>
            </w:pPr>
            <w:r>
              <w:rPr>
                <w:rFonts w:ascii="Times New Roman" w:hAnsi="Times New Roman" w:eastAsia="Times New Roman"/>
                <w:b w:val="0"/>
                <w:i w:val="0"/>
                <w:sz w:val="22"/>
              </w:rPr>
              <w:t>Requirement Analysis &amp; Data Selection</w:t>
            </w:r>
          </w:p>
        </w:tc>
        <w:tc>
          <w:tcPr>
            <w:tcW w:w="1872" w:type="dxa"/>
          </w:tcPr>
          <w:p w14:paraId="0C1D528B">
            <w:pPr>
              <w:spacing w:after="40" w:line="240" w:lineRule="auto"/>
            </w:pPr>
            <w:r>
              <w:rPr>
                <w:rFonts w:ascii="Times New Roman" w:hAnsi="Times New Roman" w:eastAsia="Times New Roman"/>
                <w:b w:val="0"/>
                <w:i w:val="0"/>
                <w:sz w:val="22"/>
              </w:rPr>
              <w:t>Weeks 4–5</w:t>
            </w:r>
          </w:p>
        </w:tc>
        <w:tc>
          <w:tcPr>
            <w:tcW w:w="4320" w:type="dxa"/>
          </w:tcPr>
          <w:p w14:paraId="25A07CD2">
            <w:pPr>
              <w:spacing w:after="40" w:line="240" w:lineRule="auto"/>
            </w:pPr>
            <w:r>
              <w:rPr>
                <w:rFonts w:ascii="Times New Roman" w:hAnsi="Times New Roman" w:eastAsia="Times New Roman"/>
                <w:b w:val="0"/>
                <w:i w:val="0"/>
                <w:sz w:val="22"/>
              </w:rPr>
              <w:t>Requirements Document; selected findings &amp; data</w:t>
            </w:r>
          </w:p>
        </w:tc>
      </w:tr>
      <w:tr w14:paraId="5B88A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2124379">
            <w:pPr>
              <w:spacing w:after="40" w:line="240" w:lineRule="auto"/>
            </w:pPr>
            <w:r>
              <w:rPr>
                <w:rFonts w:ascii="Times New Roman" w:hAnsi="Times New Roman" w:eastAsia="Times New Roman"/>
                <w:b w:val="0"/>
                <w:i w:val="0"/>
                <w:sz w:val="22"/>
              </w:rPr>
              <w:t>System Design &amp; Corpus Build</w:t>
            </w:r>
          </w:p>
        </w:tc>
        <w:tc>
          <w:tcPr>
            <w:tcW w:w="1872" w:type="dxa"/>
          </w:tcPr>
          <w:p w14:paraId="6F45531C">
            <w:pPr>
              <w:spacing w:after="40" w:line="240" w:lineRule="auto"/>
            </w:pPr>
            <w:r>
              <w:rPr>
                <w:rFonts w:ascii="Times New Roman" w:hAnsi="Times New Roman" w:eastAsia="Times New Roman"/>
                <w:b w:val="0"/>
                <w:i w:val="0"/>
                <w:sz w:val="22"/>
              </w:rPr>
              <w:t>Weeks 6–7</w:t>
            </w:r>
          </w:p>
        </w:tc>
        <w:tc>
          <w:tcPr>
            <w:tcW w:w="4320" w:type="dxa"/>
          </w:tcPr>
          <w:p w14:paraId="3530927D">
            <w:pPr>
              <w:spacing w:after="40" w:line="240" w:lineRule="auto"/>
            </w:pPr>
            <w:r>
              <w:rPr>
                <w:rFonts w:ascii="Times New Roman" w:hAnsi="Times New Roman" w:eastAsia="Times New Roman"/>
                <w:b w:val="0"/>
                <w:i w:val="0"/>
                <w:sz w:val="22"/>
              </w:rPr>
              <w:t>Architecture/Design docs; curated RAG corpus</w:t>
            </w:r>
          </w:p>
        </w:tc>
      </w:tr>
      <w:tr w14:paraId="64FF3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D462ECA">
            <w:pPr>
              <w:spacing w:after="40" w:line="240" w:lineRule="auto"/>
            </w:pPr>
            <w:r>
              <w:rPr>
                <w:rFonts w:ascii="Times New Roman" w:hAnsi="Times New Roman" w:eastAsia="Times New Roman"/>
                <w:b w:val="0"/>
                <w:i w:val="0"/>
                <w:sz w:val="22"/>
              </w:rPr>
              <w:t>Implementation – MedGemma baseline</w:t>
            </w:r>
          </w:p>
        </w:tc>
        <w:tc>
          <w:tcPr>
            <w:tcW w:w="1872" w:type="dxa"/>
          </w:tcPr>
          <w:p w14:paraId="44C2D2FB">
            <w:pPr>
              <w:spacing w:after="40" w:line="240" w:lineRule="auto"/>
            </w:pPr>
            <w:r>
              <w:rPr>
                <w:rFonts w:ascii="Times New Roman" w:hAnsi="Times New Roman" w:eastAsia="Times New Roman"/>
                <w:b w:val="0"/>
                <w:i w:val="0"/>
                <w:sz w:val="22"/>
              </w:rPr>
              <w:t>Weeks 8–9</w:t>
            </w:r>
          </w:p>
        </w:tc>
        <w:tc>
          <w:tcPr>
            <w:tcW w:w="4320" w:type="dxa"/>
          </w:tcPr>
          <w:p w14:paraId="0FEE8AD9">
            <w:pPr>
              <w:spacing w:after="40" w:line="240" w:lineRule="auto"/>
            </w:pPr>
            <w:r>
              <w:rPr>
                <w:rFonts w:ascii="Times New Roman" w:hAnsi="Times New Roman" w:eastAsia="Times New Roman"/>
                <w:b w:val="0"/>
                <w:i w:val="0"/>
                <w:sz w:val="22"/>
              </w:rPr>
              <w:t>Baseline prototype (MedGemma only)</w:t>
            </w:r>
          </w:p>
        </w:tc>
      </w:tr>
      <w:tr w14:paraId="0076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65D2CF9">
            <w:pPr>
              <w:spacing w:after="40" w:line="240" w:lineRule="auto"/>
            </w:pPr>
            <w:r>
              <w:rPr>
                <w:rFonts w:ascii="Times New Roman" w:hAnsi="Times New Roman" w:eastAsia="Times New Roman"/>
                <w:b w:val="0"/>
                <w:i w:val="0"/>
                <w:sz w:val="22"/>
              </w:rPr>
              <w:t>Implementation – RAG layer</w:t>
            </w:r>
          </w:p>
        </w:tc>
        <w:tc>
          <w:tcPr>
            <w:tcW w:w="1872" w:type="dxa"/>
          </w:tcPr>
          <w:p w14:paraId="54D66CC7">
            <w:pPr>
              <w:spacing w:after="40" w:line="240" w:lineRule="auto"/>
            </w:pPr>
            <w:r>
              <w:rPr>
                <w:rFonts w:ascii="Times New Roman" w:hAnsi="Times New Roman" w:eastAsia="Times New Roman"/>
                <w:b w:val="0"/>
                <w:i w:val="0"/>
                <w:sz w:val="22"/>
              </w:rPr>
              <w:t>Weeks 10–11</w:t>
            </w:r>
          </w:p>
        </w:tc>
        <w:tc>
          <w:tcPr>
            <w:tcW w:w="4320" w:type="dxa"/>
          </w:tcPr>
          <w:p w14:paraId="43F1501E">
            <w:pPr>
              <w:spacing w:after="40" w:line="240" w:lineRule="auto"/>
            </w:pPr>
            <w:r>
              <w:rPr>
                <w:rFonts w:ascii="Times New Roman" w:hAnsi="Times New Roman" w:eastAsia="Times New Roman"/>
                <w:b w:val="0"/>
                <w:i w:val="0"/>
                <w:sz w:val="22"/>
              </w:rPr>
              <w:t>MedGemma + RAG prototype</w:t>
            </w:r>
          </w:p>
        </w:tc>
      </w:tr>
      <w:tr w14:paraId="14AA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69252C0">
            <w:pPr>
              <w:spacing w:after="40" w:line="240" w:lineRule="auto"/>
            </w:pPr>
            <w:r>
              <w:rPr>
                <w:rFonts w:ascii="Times New Roman" w:hAnsi="Times New Roman" w:eastAsia="Times New Roman"/>
                <w:b w:val="0"/>
                <w:i w:val="0"/>
                <w:sz w:val="22"/>
              </w:rPr>
              <w:t>Implementation – optional fine-tuning</w:t>
            </w:r>
          </w:p>
        </w:tc>
        <w:tc>
          <w:tcPr>
            <w:tcW w:w="1872" w:type="dxa"/>
          </w:tcPr>
          <w:p w14:paraId="41A501D2">
            <w:pPr>
              <w:spacing w:after="40" w:line="240" w:lineRule="auto"/>
            </w:pPr>
            <w:r>
              <w:rPr>
                <w:rFonts w:ascii="Times New Roman" w:hAnsi="Times New Roman" w:eastAsia="Times New Roman"/>
                <w:b w:val="0"/>
                <w:i w:val="0"/>
                <w:sz w:val="22"/>
              </w:rPr>
              <w:t>Weeks 12–13</w:t>
            </w:r>
          </w:p>
        </w:tc>
        <w:tc>
          <w:tcPr>
            <w:tcW w:w="4320" w:type="dxa"/>
          </w:tcPr>
          <w:p w14:paraId="780D1CF9">
            <w:pPr>
              <w:spacing w:after="40" w:line="240" w:lineRule="auto"/>
            </w:pPr>
            <w:r>
              <w:rPr>
                <w:rFonts w:ascii="Times New Roman" w:hAnsi="Times New Roman" w:eastAsia="Times New Roman"/>
                <w:b w:val="0"/>
                <w:i w:val="0"/>
                <w:sz w:val="22"/>
              </w:rPr>
              <w:t>Fine-tuned + RAG (if feasible)</w:t>
            </w:r>
          </w:p>
        </w:tc>
      </w:tr>
      <w:tr w14:paraId="666E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D702028">
            <w:pPr>
              <w:spacing w:after="40" w:line="240" w:lineRule="auto"/>
            </w:pPr>
            <w:r>
              <w:rPr>
                <w:rFonts w:ascii="Times New Roman" w:hAnsi="Times New Roman" w:eastAsia="Times New Roman"/>
                <w:b w:val="0"/>
                <w:i w:val="0"/>
                <w:sz w:val="22"/>
              </w:rPr>
              <w:t>Testing &amp; Evaluation</w:t>
            </w:r>
          </w:p>
        </w:tc>
        <w:tc>
          <w:tcPr>
            <w:tcW w:w="1872" w:type="dxa"/>
          </w:tcPr>
          <w:p w14:paraId="2CF526A5">
            <w:r>
              <w:t>Week 14</w:t>
            </w:r>
          </w:p>
        </w:tc>
        <w:tc>
          <w:tcPr>
            <w:tcW w:w="4320" w:type="dxa"/>
          </w:tcPr>
          <w:p w14:paraId="2FF0D89F">
            <w:r>
              <w:t>Test report; rubric-based feedback evaluation</w:t>
            </w:r>
          </w:p>
        </w:tc>
      </w:tr>
      <w:tr w14:paraId="6A3FF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1AA7247">
            <w:pPr>
              <w:spacing w:after="40" w:line="240" w:lineRule="auto"/>
            </w:pPr>
            <w:r>
              <w:rPr>
                <w:rFonts w:ascii="Times New Roman" w:hAnsi="Times New Roman" w:eastAsia="Times New Roman"/>
                <w:b w:val="0"/>
                <w:i w:val="0"/>
                <w:sz w:val="22"/>
              </w:rPr>
              <w:t>Documentation &amp; Submission</w:t>
            </w:r>
          </w:p>
        </w:tc>
        <w:tc>
          <w:tcPr>
            <w:tcW w:w="1872" w:type="dxa"/>
          </w:tcPr>
          <w:p w14:paraId="0A631629">
            <w:r>
              <w:t>Week 15</w:t>
            </w:r>
          </w:p>
        </w:tc>
        <w:tc>
          <w:tcPr>
            <w:tcW w:w="4320" w:type="dxa"/>
          </w:tcPr>
          <w:p w14:paraId="755C702B">
            <w:r>
              <w:t>Final thesis / report</w:t>
            </w:r>
          </w:p>
        </w:tc>
      </w:tr>
    </w:tbl>
    <w:p w14:paraId="6AF987E5">
      <w:pPr>
        <w:spacing w:after="40"/>
        <w:jc w:val="center"/>
      </w:pPr>
      <w:r>
        <w:drawing>
          <wp:inline distT="0" distB="0" distL="114300" distR="114300">
            <wp:extent cx="5897880" cy="302323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897880" cy="3023511"/>
                    </a:xfrm>
                    <a:prstGeom prst="rect">
                      <a:avLst/>
                    </a:prstGeom>
                  </pic:spPr>
                </pic:pic>
              </a:graphicData>
            </a:graphic>
          </wp:inline>
        </w:drawing>
      </w:r>
    </w:p>
    <w:p w14:paraId="56392CE1">
      <w:pPr>
        <w:spacing w:before="120" w:after="120"/>
        <w:jc w:val="center"/>
      </w:pPr>
      <w:r>
        <w:rPr>
          <w:rFonts w:ascii="Times New Roman" w:hAnsi="Times New Roman" w:eastAsia="Times New Roman"/>
          <w:b/>
          <w:i/>
          <w:color w:val="808080"/>
          <w:sz w:val="22"/>
        </w:rPr>
        <w:t>Figure 3.3: Gantt chart of the project plan</w:t>
      </w:r>
    </w:p>
    <w:p w14:paraId="02E3BC89">
      <w:pPr>
        <w:pStyle w:val="3"/>
      </w:pPr>
      <w:r>
        <w:rPr>
          <w:rFonts w:ascii="Times New Roman" w:hAnsi="Times New Roman" w:eastAsia="Times New Roman"/>
          <w:b/>
          <w:i w:val="0"/>
          <w:sz w:val="28"/>
        </w:rPr>
        <w:t>3.9 Ethical Considerations</w:t>
      </w:r>
    </w:p>
    <w:p w14:paraId="00C123A1">
      <w:pPr>
        <w:spacing w:after="120" w:line="360" w:lineRule="auto"/>
      </w:pPr>
      <w:r>
        <w:rPr>
          <w:rFonts w:ascii="Times New Roman" w:hAnsi="Times New Roman" w:eastAsia="Times New Roman"/>
          <w:b w:val="0"/>
          <w:i w:val="0"/>
          <w:sz w:val="22"/>
        </w:rPr>
        <w:t xml:space="preserve">Because the project involves medical images, automated feedback and student learning, ethical responsibility is important even though the system is not for patient care. The following issues will be addressed, consistent with the accompanying professionalism assessment and </w:t>
      </w:r>
      <w:r>
        <w:rPr>
          <w:b w:val="0"/>
          <w:i w:val="0"/>
          <w:sz w:val="22"/>
          <w:lang w:val="en-US"/>
        </w:rPr>
        <w:t>recognized</w:t>
      </w:r>
      <w:r>
        <w:rPr>
          <w:rFonts w:ascii="Times New Roman" w:hAnsi="Times New Roman" w:eastAsia="Times New Roman"/>
          <w:b w:val="0"/>
          <w:i w:val="0"/>
          <w:sz w:val="22"/>
        </w:rPr>
        <w:t xml:space="preserve"> guidance (World Health Organization, 2021; National Institute of Standards and Technology, 2023):</w:t>
      </w:r>
    </w:p>
    <w:p w14:paraId="4F307CDD">
      <w:pPr>
        <w:pStyle w:val="25"/>
        <w:spacing w:after="60" w:line="360" w:lineRule="auto"/>
      </w:pPr>
      <w:r>
        <w:rPr>
          <w:rFonts w:ascii="Times New Roman" w:hAnsi="Times New Roman" w:eastAsia="Times New Roman"/>
          <w:b/>
          <w:i w:val="0"/>
          <w:sz w:val="22"/>
        </w:rPr>
        <w:t xml:space="preserve">Data protection and privacy: </w:t>
      </w:r>
      <w:r>
        <w:rPr>
          <w:rFonts w:ascii="Times New Roman" w:hAnsi="Times New Roman" w:eastAsia="Times New Roman"/>
          <w:b w:val="0"/>
          <w:i w:val="0"/>
          <w:sz w:val="22"/>
        </w:rPr>
        <w:t xml:space="preserve">Only de-identified public datasets will be used, according to their </w:t>
      </w:r>
      <w:r>
        <w:rPr>
          <w:b w:val="0"/>
          <w:i w:val="0"/>
          <w:sz w:val="22"/>
          <w:lang w:val="en-US"/>
        </w:rPr>
        <w:t>licenses</w:t>
      </w:r>
      <w:bookmarkStart w:id="0" w:name="_GoBack"/>
      <w:bookmarkEnd w:id="0"/>
      <w:r>
        <w:rPr>
          <w:rFonts w:ascii="Times New Roman" w:hAnsi="Times New Roman" w:eastAsia="Times New Roman"/>
          <w:b w:val="0"/>
          <w:i w:val="0"/>
          <w:sz w:val="22"/>
        </w:rPr>
        <w:t>; no patient names, hospital numbers or other identifiers will be stored (Johnson et al., 2019; Wang et al., 2017).</w:t>
      </w:r>
    </w:p>
    <w:p w14:paraId="242B973D">
      <w:pPr>
        <w:pStyle w:val="25"/>
        <w:spacing w:after="60" w:line="360" w:lineRule="auto"/>
      </w:pPr>
      <w:r>
        <w:rPr>
          <w:rFonts w:ascii="Times New Roman" w:hAnsi="Times New Roman" w:eastAsia="Times New Roman"/>
          <w:b/>
          <w:i w:val="0"/>
          <w:sz w:val="22"/>
        </w:rPr>
        <w:t xml:space="preserve">Student data: </w:t>
      </w:r>
      <w:r>
        <w:rPr>
          <w:rFonts w:ascii="Times New Roman" w:hAnsi="Times New Roman" w:eastAsia="Times New Roman"/>
          <w:b w:val="0"/>
          <w:i w:val="0"/>
          <w:sz w:val="22"/>
        </w:rPr>
        <w:t xml:space="preserve">If student interpretations are collected for evaluation, participation will be voluntary, </w:t>
      </w:r>
      <w:r>
        <w:rPr>
          <w:b w:val="0"/>
          <w:i w:val="0"/>
          <w:sz w:val="22"/>
          <w:lang w:val="en-US"/>
        </w:rPr>
        <w:t>minimized</w:t>
      </w:r>
      <w:r>
        <w:rPr>
          <w:rFonts w:ascii="Times New Roman" w:hAnsi="Times New Roman" w:eastAsia="Times New Roman"/>
          <w:b w:val="0"/>
          <w:i w:val="0"/>
          <w:sz w:val="22"/>
        </w:rPr>
        <w:t>, pseudonymous and separated from academic marking, consistent with the Personal Data Protection Act, No. 9 of 2022 (Parliament of Sri Lanka, 2022).</w:t>
      </w:r>
    </w:p>
    <w:p w14:paraId="73E2C8EA">
      <w:pPr>
        <w:pStyle w:val="25"/>
        <w:spacing w:after="60" w:line="360" w:lineRule="auto"/>
      </w:pPr>
      <w:r>
        <w:rPr>
          <w:rFonts w:ascii="Times New Roman" w:hAnsi="Times New Roman" w:eastAsia="Times New Roman"/>
          <w:b/>
          <w:i w:val="0"/>
          <w:sz w:val="22"/>
        </w:rPr>
        <w:t xml:space="preserve">Educational-use framing: </w:t>
      </w:r>
      <w:r>
        <w:rPr>
          <w:rFonts w:ascii="Times New Roman" w:hAnsi="Times New Roman" w:eastAsia="Times New Roman"/>
          <w:b w:val="0"/>
          <w:i w:val="0"/>
          <w:sz w:val="22"/>
        </w:rPr>
        <w:t>The interface and report will state clearly that the system is for educational use only and not for diagnosis, treatment or patient management.</w:t>
      </w:r>
    </w:p>
    <w:p w14:paraId="1323E241">
      <w:pPr>
        <w:pStyle w:val="25"/>
        <w:spacing w:after="60" w:line="360" w:lineRule="auto"/>
      </w:pPr>
      <w:r>
        <w:rPr>
          <w:rFonts w:ascii="Times New Roman" w:hAnsi="Times New Roman" w:eastAsia="Times New Roman"/>
          <w:b/>
          <w:i w:val="0"/>
          <w:sz w:val="22"/>
        </w:rPr>
        <w:t xml:space="preserve">Automation bias: </w:t>
      </w:r>
      <w:r>
        <w:rPr>
          <w:rFonts w:ascii="Times New Roman" w:hAnsi="Times New Roman" w:eastAsia="Times New Roman"/>
          <w:b w:val="0"/>
          <w:i w:val="0"/>
          <w:sz w:val="22"/>
        </w:rPr>
        <w:t>A student-first workflow, visible sources, uncertainty statements and reflective prompts will be used to reduce over-trust in AI output (Liu et al., 2025).</w:t>
      </w:r>
    </w:p>
    <w:p w14:paraId="358E7530">
      <w:pPr>
        <w:pStyle w:val="25"/>
        <w:spacing w:after="60" w:line="360" w:lineRule="auto"/>
      </w:pPr>
      <w:r>
        <w:rPr>
          <w:rFonts w:ascii="Times New Roman" w:hAnsi="Times New Roman" w:eastAsia="Times New Roman"/>
          <w:b/>
          <w:i w:val="0"/>
          <w:sz w:val="22"/>
        </w:rPr>
        <w:t xml:space="preserve">Licensing and IP: </w:t>
      </w:r>
      <w:r>
        <w:rPr>
          <w:rFonts w:ascii="Times New Roman" w:hAnsi="Times New Roman" w:eastAsia="Times New Roman"/>
          <w:b w:val="0"/>
          <w:i w:val="0"/>
          <w:sz w:val="22"/>
        </w:rPr>
        <w:t>The RAG corpus will use only open-access or permitted sources, recorded in a source register; model and dataset licence terms will be respected.</w:t>
      </w:r>
    </w:p>
    <w:p w14:paraId="5AC1C7C4">
      <w:pPr>
        <w:pStyle w:val="2"/>
      </w:pPr>
      <w:r>
        <w:rPr>
          <w:rFonts w:ascii="Times New Roman" w:hAnsi="Times New Roman" w:eastAsia="Times New Roman"/>
          <w:b/>
          <w:i w:val="0"/>
          <w:sz w:val="32"/>
        </w:rPr>
        <w:t>References</w:t>
      </w:r>
    </w:p>
    <w:p w14:paraId="0B7E952C">
      <w:pPr>
        <w:spacing w:after="120"/>
        <w:ind w:left="360" w:hanging="360"/>
      </w:pPr>
      <w:r>
        <w:t xml:space="preserve">Abo El-Enen, M., Saad, S. and Nazmy, T. (2025) 'A survey on retrieval-augmentation generation (RAG) models for healthcare applications', Neural Computing and Applications. Available at: </w:t>
      </w:r>
      <w:r>
        <w:fldChar w:fldCharType="begin"/>
      </w:r>
      <w:r>
        <w:instrText xml:space="preserve"> HYPERLINK "https://doi.org/10.1007/s00521-025-11666-9" </w:instrText>
      </w:r>
      <w:r>
        <w:fldChar w:fldCharType="separate"/>
      </w:r>
      <w:r>
        <w:rPr>
          <w:rStyle w:val="18"/>
        </w:rPr>
        <w:t>https://doi.org/10.1007/s00521-025-11666-9</w:t>
      </w:r>
      <w:r>
        <w:fldChar w:fldCharType="end"/>
      </w:r>
      <w:r>
        <w:t xml:space="preserve"> (Accessed: 9 June 2026).</w:t>
      </w:r>
    </w:p>
    <w:p w14:paraId="4226BE8B">
      <w:pPr>
        <w:spacing w:after="120"/>
        <w:ind w:left="360" w:hanging="360"/>
      </w:pPr>
      <w:r>
        <w:t xml:space="preserve">Amugongo, L.M., Mascheroni, P., Brooks, S., Doering, S. and Seidel, J. (2025) 'Retrieval augmented generation for large language models in healthcare: A systematic review', PLOS Digital Health, 4(6), e0000877. Available at: </w:t>
      </w:r>
      <w:r>
        <w:fldChar w:fldCharType="begin"/>
      </w:r>
      <w:r>
        <w:instrText xml:space="preserve"> HYPERLINK "https://doi.org/10.1371/journal.pdig.0000877" </w:instrText>
      </w:r>
      <w:r>
        <w:fldChar w:fldCharType="separate"/>
      </w:r>
      <w:r>
        <w:rPr>
          <w:rStyle w:val="18"/>
        </w:rPr>
        <w:t>https://doi.org/10.1371/journal.pdig.0000877</w:t>
      </w:r>
      <w:r>
        <w:fldChar w:fldCharType="end"/>
      </w:r>
      <w:r>
        <w:t xml:space="preserve"> (Accessed: 27 May 2026).</w:t>
      </w:r>
    </w:p>
    <w:p w14:paraId="19D0C1BE">
      <w:pPr>
        <w:spacing w:after="120"/>
        <w:ind w:left="360" w:hanging="360"/>
      </w:pPr>
      <w:r>
        <w:t xml:space="preserve">Chen, Z. et al. (2024) 'A vision-language foundation model to enhance efficiency of chest X-ray interpretation', arXiv:2401.12208. Available at: </w:t>
      </w:r>
      <w:r>
        <w:fldChar w:fldCharType="begin"/>
      </w:r>
      <w:r>
        <w:instrText xml:space="preserve"> HYPERLINK "https://doi.org/10.48550/arXiv.2401.12208" </w:instrText>
      </w:r>
      <w:r>
        <w:fldChar w:fldCharType="separate"/>
      </w:r>
      <w:r>
        <w:rPr>
          <w:rStyle w:val="18"/>
        </w:rPr>
        <w:t>https://doi.org/10.48550/arXiv.2401.12208</w:t>
      </w:r>
      <w:r>
        <w:fldChar w:fldCharType="end"/>
      </w:r>
      <w:r>
        <w:t xml:space="preserve"> (Accessed: 18 June 2026).</w:t>
      </w:r>
    </w:p>
    <w:p w14:paraId="530028F4">
      <w:pPr>
        <w:spacing w:after="120"/>
        <w:ind w:left="360" w:hanging="360"/>
      </w:pPr>
      <w:r>
        <w:t xml:space="preserve">Collaco, B.G. et al. (2026) 'Integrating fine-tuning and retrieval-augmented generation for healthcare AI systems: A scoping review', Bioengineering, 13(2), 225. Available at: </w:t>
      </w:r>
      <w:r>
        <w:fldChar w:fldCharType="begin"/>
      </w:r>
      <w:r>
        <w:instrText xml:space="preserve"> HYPERLINK "https://doi.org/10.3390/bioengineering13020225" </w:instrText>
      </w:r>
      <w:r>
        <w:fldChar w:fldCharType="separate"/>
      </w:r>
      <w:r>
        <w:rPr>
          <w:rStyle w:val="18"/>
        </w:rPr>
        <w:t>https://doi.org/10.3390/bioengineering13020225</w:t>
      </w:r>
      <w:r>
        <w:fldChar w:fldCharType="end"/>
      </w:r>
      <w:r>
        <w:t xml:space="preserve"> (Accessed: 2 June 2026).</w:t>
      </w:r>
    </w:p>
    <w:p w14:paraId="43CC3A6A">
      <w:pPr>
        <w:spacing w:after="120"/>
        <w:ind w:left="360" w:hanging="360"/>
      </w:pPr>
      <w:r>
        <w:t xml:space="preserve">European Parliament and Council of the European Union (2016) 'Regulation (EU) 2016/679: General Data Protection Regulation'. Available at: </w:t>
      </w:r>
      <w:r>
        <w:fldChar w:fldCharType="begin"/>
      </w:r>
      <w:r>
        <w:instrText xml:space="preserve"> HYPERLINK "https://eur-lex.europa.eu/eli/reg/2016/679/oj" </w:instrText>
      </w:r>
      <w:r>
        <w:fldChar w:fldCharType="separate"/>
      </w:r>
      <w:r>
        <w:rPr>
          <w:rStyle w:val="18"/>
        </w:rPr>
        <w:t>https://eur-lex.europa.eu/eli/reg/2016/679/oj</w:t>
      </w:r>
      <w:r>
        <w:fldChar w:fldCharType="end"/>
      </w:r>
      <w:r>
        <w:t xml:space="preserve"> (Accessed: 25 May 2026).</w:t>
      </w:r>
    </w:p>
    <w:p w14:paraId="21145276">
      <w:pPr>
        <w:spacing w:after="120"/>
        <w:ind w:left="360" w:hanging="360"/>
      </w:pPr>
      <w:r>
        <w:t xml:space="preserve">Gosai, A. et al. (2025) 'Beyond diagnosis: Evaluating multimodal LLMs for pathology localization in chest radiographs', arXiv:2509.18015. Available at: </w:t>
      </w:r>
      <w:r>
        <w:fldChar w:fldCharType="begin"/>
      </w:r>
      <w:r>
        <w:instrText xml:space="preserve"> HYPERLINK "https://arxiv.org/abs/2509.18015" </w:instrText>
      </w:r>
      <w:r>
        <w:fldChar w:fldCharType="separate"/>
      </w:r>
      <w:r>
        <w:rPr>
          <w:rStyle w:val="18"/>
        </w:rPr>
        <w:t>https://arxiv.org/abs/2509.18015</w:t>
      </w:r>
      <w:r>
        <w:fldChar w:fldCharType="end"/>
      </w:r>
      <w:r>
        <w:t xml:space="preserve"> (Accessed: 13 June 2026).</w:t>
      </w:r>
    </w:p>
    <w:p w14:paraId="54ADD144">
      <w:pPr>
        <w:spacing w:after="120"/>
        <w:ind w:left="360" w:hanging="360"/>
      </w:pPr>
      <w:r>
        <w:t xml:space="preserve">Johnson, A.E.W. et al. (2019) 'MIMIC-CXR, a de-identified publicly available database of chest radiographs with free-text reports', Scientific Data, 6, 317. Available at: </w:t>
      </w:r>
      <w:r>
        <w:fldChar w:fldCharType="begin"/>
      </w:r>
      <w:r>
        <w:instrText xml:space="preserve"> HYPERLINK "https://doi.org/10.1038/s41597-019-0322-0" </w:instrText>
      </w:r>
      <w:r>
        <w:fldChar w:fldCharType="separate"/>
      </w:r>
      <w:r>
        <w:rPr>
          <w:rStyle w:val="18"/>
        </w:rPr>
        <w:t>https://doi.org/10.1038/s41597-019-0322-0</w:t>
      </w:r>
      <w:r>
        <w:fldChar w:fldCharType="end"/>
      </w:r>
      <w:r>
        <w:t xml:space="preserve"> (Accessed: 5 June 2026).</w:t>
      </w:r>
    </w:p>
    <w:p w14:paraId="68E567B6">
      <w:pPr>
        <w:spacing w:after="120"/>
        <w:ind w:left="360" w:hanging="360"/>
      </w:pPr>
      <w:r>
        <w:t xml:space="preserve">Karunaratne, D. (2023) 'The growing problem of radiologist shortage in Sri Lanka', Korean Journal of Radiology, 24(10), pp. 941-943. doi: 10.3348/kjr.2023.0791. Available at: </w:t>
      </w:r>
      <w:r>
        <w:fldChar w:fldCharType="begin"/>
      </w:r>
      <w:r>
        <w:instrText xml:space="preserve"> HYPERLINK "https://pmc.ncbi.nlm.nih.gov/articles/PMC10550747/" </w:instrText>
      </w:r>
      <w:r>
        <w:fldChar w:fldCharType="separate"/>
      </w:r>
      <w:r>
        <w:rPr>
          <w:rStyle w:val="18"/>
        </w:rPr>
        <w:t>https://pmc.ncbi.nlm.nih.gov/articles/PMC10550747/</w:t>
      </w:r>
      <w:r>
        <w:fldChar w:fldCharType="end"/>
      </w:r>
      <w:r>
        <w:t xml:space="preserve"> (Accessed: 29 May 2026).</w:t>
      </w:r>
    </w:p>
    <w:p w14:paraId="6BD87F7C">
      <w:pPr>
        <w:spacing w:after="120"/>
        <w:ind w:left="360" w:hanging="360"/>
      </w:pPr>
      <w:r>
        <w:t xml:space="preserve">Lee, S., Youn, J., Kim, H., Kim, M. and Yoon, S.H. (2025) 'CXR-LLaVA: a multimodal large language model for interpreting chest X-ray images', European Radiology, 35(7), pp. 4374-4386. Available at: </w:t>
      </w:r>
      <w:r>
        <w:fldChar w:fldCharType="begin"/>
      </w:r>
      <w:r>
        <w:instrText xml:space="preserve"> HYPERLINK "https://doi.org/10.1007/s00330-024-11339-6" </w:instrText>
      </w:r>
      <w:r>
        <w:fldChar w:fldCharType="separate"/>
      </w:r>
      <w:r>
        <w:rPr>
          <w:rStyle w:val="18"/>
        </w:rPr>
        <w:t>https://doi.org/10.1007/s00330-024-11339-6</w:t>
      </w:r>
      <w:r>
        <w:fldChar w:fldCharType="end"/>
      </w:r>
      <w:r>
        <w:t xml:space="preserve"> (Accessed: 20 June 2026).</w:t>
      </w:r>
    </w:p>
    <w:p w14:paraId="7A6B161B">
      <w:pPr>
        <w:spacing w:after="120"/>
        <w:ind w:left="360" w:hanging="360"/>
      </w:pPr>
      <w:r>
        <w:t xml:space="preserve">Li, C. et al. (2023) 'LLaVA-Med: Training a large language-and-vision assistant for biomedicine in one day', Advances in Neural Information Processing Systems 36. Available at: </w:t>
      </w:r>
      <w:r>
        <w:fldChar w:fldCharType="begin"/>
      </w:r>
      <w:r>
        <w:instrText xml:space="preserve"> HYPERLINK "https://proceedings.neurips.cc/paper_files/paper/2023/hash/5abcdf8ecdcacba028c6662789194572-Abstract-Datasets_and_Benchmarks.html" </w:instrText>
      </w:r>
      <w:r>
        <w:fldChar w:fldCharType="separate"/>
      </w:r>
      <w:r>
        <w:rPr>
          <w:rStyle w:val="18"/>
        </w:rPr>
        <w:t>https://proceedings.neurips.cc/paper_files/paper/2023/hash/5abcdf8ecdcacba028c6662789194572-Abstract-Datasets_and_Benchmarks.html</w:t>
      </w:r>
      <w:r>
        <w:fldChar w:fldCharType="end"/>
      </w:r>
      <w:r>
        <w:t xml:space="preserve"> (Accessed: 31 May 2026).</w:t>
      </w:r>
    </w:p>
    <w:p w14:paraId="6DAD4EFE">
      <w:pPr>
        <w:spacing w:after="120"/>
        <w:ind w:left="360" w:hanging="360"/>
      </w:pPr>
      <w:r>
        <w:t xml:space="preserve">Lin, Q. et al. (2025) 'Toward clinically explainable AI for medical diagnosis: A foundation model with human-compatible reasoning via reinforcement learning', arXiv:2509.03906. Available at: </w:t>
      </w:r>
      <w:r>
        <w:fldChar w:fldCharType="begin"/>
      </w:r>
      <w:r>
        <w:instrText xml:space="preserve"> HYPERLINK "https://arxiv.org/abs/2509.03906" </w:instrText>
      </w:r>
      <w:r>
        <w:fldChar w:fldCharType="separate"/>
      </w:r>
      <w:r>
        <w:rPr>
          <w:rStyle w:val="18"/>
        </w:rPr>
        <w:t>https://arxiv.org/abs/2509.03906</w:t>
      </w:r>
      <w:r>
        <w:fldChar w:fldCharType="end"/>
      </w:r>
      <w:r>
        <w:t xml:space="preserve"> (Accessed: 16 June 2026).</w:t>
      </w:r>
    </w:p>
    <w:p w14:paraId="3BA8B0E7">
      <w:pPr>
        <w:spacing w:after="120"/>
        <w:ind w:left="360" w:hanging="360"/>
      </w:pPr>
      <w:r>
        <w:t xml:space="preserve">Liu, S., McCoy, A.B. and Wright, A. (2025) 'Improving large language model applications in biomedicine with retrieval-augmented generation: A systematic review, meta-analysis, and clinical development guidelines', Journal of the American Medical Informatics Association, 32(4), pp. 605-615. Available at: </w:t>
      </w:r>
      <w:r>
        <w:fldChar w:fldCharType="begin"/>
      </w:r>
      <w:r>
        <w:instrText xml:space="preserve"> HYPERLINK "https://doi.org/10.1093/jamia/ocaf008" </w:instrText>
      </w:r>
      <w:r>
        <w:fldChar w:fldCharType="separate"/>
      </w:r>
      <w:r>
        <w:rPr>
          <w:rStyle w:val="18"/>
        </w:rPr>
        <w:t>https://doi.org/10.1093/jamia/ocaf008</w:t>
      </w:r>
      <w:r>
        <w:fldChar w:fldCharType="end"/>
      </w:r>
      <w:r>
        <w:t xml:space="preserve"> (Accessed: 7 June 2026).</w:t>
      </w:r>
    </w:p>
    <w:p w14:paraId="7F487403">
      <w:pPr>
        <w:spacing w:after="120"/>
        <w:ind w:left="360" w:hanging="360"/>
      </w:pPr>
      <w:r>
        <w:t xml:space="preserve">Lou, J., Yang, Y., Yu, Z., Fu, Z., Han, W., Huang, Q. and Yu, J. (2025) 'CXRAgent: Director-orchestrated multi-stage reasoning for chest X-ray interpretation', arXiv:2510.21324. Available at: </w:t>
      </w:r>
      <w:r>
        <w:fldChar w:fldCharType="begin"/>
      </w:r>
      <w:r>
        <w:instrText xml:space="preserve"> HYPERLINK "https://arxiv.org/abs/2510.21324" </w:instrText>
      </w:r>
      <w:r>
        <w:fldChar w:fldCharType="separate"/>
      </w:r>
      <w:r>
        <w:rPr>
          <w:rStyle w:val="18"/>
        </w:rPr>
        <w:t>https://arxiv.org/abs/2510.21324</w:t>
      </w:r>
      <w:r>
        <w:fldChar w:fldCharType="end"/>
      </w:r>
      <w:r>
        <w:t xml:space="preserve"> (Accessed: 26 May 2026).</w:t>
      </w:r>
    </w:p>
    <w:p w14:paraId="3CA2780F">
      <w:pPr>
        <w:spacing w:after="120"/>
        <w:ind w:left="360" w:hanging="360"/>
      </w:pPr>
      <w:r>
        <w:t xml:space="preserve">Mugambiwa, T. and Ndlovu, B. (2026) 'Multi-agent retrieval augmented generation for clinical decision support: A systematic review and integrative conceptual framework', Journal of Applied Informatics and Computing, 10(1), pp. 171-183. Available at: </w:t>
      </w:r>
      <w:r>
        <w:rPr>
          <w:rFonts w:hint="default"/>
        </w:rPr>
        <w:fldChar w:fldCharType="begin"/>
      </w:r>
      <w:r>
        <w:rPr>
          <w:rFonts w:hint="default"/>
        </w:rPr>
        <w:instrText xml:space="preserve"> HYPERLINK "https://www.semanticscholar.org/paper/Multi-Agent-Retrieval-Augmented-Generation-for-A-Mugambiwa-Ndlovu/eeab620e9d8c8d0c4215b2d39bcced9fc4d9440c" </w:instrText>
      </w:r>
      <w:r>
        <w:rPr>
          <w:rFonts w:hint="default"/>
        </w:rPr>
        <w:fldChar w:fldCharType="separate"/>
      </w:r>
      <w:r>
        <w:rPr>
          <w:rStyle w:val="18"/>
          <w:rFonts w:hint="default"/>
        </w:rPr>
        <w:t>https://www.semanticscholar.org/paper/Multi-Agent-Retrieval-Augmented-Generation-for-A-Mugambiwa-Ndlovu/eeab620e9d8c8d0c4215b2d39bcced9fc4d9440c</w:t>
      </w:r>
      <w:r>
        <w:rPr>
          <w:rFonts w:hint="default"/>
        </w:rPr>
        <w:fldChar w:fldCharType="end"/>
      </w:r>
      <w:r>
        <w:t xml:space="preserve"> (Accessed: 11 June 2026).</w:t>
      </w:r>
    </w:p>
    <w:p w14:paraId="69AAEDB0">
      <w:pPr>
        <w:spacing w:after="120"/>
        <w:ind w:left="360" w:hanging="360"/>
      </w:pPr>
      <w:r>
        <w:t xml:space="preserve">National Institute of Standards and Technology (2023) Artificial Intelligence Risk Management Framework (AI RMF 1.0). Available at: </w:t>
      </w:r>
      <w:r>
        <w:fldChar w:fldCharType="begin"/>
      </w:r>
      <w:r>
        <w:instrText xml:space="preserve"> HYPERLINK "https://doi.org/10.6028/NIST.AI.100-1" </w:instrText>
      </w:r>
      <w:r>
        <w:fldChar w:fldCharType="separate"/>
      </w:r>
      <w:r>
        <w:rPr>
          <w:rStyle w:val="18"/>
        </w:rPr>
        <w:t>https://doi.org/10.6028/NIST.AI.100-1</w:t>
      </w:r>
      <w:r>
        <w:fldChar w:fldCharType="end"/>
      </w:r>
      <w:r>
        <w:t xml:space="preserve"> (Accessed: 3 June 2026).</w:t>
      </w:r>
    </w:p>
    <w:p w14:paraId="66319034">
      <w:pPr>
        <w:spacing w:after="120"/>
        <w:ind w:left="360" w:hanging="360"/>
      </w:pPr>
      <w:r>
        <w:t xml:space="preserve">OWASP Foundation (2021) OWASP Top 10: The ten most critical web application security risks. Available at: </w:t>
      </w:r>
      <w:r>
        <w:fldChar w:fldCharType="begin"/>
      </w:r>
      <w:r>
        <w:instrText xml:space="preserve"> HYPERLINK "https://owasp.org/Top10/2021/" </w:instrText>
      </w:r>
      <w:r>
        <w:fldChar w:fldCharType="separate"/>
      </w:r>
      <w:r>
        <w:rPr>
          <w:rStyle w:val="18"/>
        </w:rPr>
        <w:t>https://owasp.org/Top10/2021/</w:t>
      </w:r>
      <w:r>
        <w:fldChar w:fldCharType="end"/>
      </w:r>
      <w:r>
        <w:t xml:space="preserve"> (Accessed: 19 June 2026).</w:t>
      </w:r>
    </w:p>
    <w:p w14:paraId="43A17F19">
      <w:pPr>
        <w:spacing w:after="120"/>
        <w:ind w:left="360" w:hanging="360"/>
      </w:pPr>
      <w:r>
        <w:t xml:space="preserve">OWASP Foundation (2025) OWASP Top 10 for Large Language Model Applications. Available at: </w:t>
      </w:r>
      <w:r>
        <w:fldChar w:fldCharType="begin"/>
      </w:r>
      <w:r>
        <w:instrText xml:space="preserve"> HYPERLINK "https://owasp.org/www-project-top-10-for-large-language-model-applications/" </w:instrText>
      </w:r>
      <w:r>
        <w:fldChar w:fldCharType="separate"/>
      </w:r>
      <w:r>
        <w:rPr>
          <w:rStyle w:val="18"/>
        </w:rPr>
        <w:t>https://owasp.org/www-project-top-10-for-large-language-model-applications/</w:t>
      </w:r>
      <w:r>
        <w:fldChar w:fldCharType="end"/>
      </w:r>
      <w:r>
        <w:t xml:space="preserve"> (Accessed: 28 May 2026).</w:t>
      </w:r>
    </w:p>
    <w:p w14:paraId="4155A1E0">
      <w:pPr>
        <w:spacing w:after="120"/>
        <w:ind w:left="360" w:hanging="360"/>
      </w:pPr>
      <w:r>
        <w:t xml:space="preserve">Pal, A. et al. (2025) 'ReXVQA: A large-scale visual question answering benchmark for generalist chest X-ray understanding', arXiv:2506.04353. Available at: </w:t>
      </w:r>
      <w:r>
        <w:fldChar w:fldCharType="begin"/>
      </w:r>
      <w:r>
        <w:instrText xml:space="preserve"> HYPERLINK "https://arxiv.org/abs/2506.04353" </w:instrText>
      </w:r>
      <w:r>
        <w:fldChar w:fldCharType="separate"/>
      </w:r>
      <w:r>
        <w:rPr>
          <w:rStyle w:val="18"/>
        </w:rPr>
        <w:t>https://arxiv.org/abs/2506.04353</w:t>
      </w:r>
      <w:r>
        <w:fldChar w:fldCharType="end"/>
      </w:r>
      <w:r>
        <w:t xml:space="preserve"> (Accessed: 14 June 2026).</w:t>
      </w:r>
    </w:p>
    <w:p w14:paraId="25191339">
      <w:pPr>
        <w:spacing w:after="120"/>
        <w:ind w:left="360" w:hanging="360"/>
      </w:pPr>
      <w:r>
        <w:t xml:space="preserve">Pambudi, S. and Menolascina, F. (2025) 'Bridging clinical narratives and ACR Appropriateness Guidelines: A multi-agent RAG system for medical imaging decisions', arXiv:2510.04969. Available at: </w:t>
      </w:r>
      <w:r>
        <w:fldChar w:fldCharType="begin"/>
      </w:r>
      <w:r>
        <w:instrText xml:space="preserve"> HYPERLINK "https://arxiv.org/abs/2510.04969" </w:instrText>
      </w:r>
      <w:r>
        <w:fldChar w:fldCharType="separate"/>
      </w:r>
      <w:r>
        <w:rPr>
          <w:rStyle w:val="18"/>
        </w:rPr>
        <w:t>https://arxiv.org/abs/2510.04969</w:t>
      </w:r>
      <w:r>
        <w:fldChar w:fldCharType="end"/>
      </w:r>
      <w:r>
        <w:t xml:space="preserve"> (Accessed: 1 June 2026).</w:t>
      </w:r>
    </w:p>
    <w:p w14:paraId="312A0933">
      <w:pPr>
        <w:spacing w:after="120"/>
        <w:ind w:left="360" w:hanging="360"/>
      </w:pPr>
      <w:r>
        <w:t xml:space="preserve">Papageorgiou, P.S. et al. (2025) 'The role of large language models in improving diagnostic-related groups assignment and clinical decision support in healthcare systems: An example from radiology and nuclear medicine', Applied Sciences, 15(16), 9005. Available at: </w:t>
      </w:r>
      <w:r>
        <w:fldChar w:fldCharType="begin"/>
      </w:r>
      <w:r>
        <w:instrText xml:space="preserve"> HYPERLINK "https://doi.org/10.3390/app15169005" </w:instrText>
      </w:r>
      <w:r>
        <w:fldChar w:fldCharType="separate"/>
      </w:r>
      <w:r>
        <w:rPr>
          <w:rStyle w:val="18"/>
        </w:rPr>
        <w:t>https://doi.org/10.3390/app15169005</w:t>
      </w:r>
      <w:r>
        <w:fldChar w:fldCharType="end"/>
      </w:r>
      <w:r>
        <w:t xml:space="preserve"> (Accessed: 10 June 2026).</w:t>
      </w:r>
    </w:p>
    <w:p w14:paraId="7C791B25">
      <w:pPr>
        <w:spacing w:after="120"/>
        <w:ind w:left="360" w:hanging="360"/>
      </w:pPr>
      <w:r>
        <w:t xml:space="preserve">Parliament of Sri Lanka (2022) Personal Data Protection Act, No. 9 of 2022. Available at: </w:t>
      </w:r>
      <w:r>
        <w:fldChar w:fldCharType="begin"/>
      </w:r>
      <w:r>
        <w:instrText xml:space="preserve"> HYPERLINK "https://parliament.lk/uploads/acts/gbills/english/6242.pdf" </w:instrText>
      </w:r>
      <w:r>
        <w:fldChar w:fldCharType="separate"/>
      </w:r>
      <w:r>
        <w:rPr>
          <w:rStyle w:val="18"/>
        </w:rPr>
        <w:t>https://parliament.lk/uploads/acts/gbills/english/6242.pdf</w:t>
      </w:r>
      <w:r>
        <w:fldChar w:fldCharType="end"/>
      </w:r>
      <w:r>
        <w:t xml:space="preserve"> (Accessed: 6 June 2026).</w:t>
      </w:r>
    </w:p>
    <w:p w14:paraId="32162399">
      <w:pPr>
        <w:spacing w:after="120"/>
        <w:ind w:left="360" w:hanging="360"/>
      </w:pPr>
      <w:r>
        <w:t xml:space="preserve">Sellergren, A. et al. (2025) 'MedGemma Technical Report', arXiv:2507.05201. Available at: </w:t>
      </w:r>
      <w:r>
        <w:fldChar w:fldCharType="begin"/>
      </w:r>
      <w:r>
        <w:instrText xml:space="preserve"> HYPERLINK "https://arxiv.org/abs/2507.05201" </w:instrText>
      </w:r>
      <w:r>
        <w:fldChar w:fldCharType="separate"/>
      </w:r>
      <w:r>
        <w:rPr>
          <w:rStyle w:val="18"/>
        </w:rPr>
        <w:t>https://arxiv.org/abs/2507.05201</w:t>
      </w:r>
      <w:r>
        <w:fldChar w:fldCharType="end"/>
      </w:r>
      <w:r>
        <w:t xml:space="preserve"> (Accessed: 17 June 2026).</w:t>
      </w:r>
    </w:p>
    <w:p w14:paraId="68C60552">
      <w:pPr>
        <w:spacing w:after="120"/>
        <w:ind w:left="360" w:hanging="360"/>
      </w:pPr>
      <w:r>
        <w:t xml:space="preserve">Wang, X. et al. (2017) 'ChestX-ray8: Hospital-scale chest X-ray database and benchmarks on weakly-supervised classification and localization of common thorax diseases', Proceedings of the IEEE Conference on Computer Vision and Pattern Recognition (CVPR), pp. 2097-2106. Available at: </w:t>
      </w:r>
      <w:r>
        <w:fldChar w:fldCharType="begin"/>
      </w:r>
      <w:r>
        <w:instrText xml:space="preserve"> HYPERLINK "https://doi.org/10.1109/CVPR.2017.369" </w:instrText>
      </w:r>
      <w:r>
        <w:fldChar w:fldCharType="separate"/>
      </w:r>
      <w:r>
        <w:rPr>
          <w:rStyle w:val="18"/>
        </w:rPr>
        <w:t>https://doi.org/10.1109/CVPR.2017.369</w:t>
      </w:r>
      <w:r>
        <w:fldChar w:fldCharType="end"/>
      </w:r>
      <w:r>
        <w:t xml:space="preserve"> (Accessed: 30 May 2026).</w:t>
      </w:r>
    </w:p>
    <w:p w14:paraId="354F34A3">
      <w:pPr>
        <w:spacing w:after="120"/>
        <w:ind w:left="360" w:hanging="360"/>
      </w:pPr>
      <w:r>
        <w:t xml:space="preserve">World Health Organization (2021) Ethics and governance of artificial intelligence for health: WHO guidance. Geneva: World Health Organization. Available at: </w:t>
      </w:r>
      <w:r>
        <w:fldChar w:fldCharType="begin"/>
      </w:r>
      <w:r>
        <w:instrText xml:space="preserve"> HYPERLINK "https://www.who.int/publications/i/item/9789240029200" </w:instrText>
      </w:r>
      <w:r>
        <w:fldChar w:fldCharType="separate"/>
      </w:r>
      <w:r>
        <w:rPr>
          <w:rStyle w:val="18"/>
        </w:rPr>
        <w:t>https://www.who.int/publications/i/item/9789240029200</w:t>
      </w:r>
      <w:r>
        <w:fldChar w:fldCharType="end"/>
      </w:r>
      <w:r>
        <w:t xml:space="preserve"> (Accessed: 15 June 2026).</w:t>
      </w:r>
    </w:p>
    <w:p w14:paraId="68F229ED">
      <w:pPr>
        <w:spacing w:after="120"/>
        <w:ind w:left="360" w:hanging="360"/>
      </w:pPr>
      <w:r>
        <w:t xml:space="preserve">Zambrano Chaves, J.M. et al. (2025) 'A clinically accessible small multimodal radiology model and evaluation metric for chest X-ray findings', Nature Communications, 16, 3108. Available at: </w:t>
      </w:r>
      <w:r>
        <w:fldChar w:fldCharType="begin"/>
      </w:r>
      <w:r>
        <w:instrText xml:space="preserve"> HYPERLINK "https://doi.org/10.1038/s41467-025-58344-x" </w:instrText>
      </w:r>
      <w:r>
        <w:fldChar w:fldCharType="separate"/>
      </w:r>
      <w:r>
        <w:rPr>
          <w:rStyle w:val="18"/>
        </w:rPr>
        <w:t>https://doi.org/10.1038/s41467-025-58344-x</w:t>
      </w:r>
      <w:r>
        <w:fldChar w:fldCharType="end"/>
      </w:r>
      <w:r>
        <w:t xml:space="preserve"> (Accessed: 4 June 2026).</w:t>
      </w:r>
    </w:p>
    <w:p w14:paraId="70545C56">
      <w:pPr>
        <w:pStyle w:val="3"/>
      </w:pPr>
      <w:r>
        <w:rPr>
          <w:rFonts w:ascii="Times New Roman" w:hAnsi="Times New Roman" w:eastAsia="Times New Roman"/>
          <w:b/>
          <w:i w:val="0"/>
          <w:sz w:val="28"/>
        </w:rPr>
        <w:t>Appendix I – Existing Literature Overview Table</w:t>
      </w:r>
    </w:p>
    <w:p w14:paraId="7F6BB78C">
      <w:pPr>
        <w:spacing w:after="200"/>
        <w:jc w:val="center"/>
      </w:pPr>
      <w:r>
        <w:rPr>
          <w:rFonts w:ascii="Times New Roman" w:hAnsi="Times New Roman" w:eastAsia="Times New Roman"/>
          <w:b/>
          <w:i w:val="0"/>
          <w:sz w:val="20"/>
        </w:rPr>
        <w:t>Table A.1: Existing literature overview</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304"/>
        <w:gridCol w:w="2160"/>
        <w:gridCol w:w="2304"/>
      </w:tblGrid>
      <w:tr w14:paraId="49E4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2F3"/>
          </w:tcPr>
          <w:p w14:paraId="0EB7DE23">
            <w:pPr>
              <w:spacing w:line="240" w:lineRule="auto"/>
            </w:pPr>
            <w:r>
              <w:rPr>
                <w:rFonts w:ascii="Times New Roman" w:hAnsi="Times New Roman" w:eastAsia="Times New Roman"/>
                <w:b/>
                <w:i w:val="0"/>
                <w:sz w:val="22"/>
              </w:rPr>
              <w:t>System / Study</w:t>
            </w:r>
          </w:p>
        </w:tc>
        <w:tc>
          <w:tcPr>
            <w:tcW w:w="2304" w:type="dxa"/>
            <w:shd w:val="clear" w:color="auto" w:fill="D9E2F3"/>
          </w:tcPr>
          <w:p w14:paraId="7625136F">
            <w:pPr>
              <w:spacing w:line="240" w:lineRule="auto"/>
            </w:pPr>
            <w:r>
              <w:rPr>
                <w:rFonts w:ascii="Times New Roman" w:hAnsi="Times New Roman" w:eastAsia="Times New Roman"/>
                <w:b/>
                <w:i w:val="0"/>
                <w:sz w:val="22"/>
              </w:rPr>
              <w:t>Approach Used</w:t>
            </w:r>
          </w:p>
        </w:tc>
        <w:tc>
          <w:tcPr>
            <w:tcW w:w="2160" w:type="dxa"/>
            <w:shd w:val="clear" w:color="auto" w:fill="D9E2F3"/>
          </w:tcPr>
          <w:p w14:paraId="2427A4A8">
            <w:pPr>
              <w:spacing w:line="240" w:lineRule="auto"/>
            </w:pPr>
            <w:r>
              <w:rPr>
                <w:rFonts w:ascii="Times New Roman" w:hAnsi="Times New Roman" w:eastAsia="Times New Roman"/>
                <w:b/>
                <w:i w:val="0"/>
                <w:sz w:val="22"/>
              </w:rPr>
              <w:t>Strengths</w:t>
            </w:r>
          </w:p>
        </w:tc>
        <w:tc>
          <w:tcPr>
            <w:tcW w:w="2304" w:type="dxa"/>
            <w:shd w:val="clear" w:color="auto" w:fill="D9E2F3"/>
          </w:tcPr>
          <w:p w14:paraId="31413DE9">
            <w:pPr>
              <w:spacing w:line="240" w:lineRule="auto"/>
            </w:pPr>
            <w:r>
              <w:rPr>
                <w:rFonts w:ascii="Times New Roman" w:hAnsi="Times New Roman" w:eastAsia="Times New Roman"/>
                <w:b/>
                <w:i w:val="0"/>
                <w:sz w:val="22"/>
              </w:rPr>
              <w:t>Limitations</w:t>
            </w:r>
          </w:p>
        </w:tc>
      </w:tr>
      <w:tr w14:paraId="555A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37C41D0">
            <w:pPr>
              <w:spacing w:after="40" w:line="240" w:lineRule="auto"/>
            </w:pPr>
            <w:r>
              <w:rPr>
                <w:rFonts w:ascii="Times New Roman" w:hAnsi="Times New Roman" w:eastAsia="Times New Roman"/>
                <w:b w:val="0"/>
                <w:i w:val="0"/>
                <w:sz w:val="22"/>
              </w:rPr>
              <w:t>CXR-LLaVA (Lee et al., 2025)</w:t>
            </w:r>
          </w:p>
        </w:tc>
        <w:tc>
          <w:tcPr>
            <w:tcW w:w="2304" w:type="dxa"/>
          </w:tcPr>
          <w:p w14:paraId="49CF7592">
            <w:pPr>
              <w:spacing w:after="40" w:line="240" w:lineRule="auto"/>
            </w:pPr>
            <w:r>
              <w:rPr>
                <w:rFonts w:ascii="Times New Roman" w:hAnsi="Times New Roman" w:eastAsia="Times New Roman"/>
                <w:b w:val="0"/>
                <w:i w:val="0"/>
                <w:sz w:val="22"/>
              </w:rPr>
              <w:t>Multimodal LLM for CXR interpretation</w:t>
            </w:r>
          </w:p>
        </w:tc>
        <w:tc>
          <w:tcPr>
            <w:tcW w:w="2160" w:type="dxa"/>
          </w:tcPr>
          <w:p w14:paraId="514C19AA">
            <w:pPr>
              <w:spacing w:after="40" w:line="240" w:lineRule="auto"/>
            </w:pPr>
            <w:r>
              <w:rPr>
                <w:rFonts w:ascii="Times New Roman" w:hAnsi="Times New Roman" w:eastAsia="Times New Roman"/>
                <w:b w:val="0"/>
                <w:i w:val="0"/>
                <w:sz w:val="22"/>
              </w:rPr>
              <w:t>Strong CXR image-to-text; report generation</w:t>
            </w:r>
          </w:p>
        </w:tc>
        <w:tc>
          <w:tcPr>
            <w:tcW w:w="2304" w:type="dxa"/>
          </w:tcPr>
          <w:p w14:paraId="396B148B">
            <w:pPr>
              <w:spacing w:after="40" w:line="240" w:lineRule="auto"/>
            </w:pPr>
            <w:r>
              <w:rPr>
                <w:rFonts w:ascii="Times New Roman" w:hAnsi="Times New Roman" w:eastAsia="Times New Roman"/>
                <w:b w:val="0"/>
                <w:i w:val="0"/>
                <w:sz w:val="22"/>
              </w:rPr>
              <w:t>Clinical focus; no RAG grounding; not student-facing</w:t>
            </w:r>
          </w:p>
        </w:tc>
      </w:tr>
      <w:tr w14:paraId="25753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5AAB1F3">
            <w:pPr>
              <w:spacing w:after="40" w:line="240" w:lineRule="auto"/>
            </w:pPr>
            <w:r>
              <w:rPr>
                <w:rFonts w:ascii="Times New Roman" w:hAnsi="Times New Roman" w:eastAsia="Times New Roman"/>
                <w:b w:val="0"/>
                <w:i w:val="0"/>
                <w:sz w:val="22"/>
              </w:rPr>
              <w:t>CheXagent (Chen et al., 2024)</w:t>
            </w:r>
          </w:p>
        </w:tc>
        <w:tc>
          <w:tcPr>
            <w:tcW w:w="2304" w:type="dxa"/>
          </w:tcPr>
          <w:p w14:paraId="59F6B5D2">
            <w:pPr>
              <w:spacing w:after="40" w:line="240" w:lineRule="auto"/>
            </w:pPr>
            <w:r>
              <w:rPr>
                <w:rFonts w:ascii="Times New Roman" w:hAnsi="Times New Roman" w:eastAsia="Times New Roman"/>
                <w:b w:val="0"/>
                <w:i w:val="0"/>
                <w:sz w:val="22"/>
              </w:rPr>
              <w:t>Foundation model for CXR</w:t>
            </w:r>
          </w:p>
        </w:tc>
        <w:tc>
          <w:tcPr>
            <w:tcW w:w="2160" w:type="dxa"/>
          </w:tcPr>
          <w:p w14:paraId="5560534A">
            <w:pPr>
              <w:spacing w:after="40" w:line="240" w:lineRule="auto"/>
            </w:pPr>
            <w:r>
              <w:rPr>
                <w:rFonts w:ascii="Times New Roman" w:hAnsi="Times New Roman" w:eastAsia="Times New Roman"/>
                <w:b w:val="0"/>
                <w:i w:val="0"/>
                <w:sz w:val="22"/>
              </w:rPr>
              <w:t>Broad CXR capability; benchmarked</w:t>
            </w:r>
          </w:p>
        </w:tc>
        <w:tc>
          <w:tcPr>
            <w:tcW w:w="2304" w:type="dxa"/>
          </w:tcPr>
          <w:p w14:paraId="1441109C">
            <w:pPr>
              <w:spacing w:after="40" w:line="240" w:lineRule="auto"/>
            </w:pPr>
            <w:r>
              <w:rPr>
                <w:rFonts w:ascii="Times New Roman" w:hAnsi="Times New Roman" w:eastAsia="Times New Roman"/>
                <w:b w:val="0"/>
                <w:i w:val="0"/>
                <w:sz w:val="22"/>
              </w:rPr>
              <w:t>Diagnostic orientation; limited educational feedback</w:t>
            </w:r>
          </w:p>
        </w:tc>
      </w:tr>
      <w:tr w14:paraId="7714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A6274B0">
            <w:pPr>
              <w:spacing w:after="40" w:line="240" w:lineRule="auto"/>
            </w:pPr>
            <w:r>
              <w:rPr>
                <w:rFonts w:ascii="Times New Roman" w:hAnsi="Times New Roman" w:eastAsia="Times New Roman"/>
                <w:b w:val="0"/>
                <w:i w:val="0"/>
                <w:sz w:val="22"/>
              </w:rPr>
              <w:t>CXRAgent (Lou et al., 2025)</w:t>
            </w:r>
          </w:p>
        </w:tc>
        <w:tc>
          <w:tcPr>
            <w:tcW w:w="2304" w:type="dxa"/>
          </w:tcPr>
          <w:p w14:paraId="3840F916">
            <w:pPr>
              <w:spacing w:after="40" w:line="240" w:lineRule="auto"/>
            </w:pPr>
            <w:r>
              <w:rPr>
                <w:rFonts w:ascii="Times New Roman" w:hAnsi="Times New Roman" w:eastAsia="Times New Roman"/>
                <w:b w:val="0"/>
                <w:i w:val="0"/>
                <w:sz w:val="22"/>
              </w:rPr>
              <w:t>Multi-stage orchestrated reasoning</w:t>
            </w:r>
          </w:p>
        </w:tc>
        <w:tc>
          <w:tcPr>
            <w:tcW w:w="2160" w:type="dxa"/>
          </w:tcPr>
          <w:p w14:paraId="6771A7A5">
            <w:pPr>
              <w:spacing w:after="40" w:line="240" w:lineRule="auto"/>
            </w:pPr>
            <w:r>
              <w:rPr>
                <w:rFonts w:ascii="Times New Roman" w:hAnsi="Times New Roman" w:eastAsia="Times New Roman"/>
                <w:b w:val="0"/>
                <w:i w:val="0"/>
                <w:sz w:val="22"/>
              </w:rPr>
              <w:t>Structured reasoning; agentic pipeline</w:t>
            </w:r>
          </w:p>
        </w:tc>
        <w:tc>
          <w:tcPr>
            <w:tcW w:w="2304" w:type="dxa"/>
          </w:tcPr>
          <w:p w14:paraId="73F39BDF">
            <w:pPr>
              <w:spacing w:after="40" w:line="240" w:lineRule="auto"/>
            </w:pPr>
            <w:r>
              <w:rPr>
                <w:rFonts w:ascii="Times New Roman" w:hAnsi="Times New Roman" w:eastAsia="Times New Roman"/>
                <w:b w:val="0"/>
                <w:i w:val="0"/>
                <w:sz w:val="22"/>
              </w:rPr>
              <w:t>Complexity; clinical rather than learning focus</w:t>
            </w:r>
          </w:p>
        </w:tc>
      </w:tr>
      <w:tr w14:paraId="5B028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F167207">
            <w:pPr>
              <w:spacing w:after="40" w:line="240" w:lineRule="auto"/>
            </w:pPr>
            <w:r>
              <w:rPr>
                <w:rFonts w:ascii="Times New Roman" w:hAnsi="Times New Roman" w:eastAsia="Times New Roman"/>
                <w:b w:val="0"/>
                <w:i w:val="0"/>
                <w:sz w:val="22"/>
              </w:rPr>
              <w:t>MedRAX</w:t>
            </w:r>
          </w:p>
        </w:tc>
        <w:tc>
          <w:tcPr>
            <w:tcW w:w="2304" w:type="dxa"/>
          </w:tcPr>
          <w:p w14:paraId="5D6F4BE7">
            <w:pPr>
              <w:spacing w:after="40" w:line="240" w:lineRule="auto"/>
            </w:pPr>
            <w:r>
              <w:rPr>
                <w:rFonts w:ascii="Times New Roman" w:hAnsi="Times New Roman" w:eastAsia="Times New Roman"/>
                <w:b w:val="0"/>
                <w:i w:val="0"/>
                <w:sz w:val="22"/>
              </w:rPr>
              <w:t>Agentic CXR analysis with tools</w:t>
            </w:r>
          </w:p>
        </w:tc>
        <w:tc>
          <w:tcPr>
            <w:tcW w:w="2160" w:type="dxa"/>
          </w:tcPr>
          <w:p w14:paraId="0A8918D3">
            <w:pPr>
              <w:spacing w:after="40" w:line="240" w:lineRule="auto"/>
            </w:pPr>
            <w:r>
              <w:rPr>
                <w:rFonts w:ascii="Times New Roman" w:hAnsi="Times New Roman" w:eastAsia="Times New Roman"/>
                <w:b w:val="0"/>
                <w:i w:val="0"/>
                <w:sz w:val="22"/>
              </w:rPr>
              <w:t>Tool use; retrieval-augmented reasoning</w:t>
            </w:r>
          </w:p>
        </w:tc>
        <w:tc>
          <w:tcPr>
            <w:tcW w:w="2304" w:type="dxa"/>
          </w:tcPr>
          <w:p w14:paraId="56D1F89E">
            <w:pPr>
              <w:spacing w:after="40" w:line="240" w:lineRule="auto"/>
            </w:pPr>
            <w:r>
              <w:rPr>
                <w:rFonts w:ascii="Times New Roman" w:hAnsi="Times New Roman" w:eastAsia="Times New Roman"/>
                <w:b w:val="0"/>
                <w:i w:val="0"/>
                <w:sz w:val="22"/>
              </w:rPr>
              <w:t>Clinical-decision focus; not learning-oriented</w:t>
            </w:r>
          </w:p>
        </w:tc>
      </w:tr>
      <w:tr w14:paraId="2ADA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E94E336">
            <w:pPr>
              <w:spacing w:after="40" w:line="240" w:lineRule="auto"/>
            </w:pPr>
            <w:r>
              <w:rPr>
                <w:rFonts w:ascii="Times New Roman" w:hAnsi="Times New Roman" w:eastAsia="Times New Roman"/>
                <w:b w:val="0"/>
                <w:i w:val="0"/>
                <w:sz w:val="22"/>
              </w:rPr>
              <w:t>MedGemma (Sellergren et al., 2025)</w:t>
            </w:r>
          </w:p>
        </w:tc>
        <w:tc>
          <w:tcPr>
            <w:tcW w:w="2304" w:type="dxa"/>
          </w:tcPr>
          <w:p w14:paraId="733BA815">
            <w:pPr>
              <w:spacing w:after="40" w:line="240" w:lineRule="auto"/>
            </w:pPr>
            <w:r>
              <w:rPr>
                <w:rFonts w:ascii="Times New Roman" w:hAnsi="Times New Roman" w:eastAsia="Times New Roman"/>
                <w:b w:val="0"/>
                <w:i w:val="0"/>
                <w:sz w:val="22"/>
              </w:rPr>
              <w:t>Medical vision-language model</w:t>
            </w:r>
          </w:p>
        </w:tc>
        <w:tc>
          <w:tcPr>
            <w:tcW w:w="2160" w:type="dxa"/>
          </w:tcPr>
          <w:p w14:paraId="5A6AB7C9">
            <w:pPr>
              <w:spacing w:after="40" w:line="240" w:lineRule="auto"/>
            </w:pPr>
            <w:r>
              <w:rPr>
                <w:rFonts w:ascii="Times New Roman" w:hAnsi="Times New Roman" w:eastAsia="Times New Roman"/>
                <w:b w:val="0"/>
                <w:i w:val="0"/>
                <w:sz w:val="22"/>
              </w:rPr>
              <w:t>Multimodal medical reasoning; adaptable</w:t>
            </w:r>
          </w:p>
        </w:tc>
        <w:tc>
          <w:tcPr>
            <w:tcW w:w="2304" w:type="dxa"/>
          </w:tcPr>
          <w:p w14:paraId="066BDE71">
            <w:pPr>
              <w:spacing w:after="40" w:line="240" w:lineRule="auto"/>
            </w:pPr>
            <w:r>
              <w:rPr>
                <w:rFonts w:ascii="Times New Roman" w:hAnsi="Times New Roman" w:eastAsia="Times New Roman"/>
                <w:b w:val="0"/>
                <w:i w:val="0"/>
                <w:sz w:val="22"/>
              </w:rPr>
              <w:t>Needs adaptation/validation; not educational by itself</w:t>
            </w:r>
          </w:p>
        </w:tc>
      </w:tr>
      <w:tr w14:paraId="74414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291A9CE">
            <w:pPr>
              <w:spacing w:after="40" w:line="240" w:lineRule="auto"/>
            </w:pPr>
            <w:r>
              <w:rPr>
                <w:rFonts w:ascii="Times New Roman" w:hAnsi="Times New Roman" w:eastAsia="Times New Roman"/>
                <w:b w:val="0"/>
                <w:i w:val="0"/>
                <w:sz w:val="22"/>
              </w:rPr>
              <w:t>LLaVA-Med (Li et al., 2023)</w:t>
            </w:r>
          </w:p>
        </w:tc>
        <w:tc>
          <w:tcPr>
            <w:tcW w:w="2304" w:type="dxa"/>
          </w:tcPr>
          <w:p w14:paraId="14606CF8">
            <w:pPr>
              <w:spacing w:after="40" w:line="240" w:lineRule="auto"/>
            </w:pPr>
            <w:r>
              <w:rPr>
                <w:rFonts w:ascii="Times New Roman" w:hAnsi="Times New Roman" w:eastAsia="Times New Roman"/>
                <w:b w:val="0"/>
                <w:i w:val="0"/>
                <w:sz w:val="22"/>
              </w:rPr>
              <w:t>Biomedical multimodal assistant</w:t>
            </w:r>
          </w:p>
        </w:tc>
        <w:tc>
          <w:tcPr>
            <w:tcW w:w="2160" w:type="dxa"/>
          </w:tcPr>
          <w:p w14:paraId="249A61BC">
            <w:pPr>
              <w:spacing w:after="40" w:line="240" w:lineRule="auto"/>
            </w:pPr>
            <w:r>
              <w:rPr>
                <w:rFonts w:ascii="Times New Roman" w:hAnsi="Times New Roman" w:eastAsia="Times New Roman"/>
                <w:b w:val="0"/>
                <w:i w:val="0"/>
                <w:sz w:val="22"/>
              </w:rPr>
              <w:t>Efficient biomedical adaptation</w:t>
            </w:r>
          </w:p>
        </w:tc>
        <w:tc>
          <w:tcPr>
            <w:tcW w:w="2304" w:type="dxa"/>
          </w:tcPr>
          <w:p w14:paraId="08F9B459">
            <w:pPr>
              <w:spacing w:after="40" w:line="240" w:lineRule="auto"/>
            </w:pPr>
            <w:r>
              <w:rPr>
                <w:rFonts w:ascii="Times New Roman" w:hAnsi="Times New Roman" w:eastAsia="Times New Roman"/>
                <w:b w:val="0"/>
                <w:i w:val="0"/>
                <w:sz w:val="22"/>
              </w:rPr>
              <w:t>General biomedical; not CXR-education specific</w:t>
            </w:r>
          </w:p>
        </w:tc>
      </w:tr>
      <w:tr w14:paraId="4F25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C3D7DB4">
            <w:pPr>
              <w:spacing w:after="40" w:line="240" w:lineRule="auto"/>
            </w:pPr>
            <w:r>
              <w:rPr>
                <w:rFonts w:ascii="Times New Roman" w:hAnsi="Times New Roman" w:eastAsia="Times New Roman"/>
                <w:b w:val="0"/>
                <w:i w:val="0"/>
                <w:sz w:val="22"/>
              </w:rPr>
              <w:t>ReXVQA (Pal et al., 2025)</w:t>
            </w:r>
          </w:p>
        </w:tc>
        <w:tc>
          <w:tcPr>
            <w:tcW w:w="2304" w:type="dxa"/>
          </w:tcPr>
          <w:p w14:paraId="6F23869E">
            <w:pPr>
              <w:spacing w:after="40" w:line="240" w:lineRule="auto"/>
            </w:pPr>
            <w:r>
              <w:rPr>
                <w:rFonts w:ascii="Times New Roman" w:hAnsi="Times New Roman" w:eastAsia="Times New Roman"/>
                <w:b w:val="0"/>
                <w:i w:val="0"/>
                <w:sz w:val="22"/>
              </w:rPr>
              <w:t>Large-scale CXR VQA benchmark</w:t>
            </w:r>
          </w:p>
        </w:tc>
        <w:tc>
          <w:tcPr>
            <w:tcW w:w="2160" w:type="dxa"/>
          </w:tcPr>
          <w:p w14:paraId="0FC70D9E">
            <w:pPr>
              <w:spacing w:after="40" w:line="240" w:lineRule="auto"/>
            </w:pPr>
            <w:r>
              <w:rPr>
                <w:rFonts w:ascii="Times New Roman" w:hAnsi="Times New Roman" w:eastAsia="Times New Roman"/>
                <w:b w:val="0"/>
                <w:i w:val="0"/>
                <w:sz w:val="22"/>
              </w:rPr>
              <w:t>Standardised evaluation of CXR QA</w:t>
            </w:r>
          </w:p>
        </w:tc>
        <w:tc>
          <w:tcPr>
            <w:tcW w:w="2304" w:type="dxa"/>
          </w:tcPr>
          <w:p w14:paraId="4E16C5A5">
            <w:pPr>
              <w:spacing w:after="40" w:line="240" w:lineRule="auto"/>
            </w:pPr>
            <w:r>
              <w:rPr>
                <w:rFonts w:ascii="Times New Roman" w:hAnsi="Times New Roman" w:eastAsia="Times New Roman"/>
                <w:b w:val="0"/>
                <w:i w:val="0"/>
                <w:sz w:val="22"/>
              </w:rPr>
              <w:t>Benchmark, not a training system; no feedback design</w:t>
            </w:r>
          </w:p>
        </w:tc>
      </w:tr>
      <w:tr w14:paraId="62E2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1CBBD795">
            <w:pPr>
              <w:spacing w:after="40" w:line="240" w:lineRule="auto"/>
            </w:pPr>
            <w:r>
              <w:rPr>
                <w:rFonts w:ascii="Times New Roman" w:hAnsi="Times New Roman" w:eastAsia="Times New Roman"/>
                <w:b w:val="0"/>
                <w:i w:val="0"/>
                <w:sz w:val="22"/>
              </w:rPr>
              <w:t>RAG reviews (Liu et al., 2025; Amugongo et al., 2025)</w:t>
            </w:r>
          </w:p>
        </w:tc>
        <w:tc>
          <w:tcPr>
            <w:tcW w:w="2304" w:type="dxa"/>
          </w:tcPr>
          <w:p w14:paraId="701E52A4">
            <w:pPr>
              <w:spacing w:after="40" w:line="240" w:lineRule="auto"/>
            </w:pPr>
            <w:r>
              <w:rPr>
                <w:rFonts w:ascii="Times New Roman" w:hAnsi="Times New Roman" w:eastAsia="Times New Roman"/>
                <w:b w:val="0"/>
                <w:i w:val="0"/>
                <w:sz w:val="22"/>
              </w:rPr>
              <w:t>RAG for biomedical LLMs</w:t>
            </w:r>
          </w:p>
        </w:tc>
        <w:tc>
          <w:tcPr>
            <w:tcW w:w="2160" w:type="dxa"/>
          </w:tcPr>
          <w:p w14:paraId="2C3B1467">
            <w:pPr>
              <w:spacing w:after="40" w:line="240" w:lineRule="auto"/>
            </w:pPr>
            <w:r>
              <w:rPr>
                <w:rFonts w:ascii="Times New Roman" w:hAnsi="Times New Roman" w:eastAsia="Times New Roman"/>
                <w:b w:val="0"/>
                <w:i w:val="0"/>
                <w:sz w:val="22"/>
              </w:rPr>
              <w:t>Improves grounding; reduces unsupported claims</w:t>
            </w:r>
          </w:p>
        </w:tc>
        <w:tc>
          <w:tcPr>
            <w:tcW w:w="2304" w:type="dxa"/>
          </w:tcPr>
          <w:p w14:paraId="2EF19EE3">
            <w:pPr>
              <w:spacing w:after="40" w:line="240" w:lineRule="auto"/>
            </w:pPr>
            <w:r>
              <w:rPr>
                <w:rFonts w:ascii="Times New Roman" w:hAnsi="Times New Roman" w:eastAsia="Times New Roman"/>
                <w:b w:val="0"/>
                <w:i w:val="0"/>
                <w:sz w:val="22"/>
              </w:rPr>
              <w:t>Retrieval quality varies; few CXR-education uses</w:t>
            </w:r>
          </w:p>
        </w:tc>
      </w:tr>
      <w:tr w14:paraId="33D6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EFDA5A0">
            <w:pPr>
              <w:spacing w:after="40" w:line="240" w:lineRule="auto"/>
            </w:pPr>
            <w:r>
              <w:rPr>
                <w:rFonts w:ascii="Times New Roman" w:hAnsi="Times New Roman" w:eastAsia="Times New Roman"/>
                <w:b w:val="0"/>
                <w:i w:val="0"/>
                <w:sz w:val="22"/>
              </w:rPr>
              <w:t>Fine-tuning + RAG (Collaco et al., 2026)</w:t>
            </w:r>
          </w:p>
        </w:tc>
        <w:tc>
          <w:tcPr>
            <w:tcW w:w="2304" w:type="dxa"/>
          </w:tcPr>
          <w:p w14:paraId="207B7A1B">
            <w:pPr>
              <w:spacing w:after="40" w:line="240" w:lineRule="auto"/>
            </w:pPr>
            <w:r>
              <w:rPr>
                <w:rFonts w:ascii="Times New Roman" w:hAnsi="Times New Roman" w:eastAsia="Times New Roman"/>
                <w:b w:val="0"/>
                <w:i w:val="0"/>
                <w:sz w:val="22"/>
              </w:rPr>
              <w:t>Integrating PEFT and RAG</w:t>
            </w:r>
          </w:p>
        </w:tc>
        <w:tc>
          <w:tcPr>
            <w:tcW w:w="2160" w:type="dxa"/>
          </w:tcPr>
          <w:p w14:paraId="46318590">
            <w:pPr>
              <w:spacing w:after="40" w:line="240" w:lineRule="auto"/>
            </w:pPr>
            <w:r>
              <w:rPr>
                <w:rFonts w:ascii="Times New Roman" w:hAnsi="Times New Roman" w:eastAsia="Times New Roman"/>
                <w:b w:val="0"/>
                <w:i w:val="0"/>
                <w:sz w:val="22"/>
              </w:rPr>
              <w:t>Combines adaptation and grounding</w:t>
            </w:r>
          </w:p>
        </w:tc>
        <w:tc>
          <w:tcPr>
            <w:tcW w:w="2304" w:type="dxa"/>
          </w:tcPr>
          <w:p w14:paraId="0AD39C1B">
            <w:pPr>
              <w:spacing w:after="40" w:line="240" w:lineRule="auto"/>
            </w:pPr>
            <w:r>
              <w:rPr>
                <w:rFonts w:ascii="Times New Roman" w:hAnsi="Times New Roman" w:eastAsia="Times New Roman"/>
                <w:b w:val="0"/>
                <w:i w:val="0"/>
                <w:sz w:val="22"/>
              </w:rPr>
              <w:t>Scoping-level; not applied to CXR student training</w:t>
            </w:r>
          </w:p>
        </w:tc>
      </w:tr>
    </w:tbl>
    <w:p w14:paraId="1AC6A583">
      <w:pPr>
        <w:spacing w:after="40"/>
      </w:pPr>
    </w:p>
    <w:p w14:paraId="25B8CC4E">
      <w:pPr>
        <w:pStyle w:val="3"/>
      </w:pPr>
      <w:r>
        <w:rPr>
          <w:rFonts w:ascii="Times New Roman" w:hAnsi="Times New Roman" w:eastAsia="Times New Roman"/>
          <w:b/>
          <w:i w:val="0"/>
          <w:sz w:val="28"/>
        </w:rPr>
        <w:t>Appendix II – Evaluation Rubric (Draft)</w:t>
      </w:r>
    </w:p>
    <w:p w14:paraId="19B6E25A">
      <w:pPr>
        <w:spacing w:after="120" w:line="360" w:lineRule="auto"/>
      </w:pPr>
      <w:r>
        <w:rPr>
          <w:rFonts w:ascii="Times New Roman" w:hAnsi="Times New Roman" w:eastAsia="Times New Roman"/>
          <w:b w:val="0"/>
          <w:i w:val="0"/>
          <w:sz w:val="22"/>
        </w:rPr>
        <w:t>A draft rubric for assessing educational feedback quality, to be refined during design: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192"/>
      </w:tblGrid>
      <w:tr w14:paraId="56AA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4835BFDA">
            <w:pPr>
              <w:spacing w:line="240" w:lineRule="auto"/>
            </w:pPr>
            <w:r>
              <w:rPr>
                <w:rFonts w:ascii="Times New Roman" w:hAnsi="Times New Roman" w:eastAsia="Times New Roman"/>
                <w:b/>
                <w:i w:val="0"/>
                <w:sz w:val="22"/>
              </w:rPr>
              <w:t>Criterion</w:t>
            </w:r>
          </w:p>
        </w:tc>
        <w:tc>
          <w:tcPr>
            <w:tcW w:w="6192" w:type="dxa"/>
            <w:shd w:val="clear" w:color="auto" w:fill="D9E2F3"/>
          </w:tcPr>
          <w:p w14:paraId="706932B6">
            <w:pPr>
              <w:spacing w:line="240" w:lineRule="auto"/>
            </w:pPr>
            <w:r>
              <w:rPr>
                <w:rFonts w:ascii="Times New Roman" w:hAnsi="Times New Roman" w:eastAsia="Times New Roman"/>
                <w:b/>
                <w:i w:val="0"/>
                <w:sz w:val="22"/>
              </w:rPr>
              <w:t>Description</w:t>
            </w:r>
          </w:p>
        </w:tc>
      </w:tr>
      <w:tr w14:paraId="335B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2E44D1">
            <w:pPr>
              <w:spacing w:after="40" w:line="240" w:lineRule="auto"/>
            </w:pPr>
            <w:r>
              <w:rPr>
                <w:rFonts w:ascii="Times New Roman" w:hAnsi="Times New Roman" w:eastAsia="Times New Roman"/>
                <w:b w:val="0"/>
                <w:i w:val="0"/>
                <w:sz w:val="22"/>
              </w:rPr>
              <w:t>Finding recognition</w:t>
            </w:r>
          </w:p>
        </w:tc>
        <w:tc>
          <w:tcPr>
            <w:tcW w:w="6192" w:type="dxa"/>
          </w:tcPr>
          <w:p w14:paraId="3436FBA0">
            <w:pPr>
              <w:spacing w:after="40" w:line="240" w:lineRule="auto"/>
            </w:pPr>
            <w:r>
              <w:rPr>
                <w:rFonts w:ascii="Times New Roman" w:hAnsi="Times New Roman" w:eastAsia="Times New Roman"/>
                <w:b w:val="0"/>
                <w:i w:val="0"/>
                <w:sz w:val="22"/>
              </w:rPr>
              <w:t>Correct identification of the selected finding versus dataset labels.</w:t>
            </w:r>
          </w:p>
        </w:tc>
      </w:tr>
      <w:tr w14:paraId="6C23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DE8B713">
            <w:pPr>
              <w:spacing w:after="40" w:line="240" w:lineRule="auto"/>
            </w:pPr>
            <w:r>
              <w:rPr>
                <w:rFonts w:ascii="Times New Roman" w:hAnsi="Times New Roman" w:eastAsia="Times New Roman"/>
                <w:b w:val="0"/>
                <w:i w:val="0"/>
                <w:sz w:val="22"/>
              </w:rPr>
              <w:t>Retrieval relevance</w:t>
            </w:r>
          </w:p>
        </w:tc>
        <w:tc>
          <w:tcPr>
            <w:tcW w:w="6192" w:type="dxa"/>
          </w:tcPr>
          <w:p w14:paraId="7ADDDC71">
            <w:pPr>
              <w:spacing w:after="40" w:line="240" w:lineRule="auto"/>
            </w:pPr>
            <w:r>
              <w:rPr>
                <w:rFonts w:ascii="Times New Roman" w:hAnsi="Times New Roman" w:eastAsia="Times New Roman"/>
                <w:b w:val="0"/>
                <w:i w:val="0"/>
                <w:sz w:val="22"/>
              </w:rPr>
              <w:t>Relevance of retrieved evidence to the finding and feedback.</w:t>
            </w:r>
          </w:p>
        </w:tc>
      </w:tr>
      <w:tr w14:paraId="7465C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B0E3D4C">
            <w:pPr>
              <w:spacing w:after="40" w:line="240" w:lineRule="auto"/>
            </w:pPr>
            <w:r>
              <w:rPr>
                <w:rFonts w:ascii="Times New Roman" w:hAnsi="Times New Roman" w:eastAsia="Times New Roman"/>
                <w:b w:val="0"/>
                <w:i w:val="0"/>
                <w:sz w:val="22"/>
              </w:rPr>
              <w:t>Evidence grounding</w:t>
            </w:r>
          </w:p>
        </w:tc>
        <w:tc>
          <w:tcPr>
            <w:tcW w:w="6192" w:type="dxa"/>
          </w:tcPr>
          <w:p w14:paraId="358B9384">
            <w:pPr>
              <w:spacing w:after="40" w:line="240" w:lineRule="auto"/>
            </w:pPr>
            <w:r>
              <w:rPr>
                <w:rFonts w:ascii="Times New Roman" w:hAnsi="Times New Roman" w:eastAsia="Times New Roman"/>
                <w:b w:val="0"/>
                <w:i w:val="0"/>
                <w:sz w:val="22"/>
              </w:rPr>
              <w:t>Extent to which explanations are supported by retrieved sources.</w:t>
            </w:r>
          </w:p>
        </w:tc>
      </w:tr>
      <w:tr w14:paraId="765E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DF79509">
            <w:pPr>
              <w:spacing w:after="40" w:line="240" w:lineRule="auto"/>
            </w:pPr>
            <w:r>
              <w:rPr>
                <w:rFonts w:ascii="Times New Roman" w:hAnsi="Times New Roman" w:eastAsia="Times New Roman"/>
                <w:b w:val="0"/>
                <w:i w:val="0"/>
                <w:sz w:val="22"/>
              </w:rPr>
              <w:t>Clarity</w:t>
            </w:r>
          </w:p>
        </w:tc>
        <w:tc>
          <w:tcPr>
            <w:tcW w:w="6192" w:type="dxa"/>
          </w:tcPr>
          <w:p w14:paraId="0884B70D">
            <w:pPr>
              <w:spacing w:after="40" w:line="240" w:lineRule="auto"/>
            </w:pPr>
            <w:r>
              <w:rPr>
                <w:rFonts w:ascii="Times New Roman" w:hAnsi="Times New Roman" w:eastAsia="Times New Roman"/>
                <w:b w:val="0"/>
                <w:i w:val="0"/>
                <w:sz w:val="22"/>
              </w:rPr>
              <w:t>Clarity of visual reasoning at the intended student level.</w:t>
            </w:r>
          </w:p>
        </w:tc>
      </w:tr>
      <w:tr w14:paraId="51A3D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7C5EB0F">
            <w:pPr>
              <w:spacing w:after="40" w:line="240" w:lineRule="auto"/>
            </w:pPr>
            <w:r>
              <w:rPr>
                <w:rFonts w:ascii="Times New Roman" w:hAnsi="Times New Roman" w:eastAsia="Times New Roman"/>
                <w:b w:val="0"/>
                <w:i w:val="0"/>
                <w:sz w:val="22"/>
              </w:rPr>
              <w:t>Usefulness for learning</w:t>
            </w:r>
          </w:p>
        </w:tc>
        <w:tc>
          <w:tcPr>
            <w:tcW w:w="6192" w:type="dxa"/>
          </w:tcPr>
          <w:p w14:paraId="2199B6D3">
            <w:pPr>
              <w:spacing w:after="40" w:line="240" w:lineRule="auto"/>
            </w:pPr>
            <w:r>
              <w:rPr>
                <w:rFonts w:ascii="Times New Roman" w:hAnsi="Times New Roman" w:eastAsia="Times New Roman"/>
                <w:b w:val="0"/>
                <w:i w:val="0"/>
                <w:sz w:val="22"/>
              </w:rPr>
              <w:t>Value of feedback for improving the student's reasoning.</w:t>
            </w:r>
          </w:p>
        </w:tc>
      </w:tr>
      <w:tr w14:paraId="09F8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118CB56">
            <w:pPr>
              <w:spacing w:after="40" w:line="240" w:lineRule="auto"/>
            </w:pPr>
            <w:r>
              <w:rPr>
                <w:rFonts w:ascii="Times New Roman" w:hAnsi="Times New Roman" w:eastAsia="Times New Roman"/>
                <w:b w:val="0"/>
                <w:i w:val="0"/>
                <w:sz w:val="22"/>
              </w:rPr>
              <w:t>Safety / trustworthiness</w:t>
            </w:r>
          </w:p>
        </w:tc>
        <w:tc>
          <w:tcPr>
            <w:tcW w:w="6192" w:type="dxa"/>
          </w:tcPr>
          <w:p w14:paraId="2D424C42">
            <w:pPr>
              <w:spacing w:after="40" w:line="240" w:lineRule="auto"/>
            </w:pPr>
            <w:r>
              <w:rPr>
                <w:rFonts w:ascii="Times New Roman" w:hAnsi="Times New Roman" w:eastAsia="Times New Roman"/>
                <w:b w:val="0"/>
                <w:i w:val="0"/>
                <w:sz w:val="22"/>
              </w:rPr>
              <w:t>Avoidance of unsupported or overconfident claims.</w:t>
            </w:r>
          </w:p>
        </w:tc>
      </w:tr>
    </w:tbl>
    <w:p w14:paraId="586A253C">
      <w:pPr>
        <w:spacing w:after="40"/>
      </w:pPr>
    </w:p>
    <w:sectPr>
      <w:footerReference r:id="rId6" w:type="default"/>
      <w:pgSz w:w="11909" w:h="16834"/>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521CE">
    <w:pPr>
      <w:pStyle w:val="19"/>
      <w:jc w:val="center"/>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w:instrText>
    </w:r>
    <w:r>
      <w:rPr>
        <w:rFonts w:ascii="Times New Roman" w:hAnsi="Times New Roman" w:eastAsia="Times New Roman"/>
        <w:b w:val="0"/>
        <w:i w:val="0"/>
        <w:sz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E0C7A">
    <w:pPr>
      <w:pStyle w:val="19"/>
      <w:jc w:val="center"/>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w:instrText>
    </w:r>
    <w:r>
      <w:rPr>
        <w:rFonts w:ascii="Times New Roman" w:hAnsi="Times New Roman" w:eastAsia="Times New Roman"/>
        <w:b w:val="0"/>
        <w:i w:val="0"/>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7F663C"/>
    <w:rsid w:val="238969DB"/>
    <w:rsid w:val="23AB0215"/>
    <w:rsid w:val="2662377F"/>
    <w:rsid w:val="38363C4F"/>
    <w:rsid w:val="3CCD014D"/>
    <w:rsid w:val="493B1355"/>
    <w:rsid w:val="58CE5CBE"/>
    <w:rsid w:val="5B6E42E3"/>
    <w:rsid w:val="7C6A3B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40"/>
    <w:qFormat/>
    <w:uiPriority w:val="9"/>
    <w:pPr>
      <w:keepNext/>
      <w:keepLines/>
      <w:spacing w:before="240" w:after="120" w:line="360" w:lineRule="auto"/>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1"/>
    <w:unhideWhenUsed/>
    <w:qFormat/>
    <w:uiPriority w:val="9"/>
    <w:pPr>
      <w:keepNext/>
      <w:keepLines/>
      <w:spacing w:before="240" w:after="120" w:line="360" w:lineRule="auto"/>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2"/>
    <w:unhideWhenUsed/>
    <w:qFormat/>
    <w:uiPriority w:val="9"/>
    <w:pPr>
      <w:keepNext/>
      <w:keepLines/>
      <w:spacing w:before="240" w:after="120" w:line="360" w:lineRule="auto"/>
      <w:outlineLvl w:val="2"/>
    </w:pPr>
    <w:rPr>
      <w:rFonts w:asciiTheme="majorHAnsi" w:hAnsiTheme="majorHAnsi" w:eastAsiaTheme="majorEastAsia"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qFormat/>
    <w:uiPriority w:val="99"/>
    <w:rPr>
      <w:color w:val="800080"/>
      <w:u w:val="single"/>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character" w:styleId="21">
    <w:name w:val="Hyperlink"/>
    <w:basedOn w:val="11"/>
    <w:semiHidden/>
    <w:unhideWhenUsed/>
    <w:qFormat/>
    <w:uiPriority w:val="99"/>
    <w:rPr>
      <w:color w:val="0000FF"/>
      <w:u w:val="single"/>
    </w:rPr>
  </w:style>
  <w:style w:type="paragraph" w:styleId="22">
    <w:name w:val="List"/>
    <w:basedOn w:val="1"/>
    <w:unhideWhenUsed/>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qFormat/>
    <w:uiPriority w:val="99"/>
  </w:style>
  <w:style w:type="character" w:customStyle="1" w:styleId="138">
    <w:name w:val="Footer Char"/>
    <w:basedOn w:val="11"/>
    <w:link w:val="19"/>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4"/>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3797</Words>
  <Characters>23786</Characters>
  <Lines>0</Lines>
  <Paragraphs>0</Paragraphs>
  <TotalTime>26</TotalTime>
  <ScaleCrop>false</ScaleCrop>
  <LinksUpToDate>false</LinksUpToDate>
  <CharactersWithSpaces>27287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minura wije</cp:lastModifiedBy>
  <dcterms:modified xsi:type="dcterms:W3CDTF">2026-07-12T17:05:24Z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eyJoZGlkIjoiN2RkYjYyMzYzODc1ODQ2MDk5OGNlNzVlOWJjODM4ZjMiLCJ1c2VySWQiOiI1MjQwNDk5NTc3Njc2In0=</vt:lpwstr>
  </property>
  <property fmtid="{D5CDD505-2E9C-101B-9397-08002B2CF9AE}" pid="3" name="KSOProductBuildVer">
    <vt:lpwstr>1033-12.1.0.26880</vt:lpwstr>
  </property>
  <property fmtid="{D5CDD505-2E9C-101B-9397-08002B2CF9AE}" pid="4" name="ICV">
    <vt:lpwstr>254DD5C563F84DBFB4DBBF965D46CFFB_12</vt:lpwstr>
  </property>
</Properties>
</file>