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ED" w:rsidRDefault="00BC7B78" w:rsidP="00BC7B78">
      <w:pPr>
        <w:spacing w:line="360" w:lineRule="auto"/>
        <w:jc w:val="both"/>
        <w:rPr>
          <w:rFonts w:ascii="Arial" w:hAnsi="Arial" w:cs="Arial"/>
        </w:rPr>
      </w:pPr>
      <w:r w:rsidRPr="00BC7B78">
        <w:rPr>
          <w:rFonts w:ascii="Arial" w:hAnsi="Arial" w:cs="Arial"/>
        </w:rPr>
        <w:t xml:space="preserve">Research community has been </w:t>
      </w:r>
      <w:r w:rsidR="00400275">
        <w:rPr>
          <w:rFonts w:ascii="Arial" w:hAnsi="Arial" w:cs="Arial"/>
        </w:rPr>
        <w:t>paying great effort to generate</w:t>
      </w:r>
      <w:r w:rsidRPr="00BC7B78">
        <w:rPr>
          <w:rFonts w:ascii="Arial" w:hAnsi="Arial" w:cs="Arial"/>
        </w:rPr>
        <w:t xml:space="preserve"> large dataset during the past decade through collaborati</w:t>
      </w:r>
      <w:r w:rsidR="00400275">
        <w:rPr>
          <w:rFonts w:ascii="Arial" w:hAnsi="Arial" w:cs="Arial"/>
        </w:rPr>
        <w:t xml:space="preserve">on to enable </w:t>
      </w:r>
      <w:r w:rsidRPr="00BC7B78">
        <w:rPr>
          <w:rFonts w:ascii="Arial" w:hAnsi="Arial" w:cs="Arial"/>
        </w:rPr>
        <w:t>data-driven analysis.</w:t>
      </w:r>
      <w:r>
        <w:rPr>
          <w:rFonts w:ascii="Arial" w:hAnsi="Arial" w:cs="Arial"/>
        </w:rPr>
        <w:t xml:space="preserve"> </w:t>
      </w:r>
      <w:r w:rsidRPr="00BC7B78">
        <w:rPr>
          <w:rFonts w:ascii="Arial" w:hAnsi="Arial" w:cs="Arial"/>
        </w:rPr>
        <w:t>Cancer Cell Line Encyclopedia (CCLE)</w:t>
      </w:r>
      <w:r w:rsidR="0061106D">
        <w:rPr>
          <w:rStyle w:val="EndnoteReference"/>
          <w:rFonts w:ascii="Arial" w:hAnsi="Arial" w:cs="Arial"/>
        </w:rPr>
        <w:endnoteReference w:id="1"/>
      </w:r>
      <w:r w:rsidR="001340AE">
        <w:rPr>
          <w:rFonts w:ascii="Arial" w:hAnsi="Arial" w:cs="Arial"/>
        </w:rPr>
        <w:t xml:space="preserve"> </w:t>
      </w:r>
      <w:r w:rsidR="00400275">
        <w:rPr>
          <w:rFonts w:ascii="Arial" w:hAnsi="Arial" w:cs="Arial"/>
        </w:rPr>
        <w:t>collected near 1700</w:t>
      </w:r>
      <w:r w:rsidR="00400275" w:rsidRPr="00BC7B78">
        <w:rPr>
          <w:rFonts w:ascii="Arial" w:hAnsi="Arial" w:cs="Arial"/>
        </w:rPr>
        <w:t xml:space="preserve"> human cancer cell lines across </w:t>
      </w:r>
      <w:r w:rsidR="00400275">
        <w:rPr>
          <w:rFonts w:ascii="Arial" w:hAnsi="Arial" w:cs="Arial"/>
        </w:rPr>
        <w:t xml:space="preserve">39 </w:t>
      </w:r>
      <w:r w:rsidR="00400275" w:rsidRPr="00BC7B78">
        <w:rPr>
          <w:rFonts w:ascii="Arial" w:hAnsi="Arial" w:cs="Arial"/>
        </w:rPr>
        <w:t xml:space="preserve">different </w:t>
      </w:r>
      <w:r w:rsidR="00400275">
        <w:rPr>
          <w:rFonts w:ascii="Arial" w:hAnsi="Arial" w:cs="Arial"/>
        </w:rPr>
        <w:t xml:space="preserve">primary </w:t>
      </w:r>
      <w:r w:rsidR="00400275" w:rsidRPr="00BC7B78">
        <w:rPr>
          <w:rFonts w:ascii="Arial" w:hAnsi="Arial" w:cs="Arial"/>
        </w:rPr>
        <w:t>cancer types</w:t>
      </w:r>
      <w:r w:rsidR="00400275">
        <w:rPr>
          <w:rFonts w:ascii="Arial" w:hAnsi="Arial" w:cs="Arial"/>
        </w:rPr>
        <w:t>, and</w:t>
      </w:r>
      <w:r w:rsidRPr="00BC7B78">
        <w:rPr>
          <w:rFonts w:ascii="Arial" w:hAnsi="Arial" w:cs="Arial"/>
        </w:rPr>
        <w:t xml:space="preserve"> conducted </w:t>
      </w:r>
      <w:r w:rsidR="00400275">
        <w:rPr>
          <w:rFonts w:ascii="Arial" w:hAnsi="Arial" w:cs="Arial"/>
        </w:rPr>
        <w:t>extensive</w:t>
      </w:r>
      <w:r w:rsidRPr="00BC7B78">
        <w:rPr>
          <w:rFonts w:ascii="Arial" w:hAnsi="Arial" w:cs="Arial"/>
        </w:rPr>
        <w:t xml:space="preserve"> profi</w:t>
      </w:r>
      <w:r w:rsidR="00855259">
        <w:rPr>
          <w:rFonts w:ascii="Arial" w:hAnsi="Arial" w:cs="Arial"/>
        </w:rPr>
        <w:t xml:space="preserve">ling of molecular fingerprint, </w:t>
      </w:r>
      <w:r w:rsidR="00A1152C">
        <w:rPr>
          <w:rFonts w:ascii="Arial" w:hAnsi="Arial" w:cs="Arial"/>
        </w:rPr>
        <w:t>including mutation, gene expression, copy number variation, miRNA expression, pr</w:t>
      </w:r>
      <w:r w:rsidR="009030EA">
        <w:rPr>
          <w:rFonts w:ascii="Arial" w:hAnsi="Arial" w:cs="Arial"/>
        </w:rPr>
        <w:t>otein array and DNA methylation</w:t>
      </w:r>
      <w:r w:rsidRPr="00BC7B78">
        <w:rPr>
          <w:rFonts w:ascii="Arial" w:hAnsi="Arial" w:cs="Arial"/>
        </w:rPr>
        <w:t xml:space="preserve">. </w:t>
      </w:r>
      <w:r w:rsidR="003E649F">
        <w:rPr>
          <w:rFonts w:ascii="Arial" w:hAnsi="Arial" w:cs="Arial"/>
        </w:rPr>
        <w:t>In addition</w:t>
      </w:r>
      <w:r w:rsidR="0061106D">
        <w:rPr>
          <w:rFonts w:ascii="Arial" w:hAnsi="Arial" w:cs="Arial"/>
        </w:rPr>
        <w:t>, DEMETER2</w:t>
      </w:r>
      <w:r w:rsidR="0061106D">
        <w:rPr>
          <w:rStyle w:val="EndnoteReference"/>
          <w:rFonts w:ascii="Arial" w:hAnsi="Arial" w:cs="Arial"/>
        </w:rPr>
        <w:endnoteReference w:id="2"/>
      </w:r>
      <w:r w:rsidR="0061106D">
        <w:rPr>
          <w:rFonts w:ascii="Arial" w:hAnsi="Arial" w:cs="Arial"/>
        </w:rPr>
        <w:t xml:space="preserve"> and Achilles</w:t>
      </w:r>
      <w:r w:rsidR="0061106D">
        <w:rPr>
          <w:rStyle w:val="EndnoteReference"/>
          <w:rFonts w:ascii="Arial" w:hAnsi="Arial" w:cs="Arial"/>
        </w:rPr>
        <w:endnoteReference w:id="3"/>
      </w:r>
      <w:r w:rsidR="00B674FA" w:rsidRPr="00B674FA">
        <w:rPr>
          <w:rFonts w:ascii="Arial" w:hAnsi="Arial" w:cs="Arial"/>
          <w:vertAlign w:val="superscript"/>
        </w:rPr>
        <w:t>,</w:t>
      </w:r>
      <w:r w:rsidR="0061106D">
        <w:rPr>
          <w:rStyle w:val="EndnoteReference"/>
          <w:rFonts w:ascii="Arial" w:hAnsi="Arial" w:cs="Arial"/>
        </w:rPr>
        <w:endnoteReference w:id="4"/>
      </w:r>
      <w:r w:rsidR="007A4B10">
        <w:rPr>
          <w:rFonts w:ascii="Arial" w:hAnsi="Arial" w:cs="Arial"/>
        </w:rPr>
        <w:t xml:space="preserve"> projects conducted large-scale gene essentiality genetic screen across multiple cell lines using RNAi and CRISPR-Cas9 technologies</w:t>
      </w:r>
      <w:r w:rsidR="003E649F">
        <w:rPr>
          <w:rFonts w:ascii="Arial" w:hAnsi="Arial" w:cs="Arial"/>
        </w:rPr>
        <w:t xml:space="preserve">. </w:t>
      </w:r>
      <w:r w:rsidR="00267CBA">
        <w:rPr>
          <w:rFonts w:ascii="Arial" w:hAnsi="Arial" w:cs="Arial"/>
        </w:rPr>
        <w:t xml:space="preserve">Very recently, </w:t>
      </w:r>
      <w:r w:rsidR="00267CBA" w:rsidRPr="00267CBA">
        <w:rPr>
          <w:rFonts w:ascii="Arial" w:hAnsi="Arial" w:cs="Arial"/>
        </w:rPr>
        <w:t>systematic characterizations</w:t>
      </w:r>
      <w:r w:rsidR="00A52D67">
        <w:rPr>
          <w:rFonts w:ascii="Arial" w:hAnsi="Arial" w:cs="Arial"/>
        </w:rPr>
        <w:t xml:space="preserve"> of cell line signatures </w:t>
      </w:r>
      <w:proofErr w:type="gramStart"/>
      <w:r w:rsidR="00A52D67">
        <w:rPr>
          <w:rFonts w:ascii="Arial" w:hAnsi="Arial" w:cs="Arial"/>
        </w:rPr>
        <w:t>have</w:t>
      </w:r>
      <w:r w:rsidR="00267CBA">
        <w:rPr>
          <w:rFonts w:ascii="Arial" w:hAnsi="Arial" w:cs="Arial"/>
        </w:rPr>
        <w:t xml:space="preserve"> been extended</w:t>
      </w:r>
      <w:proofErr w:type="gramEnd"/>
      <w:r w:rsidR="00267CBA">
        <w:rPr>
          <w:rFonts w:ascii="Arial" w:hAnsi="Arial" w:cs="Arial"/>
        </w:rPr>
        <w:t xml:space="preserve"> from genomics, functional genomics to </w:t>
      </w:r>
      <w:r w:rsidR="00A52D67" w:rsidRPr="00A52D67">
        <w:rPr>
          <w:rFonts w:ascii="Arial" w:hAnsi="Arial" w:cs="Arial"/>
        </w:rPr>
        <w:t>metabolomics</w:t>
      </w:r>
      <w:r w:rsidR="00267CBA">
        <w:rPr>
          <w:rFonts w:ascii="Arial" w:hAnsi="Arial" w:cs="Arial"/>
        </w:rPr>
        <w:t>.</w:t>
      </w:r>
      <w:r w:rsidR="00A52D67">
        <w:rPr>
          <w:rFonts w:ascii="Arial" w:hAnsi="Arial" w:cs="Arial"/>
        </w:rPr>
        <w:t xml:space="preserve"> Li et al.</w:t>
      </w:r>
      <w:r w:rsidR="00A52D67" w:rsidRPr="00A52D67">
        <w:rPr>
          <w:rFonts w:ascii="Arial" w:hAnsi="Arial" w:cs="Arial"/>
        </w:rPr>
        <w:t xml:space="preserve"> profiled 225 metabolites in 928 cell lines from more than 20 cancer types in the </w:t>
      </w:r>
      <w:r w:rsidR="00A52D67">
        <w:rPr>
          <w:rFonts w:ascii="Arial" w:hAnsi="Arial" w:cs="Arial"/>
        </w:rPr>
        <w:t>CCLE cell panel</w:t>
      </w:r>
      <w:r w:rsidR="00A52D67">
        <w:rPr>
          <w:rStyle w:val="EndnoteReference"/>
          <w:rFonts w:ascii="Arial" w:hAnsi="Arial" w:cs="Arial"/>
        </w:rPr>
        <w:endnoteReference w:id="5"/>
      </w:r>
      <w:r w:rsidR="00A52D67">
        <w:rPr>
          <w:rFonts w:ascii="Arial" w:hAnsi="Arial" w:cs="Arial"/>
        </w:rPr>
        <w:t>.</w:t>
      </w:r>
      <w:r w:rsidR="00267CBA">
        <w:rPr>
          <w:rFonts w:ascii="Arial" w:hAnsi="Arial" w:cs="Arial"/>
        </w:rPr>
        <w:t xml:space="preserve"> </w:t>
      </w:r>
      <w:proofErr w:type="gramStart"/>
      <w:r w:rsidR="00855259">
        <w:rPr>
          <w:rFonts w:ascii="Arial" w:hAnsi="Arial" w:cs="Arial"/>
        </w:rPr>
        <w:t>Combining all these together</w:t>
      </w:r>
      <w:proofErr w:type="gramEnd"/>
      <w:r w:rsidR="00855259">
        <w:rPr>
          <w:rFonts w:ascii="Arial" w:hAnsi="Arial" w:cs="Arial"/>
        </w:rPr>
        <w:t xml:space="preserve">, we now are able to have a </w:t>
      </w:r>
      <w:r w:rsidR="00855259" w:rsidRPr="00BC7B78">
        <w:rPr>
          <w:rFonts w:ascii="Arial" w:hAnsi="Arial" w:cs="Arial"/>
        </w:rPr>
        <w:t>compreh</w:t>
      </w:r>
      <w:r w:rsidR="00855259">
        <w:rPr>
          <w:rFonts w:ascii="Arial" w:hAnsi="Arial" w:cs="Arial"/>
        </w:rPr>
        <w:t>ensive view of genomic landscape of human cancer cell lines</w:t>
      </w:r>
      <w:r w:rsidR="009030EA">
        <w:rPr>
          <w:rFonts w:ascii="Arial" w:hAnsi="Arial" w:cs="Arial"/>
        </w:rPr>
        <w:t xml:space="preserve"> (Table 1)</w:t>
      </w:r>
      <w:r w:rsidR="00855259">
        <w:rPr>
          <w:rFonts w:ascii="Arial" w:hAnsi="Arial" w:cs="Arial" w:hint="eastAsia"/>
        </w:rPr>
        <w:t>.</w:t>
      </w:r>
      <w:r w:rsidR="00855259">
        <w:rPr>
          <w:rFonts w:ascii="Arial" w:hAnsi="Arial" w:cs="Arial"/>
        </w:rPr>
        <w:t xml:space="preserve"> </w:t>
      </w:r>
    </w:p>
    <w:p w:rsidR="0097673F" w:rsidRDefault="00760F11" w:rsidP="00BC7B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respect to pharmacological response, </w:t>
      </w:r>
      <w:r w:rsidR="00BC7B78" w:rsidRPr="00BC7B78">
        <w:rPr>
          <w:rFonts w:ascii="Arial" w:hAnsi="Arial" w:cs="Arial"/>
        </w:rPr>
        <w:t>Genomics of Drug Sensitivity in Cancer (GDSC)</w:t>
      </w:r>
      <w:r w:rsidR="0061106D">
        <w:rPr>
          <w:rStyle w:val="EndnoteReference"/>
          <w:rFonts w:ascii="Arial" w:hAnsi="Arial" w:cs="Arial"/>
        </w:rPr>
        <w:endnoteReference w:id="6"/>
      </w:r>
      <w:r w:rsidR="00A226F2">
        <w:rPr>
          <w:rFonts w:ascii="Arial" w:hAnsi="Arial" w:cs="Arial"/>
        </w:rPr>
        <w:t xml:space="preserve"> </w:t>
      </w:r>
      <w:r w:rsidR="00BC7B78" w:rsidRPr="00BC7B78">
        <w:rPr>
          <w:rFonts w:ascii="Arial" w:hAnsi="Arial" w:cs="Arial"/>
        </w:rPr>
        <w:t xml:space="preserve">measured the sensitivities of </w:t>
      </w:r>
      <w:r w:rsidR="003E649F">
        <w:rPr>
          <w:rFonts w:ascii="Arial" w:hAnsi="Arial" w:cs="Arial"/>
        </w:rPr>
        <w:t xml:space="preserve">near 1000 </w:t>
      </w:r>
      <w:r w:rsidR="00BC7B78" w:rsidRPr="00BC7B78">
        <w:rPr>
          <w:rFonts w:ascii="Arial" w:hAnsi="Arial" w:cs="Arial"/>
        </w:rPr>
        <w:t xml:space="preserve">cancer cell lines to </w:t>
      </w:r>
      <w:r w:rsidR="003E649F">
        <w:rPr>
          <w:rFonts w:ascii="Arial" w:hAnsi="Arial" w:cs="Arial"/>
        </w:rPr>
        <w:t>~250</w:t>
      </w:r>
      <w:r w:rsidR="00BC7B78" w:rsidRPr="00BC7B78">
        <w:rPr>
          <w:rFonts w:ascii="Arial" w:hAnsi="Arial" w:cs="Arial"/>
        </w:rPr>
        <w:t xml:space="preserve"> drugs aiming to identify predictive biomarkers for</w:t>
      </w:r>
      <w:r>
        <w:rPr>
          <w:rFonts w:ascii="Arial" w:hAnsi="Arial" w:cs="Arial"/>
        </w:rPr>
        <w:t xml:space="preserve"> different</w:t>
      </w:r>
      <w:r w:rsidR="00BC7B78" w:rsidRPr="00BC7B78">
        <w:rPr>
          <w:rFonts w:ascii="Arial" w:hAnsi="Arial" w:cs="Arial"/>
        </w:rPr>
        <w:t xml:space="preserve"> drug</w:t>
      </w:r>
      <w:r>
        <w:rPr>
          <w:rFonts w:ascii="Arial" w:hAnsi="Arial" w:cs="Arial"/>
        </w:rPr>
        <w:t>s</w:t>
      </w:r>
      <w:r w:rsidR="00BC7B78" w:rsidRPr="00BC7B78">
        <w:rPr>
          <w:rFonts w:ascii="Arial" w:hAnsi="Arial" w:cs="Arial"/>
        </w:rPr>
        <w:t xml:space="preserve">. </w:t>
      </w:r>
      <w:r w:rsidR="00C12DC5" w:rsidRPr="00C12DC5">
        <w:rPr>
          <w:rFonts w:ascii="Arial" w:hAnsi="Arial" w:cs="Arial"/>
        </w:rPr>
        <w:t>Cancer Therapeutics Response Portal</w:t>
      </w:r>
      <w:r w:rsidR="00C12DC5">
        <w:rPr>
          <w:rFonts w:ascii="Arial" w:hAnsi="Arial" w:cs="Arial"/>
        </w:rPr>
        <w:t xml:space="preserve"> (CTRP)</w:t>
      </w:r>
      <w:r w:rsidR="0061106D">
        <w:rPr>
          <w:rStyle w:val="EndnoteReference"/>
          <w:rFonts w:ascii="Arial" w:hAnsi="Arial" w:cs="Arial"/>
        </w:rPr>
        <w:endnoteReference w:id="7"/>
      </w:r>
      <w:proofErr w:type="gramStart"/>
      <w:r w:rsidR="00B674FA" w:rsidRPr="00B674FA">
        <w:rPr>
          <w:rFonts w:ascii="Arial" w:hAnsi="Arial" w:cs="Arial"/>
          <w:vertAlign w:val="superscript"/>
        </w:rPr>
        <w:t>,</w:t>
      </w:r>
      <w:proofErr w:type="gramEnd"/>
      <w:r w:rsidR="0061106D">
        <w:rPr>
          <w:rStyle w:val="EndnoteReference"/>
          <w:rFonts w:ascii="Arial" w:hAnsi="Arial" w:cs="Arial"/>
        </w:rPr>
        <w:endnoteReference w:id="8"/>
      </w:r>
      <w:r w:rsidR="00C12DC5">
        <w:rPr>
          <w:rFonts w:ascii="Arial" w:hAnsi="Arial" w:cs="Arial"/>
        </w:rPr>
        <w:t xml:space="preserve"> is another large</w:t>
      </w:r>
      <w:r w:rsidR="00A42889">
        <w:rPr>
          <w:rFonts w:ascii="Arial" w:hAnsi="Arial" w:cs="Arial"/>
        </w:rPr>
        <w:t xml:space="preserve"> public</w:t>
      </w:r>
      <w:r w:rsidR="00C12DC5">
        <w:rPr>
          <w:rFonts w:ascii="Arial" w:hAnsi="Arial" w:cs="Arial"/>
        </w:rPr>
        <w:t xml:space="preserve"> resource that deposit the </w:t>
      </w:r>
      <w:r w:rsidR="002C13DA">
        <w:rPr>
          <w:rFonts w:ascii="Arial" w:hAnsi="Arial" w:cs="Arial"/>
        </w:rPr>
        <w:t>response</w:t>
      </w:r>
      <w:r w:rsidR="00A42889">
        <w:rPr>
          <w:rFonts w:ascii="Arial" w:hAnsi="Arial" w:cs="Arial"/>
        </w:rPr>
        <w:t xml:space="preserve"> </w:t>
      </w:r>
      <w:r w:rsidR="00FE10ED">
        <w:rPr>
          <w:rFonts w:ascii="Arial" w:hAnsi="Arial" w:cs="Arial"/>
        </w:rPr>
        <w:t xml:space="preserve">of </w:t>
      </w:r>
      <w:r w:rsidR="00A42889">
        <w:rPr>
          <w:rFonts w:ascii="Arial" w:hAnsi="Arial" w:cs="Arial"/>
        </w:rPr>
        <w:t xml:space="preserve">~1000 cancer cell lines to over </w:t>
      </w:r>
      <w:r w:rsidR="00C12DC5">
        <w:rPr>
          <w:rFonts w:ascii="Arial" w:hAnsi="Arial" w:cs="Arial"/>
        </w:rPr>
        <w:t xml:space="preserve">500 </w:t>
      </w:r>
      <w:r w:rsidR="00A42889">
        <w:rPr>
          <w:rFonts w:ascii="Arial" w:hAnsi="Arial" w:cs="Arial"/>
        </w:rPr>
        <w:t>compound</w:t>
      </w:r>
      <w:r w:rsidR="00C12DC5">
        <w:rPr>
          <w:rFonts w:ascii="Arial" w:hAnsi="Arial" w:cs="Arial"/>
        </w:rPr>
        <w:t xml:space="preserve"> that help </w:t>
      </w:r>
      <w:r w:rsidR="002C13DA">
        <w:rPr>
          <w:rFonts w:ascii="Arial" w:hAnsi="Arial" w:cs="Arial"/>
        </w:rPr>
        <w:t xml:space="preserve">mine the </w:t>
      </w:r>
      <w:r w:rsidR="002C13DA" w:rsidRPr="002C13DA">
        <w:rPr>
          <w:rFonts w:ascii="Arial" w:hAnsi="Arial" w:cs="Arial"/>
        </w:rPr>
        <w:t>mechanisms of action</w:t>
      </w:r>
      <w:r w:rsidR="00C12DC5">
        <w:rPr>
          <w:rFonts w:ascii="Arial" w:hAnsi="Arial" w:cs="Arial"/>
        </w:rPr>
        <w:t xml:space="preserve">. </w:t>
      </w:r>
      <w:r w:rsidR="00BC7B78" w:rsidRPr="00BC7B78">
        <w:rPr>
          <w:rFonts w:ascii="Arial" w:hAnsi="Arial" w:cs="Arial"/>
        </w:rPr>
        <w:t xml:space="preserve">Besides these large valuable public datasets, recently, based on our specific interest in lung cancer, our lab has devised a tiered high-throughput </w:t>
      </w:r>
      <w:r w:rsidR="005C087A">
        <w:rPr>
          <w:rFonts w:ascii="Arial" w:hAnsi="Arial" w:cs="Arial"/>
        </w:rPr>
        <w:t>screening strategy on a panel 100</w:t>
      </w:r>
      <w:r w:rsidR="00BC7B78" w:rsidRPr="00BC7B78">
        <w:rPr>
          <w:rFonts w:ascii="Arial" w:hAnsi="Arial" w:cs="Arial"/>
        </w:rPr>
        <w:t xml:space="preserve"> lung cancer cell lines to screen </w:t>
      </w:r>
      <w:r w:rsidR="00FE10ED">
        <w:rPr>
          <w:rFonts w:ascii="Arial" w:hAnsi="Arial" w:cs="Arial"/>
        </w:rPr>
        <w:t>222</w:t>
      </w:r>
      <w:r w:rsidR="00BC7B78" w:rsidRPr="00BC7B78">
        <w:rPr>
          <w:rFonts w:ascii="Arial" w:hAnsi="Arial" w:cs="Arial"/>
        </w:rPr>
        <w:t xml:space="preserve"> drugs/chemicals, and conducted whole-exome and RNA- sequencing for all the </w:t>
      </w:r>
      <w:r w:rsidR="0061106D">
        <w:rPr>
          <w:rFonts w:ascii="Arial" w:hAnsi="Arial" w:cs="Arial"/>
        </w:rPr>
        <w:t>100 cell lines</w:t>
      </w:r>
      <w:r w:rsidR="0061106D">
        <w:rPr>
          <w:rStyle w:val="EndnoteReference"/>
          <w:rFonts w:ascii="Arial" w:hAnsi="Arial" w:cs="Arial"/>
        </w:rPr>
        <w:endnoteReference w:id="9"/>
      </w:r>
      <w:r w:rsidR="001340AE">
        <w:rPr>
          <w:rFonts w:ascii="Arial" w:hAnsi="Arial" w:cs="Arial"/>
        </w:rPr>
        <w:t xml:space="preserve"> (Table 2)</w:t>
      </w:r>
      <w:r w:rsidR="00BC7B78" w:rsidRPr="00BC7B78">
        <w:rPr>
          <w:rFonts w:ascii="Arial" w:hAnsi="Arial" w:cs="Arial"/>
        </w:rPr>
        <w:t>.</w:t>
      </w:r>
    </w:p>
    <w:p w:rsidR="00E410FB" w:rsidRDefault="00E410FB" w:rsidP="00BC7B78">
      <w:pPr>
        <w:spacing w:line="360" w:lineRule="auto"/>
        <w:jc w:val="both"/>
        <w:rPr>
          <w:rFonts w:ascii="Arial" w:hAnsi="Arial" w:cs="Arial"/>
        </w:rPr>
      </w:pPr>
      <w:r w:rsidRPr="00E410FB">
        <w:rPr>
          <w:rFonts w:ascii="Arial" w:hAnsi="Arial" w:cs="Arial"/>
        </w:rPr>
        <w:t xml:space="preserve">DREAM Challenge </w:t>
      </w:r>
      <w:r w:rsidR="002E7DFB">
        <w:rPr>
          <w:rFonts w:ascii="Arial" w:hAnsi="Arial" w:cs="Arial"/>
        </w:rPr>
        <w:t xml:space="preserve">took </w:t>
      </w:r>
      <w:r w:rsidRPr="00E410FB">
        <w:rPr>
          <w:rFonts w:ascii="Arial" w:hAnsi="Arial" w:cs="Arial"/>
        </w:rPr>
        <w:t xml:space="preserve">initiative </w:t>
      </w:r>
      <w:r w:rsidR="002E7DFB">
        <w:rPr>
          <w:rFonts w:ascii="Arial" w:hAnsi="Arial" w:cs="Arial"/>
        </w:rPr>
        <w:t>at</w:t>
      </w:r>
      <w:r w:rsidRPr="00E410FB">
        <w:rPr>
          <w:rFonts w:ascii="Arial" w:hAnsi="Arial" w:cs="Arial"/>
        </w:rPr>
        <w:t xml:space="preserve"> </w:t>
      </w:r>
      <w:r w:rsidR="002E7DFB">
        <w:rPr>
          <w:rFonts w:ascii="Arial" w:hAnsi="Arial" w:cs="Arial"/>
        </w:rPr>
        <w:t xml:space="preserve">computationally </w:t>
      </w:r>
      <w:r w:rsidR="002E7DFB" w:rsidRPr="00E410FB">
        <w:rPr>
          <w:rFonts w:ascii="Arial" w:hAnsi="Arial" w:cs="Arial"/>
        </w:rPr>
        <w:t>pre</w:t>
      </w:r>
      <w:r w:rsidR="002E7DFB">
        <w:rPr>
          <w:rFonts w:ascii="Arial" w:hAnsi="Arial" w:cs="Arial"/>
        </w:rPr>
        <w:t>dicting compound pair synergism</w:t>
      </w:r>
      <w:r w:rsidR="002E7DFB" w:rsidRPr="00E410FB">
        <w:rPr>
          <w:rFonts w:ascii="Arial" w:hAnsi="Arial" w:cs="Arial"/>
        </w:rPr>
        <w:t xml:space="preserve"> </w:t>
      </w:r>
      <w:r w:rsidR="002E7DFB">
        <w:rPr>
          <w:rFonts w:ascii="Arial" w:hAnsi="Arial" w:cs="Arial"/>
        </w:rPr>
        <w:t xml:space="preserve">through </w:t>
      </w:r>
      <w:r w:rsidR="002E7DFB" w:rsidRPr="002E7DFB">
        <w:rPr>
          <w:rFonts w:ascii="Arial" w:hAnsi="Arial" w:cs="Arial"/>
        </w:rPr>
        <w:t>crowdsourcing</w:t>
      </w:r>
      <w:r w:rsidR="005C087A">
        <w:rPr>
          <w:rFonts w:ascii="Arial" w:hAnsi="Arial" w:cs="Arial"/>
        </w:rPr>
        <w:t>, by providing the first few drug combinatorial effect dataset</w:t>
      </w:r>
      <w:r w:rsidR="0061106D">
        <w:rPr>
          <w:rFonts w:ascii="Arial" w:hAnsi="Arial" w:cs="Arial"/>
        </w:rPr>
        <w:t>s</w:t>
      </w:r>
      <w:r w:rsidR="0061106D">
        <w:rPr>
          <w:rStyle w:val="EndnoteReference"/>
          <w:rFonts w:ascii="Arial" w:hAnsi="Arial" w:cs="Arial"/>
        </w:rPr>
        <w:endnoteReference w:id="10"/>
      </w:r>
      <w:proofErr w:type="gramStart"/>
      <w:r w:rsidR="0061106D" w:rsidRPr="0061106D">
        <w:rPr>
          <w:rFonts w:ascii="Arial" w:hAnsi="Arial" w:cs="Arial"/>
          <w:vertAlign w:val="superscript"/>
        </w:rPr>
        <w:t>,</w:t>
      </w:r>
      <w:r w:rsidR="0061106D">
        <w:rPr>
          <w:rStyle w:val="EndnoteReference"/>
          <w:rFonts w:ascii="Arial" w:hAnsi="Arial" w:cs="Arial"/>
        </w:rPr>
        <w:endnoteReference w:id="11"/>
      </w:r>
      <w:r w:rsidR="005C087A">
        <w:rPr>
          <w:rFonts w:ascii="Arial" w:hAnsi="Arial" w:cs="Arial"/>
        </w:rPr>
        <w:t>.</w:t>
      </w:r>
      <w:proofErr w:type="gramEnd"/>
      <w:r w:rsidR="005C087A">
        <w:rPr>
          <w:rFonts w:ascii="Arial" w:hAnsi="Arial" w:cs="Arial"/>
        </w:rPr>
        <w:t xml:space="preserve"> </w:t>
      </w:r>
      <w:r w:rsidR="00E94702" w:rsidRPr="00BD5AB2">
        <w:rPr>
          <w:rFonts w:ascii="Arial" w:hAnsi="Arial" w:cs="Arial"/>
        </w:rPr>
        <w:t>O'Neil</w:t>
      </w:r>
      <w:r w:rsidR="0061106D">
        <w:rPr>
          <w:rFonts w:ascii="Arial" w:hAnsi="Arial" w:cs="Arial"/>
        </w:rPr>
        <w:t xml:space="preserve"> et al. dataset</w:t>
      </w:r>
      <w:r w:rsidR="0061106D">
        <w:rPr>
          <w:rStyle w:val="EndnoteReference"/>
          <w:rFonts w:ascii="Arial" w:hAnsi="Arial" w:cs="Arial"/>
        </w:rPr>
        <w:endnoteReference w:id="12"/>
      </w:r>
      <w:r w:rsidR="00E94702">
        <w:rPr>
          <w:rFonts w:ascii="Arial" w:hAnsi="Arial" w:cs="Arial"/>
        </w:rPr>
        <w:t xml:space="preserve"> </w:t>
      </w:r>
      <w:r w:rsidR="00657ADB">
        <w:rPr>
          <w:rFonts w:ascii="Arial" w:hAnsi="Arial" w:cs="Arial"/>
        </w:rPr>
        <w:t>greatly expanded the scale of drug pairs and genetic background to have around 600 unique drug pairs and 30 cell lines</w:t>
      </w:r>
      <w:r w:rsidR="00E94702">
        <w:rPr>
          <w:rFonts w:ascii="Arial" w:hAnsi="Arial" w:cs="Arial"/>
        </w:rPr>
        <w:t xml:space="preserve">. </w:t>
      </w:r>
      <w:r w:rsidR="005C087A">
        <w:rPr>
          <w:rFonts w:ascii="Arial" w:hAnsi="Arial" w:cs="Arial"/>
        </w:rPr>
        <w:t>NCI</w:t>
      </w:r>
      <w:r w:rsidR="0061106D">
        <w:rPr>
          <w:rFonts w:ascii="Arial" w:hAnsi="Arial" w:cs="Arial"/>
        </w:rPr>
        <w:t xml:space="preserve"> ALMANAC</w:t>
      </w:r>
      <w:r w:rsidR="0061106D">
        <w:rPr>
          <w:rStyle w:val="EndnoteReference"/>
          <w:rFonts w:ascii="Arial" w:hAnsi="Arial" w:cs="Arial"/>
        </w:rPr>
        <w:endnoteReference w:id="13"/>
      </w:r>
      <w:r w:rsidR="002E7DFB">
        <w:rPr>
          <w:rFonts w:ascii="Arial" w:hAnsi="Arial" w:cs="Arial"/>
        </w:rPr>
        <w:t xml:space="preserve"> </w:t>
      </w:r>
      <w:r w:rsidR="00657ADB">
        <w:rPr>
          <w:rFonts w:ascii="Arial" w:hAnsi="Arial" w:cs="Arial"/>
        </w:rPr>
        <w:t xml:space="preserve">released by far the largest high </w:t>
      </w:r>
      <w:proofErr w:type="gramStart"/>
      <w:r w:rsidR="00657ADB">
        <w:rPr>
          <w:rFonts w:ascii="Arial" w:hAnsi="Arial" w:cs="Arial"/>
        </w:rPr>
        <w:t>throughput drug synergy measure dataset</w:t>
      </w:r>
      <w:proofErr w:type="gramEnd"/>
      <w:r w:rsidR="00657ADB">
        <w:rPr>
          <w:rFonts w:ascii="Arial" w:hAnsi="Arial" w:cs="Arial"/>
        </w:rPr>
        <w:t>, which included 105</w:t>
      </w:r>
      <w:r w:rsidR="00657ADB" w:rsidRPr="002E7DFB">
        <w:t xml:space="preserve"> </w:t>
      </w:r>
      <w:r w:rsidR="00657ADB" w:rsidRPr="002E7DFB">
        <w:rPr>
          <w:rFonts w:ascii="Arial" w:hAnsi="Arial" w:cs="Arial"/>
        </w:rPr>
        <w:t xml:space="preserve">FDA-approved </w:t>
      </w:r>
      <w:r w:rsidR="00657ADB">
        <w:rPr>
          <w:rFonts w:ascii="Arial" w:hAnsi="Arial" w:cs="Arial"/>
        </w:rPr>
        <w:t>anti</w:t>
      </w:r>
      <w:r w:rsidR="00657ADB" w:rsidRPr="002E7DFB">
        <w:rPr>
          <w:rFonts w:ascii="Arial" w:hAnsi="Arial" w:cs="Arial"/>
        </w:rPr>
        <w:t xml:space="preserve">cancer </w:t>
      </w:r>
      <w:r w:rsidR="00657ADB">
        <w:rPr>
          <w:rFonts w:ascii="Arial" w:hAnsi="Arial" w:cs="Arial"/>
        </w:rPr>
        <w:t>agents covering ~5000 pairs tested in NCI-60 panel</w:t>
      </w:r>
      <w:r w:rsidR="001340AE">
        <w:rPr>
          <w:rFonts w:ascii="Arial" w:hAnsi="Arial" w:cs="Arial"/>
        </w:rPr>
        <w:t xml:space="preserve"> (Table 3)</w:t>
      </w:r>
      <w:r w:rsidR="00657ADB">
        <w:rPr>
          <w:rFonts w:ascii="Arial" w:hAnsi="Arial" w:cs="Arial"/>
        </w:rPr>
        <w:t xml:space="preserve">. </w:t>
      </w:r>
    </w:p>
    <w:p w:rsidR="000B3BFC" w:rsidRDefault="000B3BFC" w:rsidP="00BC7B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Post</w:t>
      </w:r>
      <w:r>
        <w:rPr>
          <w:rFonts w:ascii="Arial" w:hAnsi="Arial" w:cs="Arial"/>
        </w:rPr>
        <w:t xml:space="preserve">-perturbed transcriptomic profile provided an extra layer of knowledge of drug action that can potentially improve </w:t>
      </w:r>
      <w:proofErr w:type="gramStart"/>
      <w:r>
        <w:rPr>
          <w:rFonts w:ascii="Arial" w:hAnsi="Arial" w:cs="Arial"/>
        </w:rPr>
        <w:t>drug interaction effect prediction</w:t>
      </w:r>
      <w:proofErr w:type="gramEnd"/>
      <w:r>
        <w:rPr>
          <w:rFonts w:ascii="Arial" w:hAnsi="Arial" w:cs="Arial"/>
        </w:rPr>
        <w:t xml:space="preserve"> compared with using baseline genetic information along. LINCS</w:t>
      </w:r>
      <w:r w:rsidR="0047519A">
        <w:rPr>
          <w:rFonts w:ascii="Arial" w:hAnsi="Arial" w:cs="Arial"/>
        </w:rPr>
        <w:t xml:space="preserve"> project </w:t>
      </w:r>
      <w:r>
        <w:rPr>
          <w:rFonts w:ascii="Arial" w:hAnsi="Arial" w:cs="Arial"/>
        </w:rPr>
        <w:t xml:space="preserve">generated </w:t>
      </w:r>
      <w:r w:rsidRPr="000B3BFC">
        <w:rPr>
          <w:rFonts w:ascii="Arial" w:hAnsi="Arial" w:cs="Arial"/>
        </w:rPr>
        <w:t xml:space="preserve">gene expression </w:t>
      </w:r>
      <w:r w:rsidR="00252FFB">
        <w:rPr>
          <w:rFonts w:ascii="Arial" w:hAnsi="Arial" w:cs="Arial" w:hint="eastAsia"/>
        </w:rPr>
        <w:t>signature</w:t>
      </w:r>
      <w:r>
        <w:rPr>
          <w:rFonts w:ascii="Arial" w:hAnsi="Arial" w:cs="Arial"/>
        </w:rPr>
        <w:t xml:space="preserve"> of ~100 cancer cell lines that have been ex</w:t>
      </w:r>
      <w:r w:rsidR="0047519A">
        <w:rPr>
          <w:rFonts w:ascii="Arial" w:hAnsi="Arial" w:cs="Arial"/>
        </w:rPr>
        <w:t>pose</w:t>
      </w:r>
      <w:r w:rsidR="004E2BE3">
        <w:rPr>
          <w:rFonts w:ascii="Arial" w:hAnsi="Arial" w:cs="Arial"/>
        </w:rPr>
        <w:t>d ~20000 small molecules</w:t>
      </w:r>
      <w:r w:rsidR="004E2BE3">
        <w:rPr>
          <w:rStyle w:val="EndnoteReference"/>
          <w:rFonts w:ascii="Arial" w:hAnsi="Arial" w:cs="Arial"/>
        </w:rPr>
        <w:endnoteReference w:id="14"/>
      </w:r>
      <w:r w:rsidR="00B674FA" w:rsidRPr="00B674FA">
        <w:rPr>
          <w:rFonts w:ascii="Arial" w:hAnsi="Arial" w:cs="Arial"/>
          <w:vertAlign w:val="superscript"/>
        </w:rPr>
        <w:t>,</w:t>
      </w:r>
      <w:r w:rsidR="004E2BE3" w:rsidRPr="00B674FA">
        <w:rPr>
          <w:rStyle w:val="EndnoteReference"/>
          <w:rFonts w:ascii="Arial" w:hAnsi="Arial" w:cs="Arial"/>
        </w:rPr>
        <w:endnoteReference w:id="15"/>
      </w:r>
      <w:proofErr w:type="gramStart"/>
      <w:r w:rsidR="00B674FA" w:rsidRPr="00B674FA">
        <w:rPr>
          <w:rFonts w:ascii="Arial" w:hAnsi="Arial" w:cs="Arial"/>
          <w:vertAlign w:val="superscript"/>
        </w:rPr>
        <w:t>,</w:t>
      </w:r>
      <w:proofErr w:type="gramEnd"/>
      <w:r w:rsidR="004E2BE3">
        <w:rPr>
          <w:rStyle w:val="EndnoteReference"/>
          <w:rFonts w:ascii="Arial" w:hAnsi="Arial" w:cs="Arial"/>
        </w:rPr>
        <w:endnoteReference w:id="16"/>
      </w:r>
      <w:r w:rsidR="001340AE">
        <w:rPr>
          <w:rFonts w:ascii="Arial" w:hAnsi="Arial" w:cs="Arial"/>
        </w:rPr>
        <w:t xml:space="preserve"> (Table 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291"/>
        <w:gridCol w:w="2438"/>
        <w:gridCol w:w="2139"/>
      </w:tblGrid>
      <w:tr w:rsidR="008D07BE" w:rsidRPr="00AF29F8" w:rsidTr="008D07BE">
        <w:tc>
          <w:tcPr>
            <w:tcW w:w="2482" w:type="dxa"/>
            <w:shd w:val="clear" w:color="auto" w:fill="D9D9D9" w:themeFill="background1" w:themeFillShade="D9"/>
            <w:vAlign w:val="center"/>
          </w:tcPr>
          <w:p w:rsidR="008D07BE" w:rsidRPr="00AF29F8" w:rsidRDefault="008D07BE" w:rsidP="009E2D0E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AF29F8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:rsidR="008D07BE" w:rsidRPr="00AF29F8" w:rsidRDefault="008D07BE" w:rsidP="009E2D0E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AF29F8">
              <w:rPr>
                <w:rFonts w:ascii="Arial" w:hAnsi="Arial" w:cs="Arial"/>
                <w:b/>
                <w:sz w:val="20"/>
                <w:szCs w:val="20"/>
              </w:rPr>
              <w:t># of cell lines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8D07BE" w:rsidRPr="00AF29F8" w:rsidRDefault="008D07BE" w:rsidP="009E2D0E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AF29F8">
              <w:rPr>
                <w:rFonts w:ascii="Arial" w:hAnsi="Arial" w:cs="Arial"/>
                <w:b/>
                <w:sz w:val="20"/>
                <w:szCs w:val="20"/>
              </w:rPr>
              <w:t># of features</w:t>
            </w:r>
          </w:p>
        </w:tc>
        <w:tc>
          <w:tcPr>
            <w:tcW w:w="2139" w:type="dxa"/>
            <w:shd w:val="clear" w:color="auto" w:fill="D9D9D9" w:themeFill="background1" w:themeFillShade="D9"/>
          </w:tcPr>
          <w:p w:rsidR="008D07BE" w:rsidRPr="00AF29F8" w:rsidRDefault="008D07BE" w:rsidP="009E2D0E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Mutation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D5ED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631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 1,000,000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Gene expression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D5ED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16,383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lastRenderedPageBreak/>
              <w:t>Copy number variation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D5ED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627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16,383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Protein array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899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miRNA expression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954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734</w:t>
            </w:r>
          </w:p>
        </w:tc>
        <w:tc>
          <w:tcPr>
            <w:tcW w:w="2139" w:type="dxa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E2D0E">
              <w:rPr>
                <w:rFonts w:ascii="Arial" w:hAnsi="Arial" w:cs="Arial"/>
                <w:sz w:val="20"/>
                <w:szCs w:val="20"/>
              </w:rPr>
              <w:t>DNA methylation</w:t>
            </w:r>
          </w:p>
        </w:tc>
        <w:tc>
          <w:tcPr>
            <w:tcW w:w="2291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843</w:t>
            </w:r>
          </w:p>
        </w:tc>
        <w:tc>
          <w:tcPr>
            <w:tcW w:w="2438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81,037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CCLE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RNAi</w:t>
            </w:r>
          </w:p>
        </w:tc>
        <w:tc>
          <w:tcPr>
            <w:tcW w:w="2291" w:type="dxa"/>
            <w:vAlign w:val="center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712</w:t>
            </w:r>
          </w:p>
        </w:tc>
        <w:tc>
          <w:tcPr>
            <w:tcW w:w="2438" w:type="dxa"/>
            <w:vAlign w:val="center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2D5ED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2139" w:type="dxa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D07BE">
              <w:rPr>
                <w:rFonts w:ascii="Arial" w:hAnsi="Arial" w:cs="Arial"/>
                <w:sz w:val="20"/>
                <w:szCs w:val="20"/>
              </w:rPr>
              <w:t>DEMETER2</w:t>
            </w:r>
          </w:p>
        </w:tc>
      </w:tr>
      <w:tr w:rsidR="008D07BE" w:rsidRPr="009E2D0E" w:rsidTr="008D07BE">
        <w:tc>
          <w:tcPr>
            <w:tcW w:w="2482" w:type="dxa"/>
            <w:vAlign w:val="center"/>
          </w:tcPr>
          <w:p w:rsidR="008D07BE" w:rsidRPr="009E2D0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CRISPRi</w:t>
            </w:r>
            <w:proofErr w:type="spellEnd"/>
          </w:p>
        </w:tc>
        <w:tc>
          <w:tcPr>
            <w:tcW w:w="2291" w:type="dxa"/>
            <w:vAlign w:val="center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558</w:t>
            </w:r>
          </w:p>
        </w:tc>
        <w:tc>
          <w:tcPr>
            <w:tcW w:w="2438" w:type="dxa"/>
            <w:vAlign w:val="center"/>
          </w:tcPr>
          <w:p w:rsidR="008D07BE" w:rsidRDefault="008D07BE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2D5ED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2139" w:type="dxa"/>
          </w:tcPr>
          <w:p w:rsidR="008D07BE" w:rsidRDefault="008D07BE" w:rsidP="008D07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D07BE">
              <w:rPr>
                <w:rFonts w:ascii="Arial" w:hAnsi="Arial" w:cs="Arial"/>
                <w:sz w:val="20"/>
                <w:szCs w:val="20"/>
              </w:rPr>
              <w:t>Achilles</w:t>
            </w:r>
          </w:p>
        </w:tc>
      </w:tr>
      <w:tr w:rsidR="00267CBA" w:rsidRPr="009E2D0E" w:rsidTr="008D07BE">
        <w:tc>
          <w:tcPr>
            <w:tcW w:w="2482" w:type="dxa"/>
            <w:vAlign w:val="center"/>
          </w:tcPr>
          <w:p w:rsidR="00267CBA" w:rsidRDefault="00267CBA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Metabolism</w:t>
            </w:r>
          </w:p>
        </w:tc>
        <w:tc>
          <w:tcPr>
            <w:tcW w:w="2291" w:type="dxa"/>
            <w:vAlign w:val="center"/>
          </w:tcPr>
          <w:p w:rsidR="00267CBA" w:rsidRDefault="00267CBA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</w:t>
            </w:r>
          </w:p>
        </w:tc>
        <w:tc>
          <w:tcPr>
            <w:tcW w:w="2438" w:type="dxa"/>
            <w:vAlign w:val="center"/>
          </w:tcPr>
          <w:p w:rsidR="00267CBA" w:rsidRDefault="00267CBA" w:rsidP="009E2D0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2139" w:type="dxa"/>
          </w:tcPr>
          <w:p w:rsidR="00267CBA" w:rsidRPr="008D07BE" w:rsidRDefault="00275A2C" w:rsidP="008D07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CCLE</w:t>
            </w:r>
            <w:bookmarkStart w:id="0" w:name="_GoBack"/>
            <w:bookmarkEnd w:id="0"/>
          </w:p>
        </w:tc>
      </w:tr>
    </w:tbl>
    <w:p w:rsidR="00AF29F8" w:rsidRDefault="00887750" w:rsidP="00BC7B78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Table 1. Genomic d</w:t>
      </w:r>
      <w:r w:rsidR="00AF29F8">
        <w:rPr>
          <w:rFonts w:ascii="Arial" w:hAnsi="Arial" w:cs="Arial"/>
          <w:sz w:val="20"/>
        </w:rPr>
        <w:t>ata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700"/>
        <w:gridCol w:w="2695"/>
      </w:tblGrid>
      <w:tr w:rsidR="00150F56" w:rsidRPr="00150F56" w:rsidTr="00150F56"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150F56" w:rsidRPr="00150F56" w:rsidRDefault="00150F56" w:rsidP="00150F5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150F56">
              <w:rPr>
                <w:rFonts w:ascii="Arial" w:hAnsi="Arial" w:cs="Arial"/>
                <w:b/>
                <w:sz w:val="20"/>
              </w:rPr>
              <w:t>Source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150F56" w:rsidRPr="00150F56" w:rsidRDefault="00150F56" w:rsidP="00150F5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150F56">
              <w:rPr>
                <w:rFonts w:ascii="Arial" w:hAnsi="Arial" w:cs="Arial"/>
                <w:b/>
                <w:sz w:val="20"/>
              </w:rPr>
              <w:t># of cell lines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150F56" w:rsidRPr="00150F56" w:rsidRDefault="00150F56" w:rsidP="00150F5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150F56">
              <w:rPr>
                <w:rFonts w:ascii="Arial" w:hAnsi="Arial" w:cs="Arial"/>
                <w:b/>
                <w:sz w:val="20"/>
              </w:rPr>
              <w:t># of drugs/chemicals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150F56" w:rsidRPr="00150F56" w:rsidRDefault="00150F56" w:rsidP="00150F56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# of response experiment</w:t>
            </w:r>
          </w:p>
        </w:tc>
      </w:tr>
      <w:tr w:rsidR="00D91F25" w:rsidTr="00150F56">
        <w:tc>
          <w:tcPr>
            <w:tcW w:w="1615" w:type="dxa"/>
            <w:vAlign w:val="center"/>
          </w:tcPr>
          <w:p w:rsidR="00D91F25" w:rsidRDefault="00D91F25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CCLE</w:t>
            </w:r>
          </w:p>
        </w:tc>
        <w:tc>
          <w:tcPr>
            <w:tcW w:w="2340" w:type="dxa"/>
            <w:vAlign w:val="center"/>
          </w:tcPr>
          <w:p w:rsidR="00D91F25" w:rsidRDefault="00CF4332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507</w:t>
            </w:r>
          </w:p>
        </w:tc>
        <w:tc>
          <w:tcPr>
            <w:tcW w:w="2700" w:type="dxa"/>
            <w:vAlign w:val="center"/>
          </w:tcPr>
          <w:p w:rsidR="00D91F25" w:rsidRDefault="00CF4332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695" w:type="dxa"/>
          </w:tcPr>
          <w:p w:rsidR="00D91F25" w:rsidRPr="00150F56" w:rsidRDefault="00CF4332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11,670</w:t>
            </w:r>
          </w:p>
        </w:tc>
      </w:tr>
      <w:tr w:rsidR="00150F56" w:rsidTr="00150F56">
        <w:tc>
          <w:tcPr>
            <w:tcW w:w="1615" w:type="dxa"/>
            <w:vAlign w:val="center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GDSC</w:t>
            </w:r>
          </w:p>
        </w:tc>
        <w:tc>
          <w:tcPr>
            <w:tcW w:w="2340" w:type="dxa"/>
            <w:vAlign w:val="center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8E40EB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>065</w:t>
            </w:r>
          </w:p>
        </w:tc>
        <w:tc>
          <w:tcPr>
            <w:tcW w:w="2700" w:type="dxa"/>
            <w:vAlign w:val="center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251</w:t>
            </w:r>
          </w:p>
        </w:tc>
        <w:tc>
          <w:tcPr>
            <w:tcW w:w="2695" w:type="dxa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50F56">
              <w:rPr>
                <w:rFonts w:ascii="Arial" w:hAnsi="Arial" w:cs="Arial"/>
                <w:sz w:val="20"/>
              </w:rPr>
              <w:t>224</w:t>
            </w:r>
            <w:r w:rsidR="000A2B5A">
              <w:rPr>
                <w:rFonts w:ascii="Arial" w:hAnsi="Arial" w:cs="Arial"/>
                <w:sz w:val="20"/>
              </w:rPr>
              <w:t>,</w:t>
            </w:r>
            <w:r w:rsidRPr="00150F56">
              <w:rPr>
                <w:rFonts w:ascii="Arial" w:hAnsi="Arial" w:cs="Arial"/>
                <w:sz w:val="20"/>
              </w:rPr>
              <w:t>202</w:t>
            </w:r>
          </w:p>
        </w:tc>
      </w:tr>
      <w:tr w:rsidR="00150F56" w:rsidTr="00150F56">
        <w:tc>
          <w:tcPr>
            <w:tcW w:w="1615" w:type="dxa"/>
            <w:vAlign w:val="center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CTRP</w:t>
            </w:r>
          </w:p>
        </w:tc>
        <w:tc>
          <w:tcPr>
            <w:tcW w:w="2340" w:type="dxa"/>
            <w:vAlign w:val="center"/>
          </w:tcPr>
          <w:p w:rsidR="00150F56" w:rsidRDefault="000A2B5A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8E40EB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>107</w:t>
            </w:r>
          </w:p>
        </w:tc>
        <w:tc>
          <w:tcPr>
            <w:tcW w:w="2700" w:type="dxa"/>
            <w:vAlign w:val="center"/>
          </w:tcPr>
          <w:p w:rsidR="00150F56" w:rsidRDefault="000A2B5A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2695" w:type="dxa"/>
          </w:tcPr>
          <w:p w:rsidR="00150F56" w:rsidRDefault="004B7398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B7398">
              <w:rPr>
                <w:rFonts w:ascii="Arial" w:hAnsi="Arial" w:cs="Arial"/>
                <w:sz w:val="20"/>
              </w:rPr>
              <w:t>386</w:t>
            </w:r>
            <w:r>
              <w:rPr>
                <w:rFonts w:ascii="Arial" w:hAnsi="Arial" w:cs="Arial"/>
                <w:sz w:val="20"/>
              </w:rPr>
              <w:t>,</w:t>
            </w:r>
            <w:r w:rsidRPr="004B7398">
              <w:rPr>
                <w:rFonts w:ascii="Arial" w:hAnsi="Arial" w:cs="Arial"/>
                <w:sz w:val="20"/>
              </w:rPr>
              <w:t>547</w:t>
            </w:r>
          </w:p>
        </w:tc>
      </w:tr>
      <w:tr w:rsidR="00150F56" w:rsidTr="00150F56">
        <w:tc>
          <w:tcPr>
            <w:tcW w:w="1615" w:type="dxa"/>
            <w:vAlign w:val="center"/>
          </w:tcPr>
          <w:p w:rsidR="00150F56" w:rsidRDefault="00150F56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UTSW</w:t>
            </w:r>
          </w:p>
        </w:tc>
        <w:tc>
          <w:tcPr>
            <w:tcW w:w="2340" w:type="dxa"/>
            <w:vAlign w:val="center"/>
          </w:tcPr>
          <w:p w:rsidR="00150F56" w:rsidRDefault="000A2B5A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2700" w:type="dxa"/>
            <w:vAlign w:val="center"/>
          </w:tcPr>
          <w:p w:rsidR="00150F56" w:rsidRDefault="000A2B5A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222</w:t>
            </w:r>
          </w:p>
        </w:tc>
        <w:tc>
          <w:tcPr>
            <w:tcW w:w="2695" w:type="dxa"/>
          </w:tcPr>
          <w:p w:rsidR="00150F56" w:rsidRDefault="000A2B5A" w:rsidP="00150F5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22,200</w:t>
            </w:r>
          </w:p>
        </w:tc>
      </w:tr>
    </w:tbl>
    <w:p w:rsidR="00150F56" w:rsidRDefault="00150F56" w:rsidP="00BC7B78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Table 2. Drug and chemical perturbation data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2520"/>
        <w:gridCol w:w="2875"/>
      </w:tblGrid>
      <w:tr w:rsidR="004B7398" w:rsidRPr="004B7398" w:rsidTr="0046675E">
        <w:tc>
          <w:tcPr>
            <w:tcW w:w="1705" w:type="dxa"/>
            <w:shd w:val="clear" w:color="auto" w:fill="D9D9D9" w:themeFill="background1" w:themeFillShade="D9"/>
          </w:tcPr>
          <w:p w:rsidR="004B7398" w:rsidRP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4B7398">
              <w:rPr>
                <w:rFonts w:ascii="Arial" w:hAnsi="Arial" w:cs="Arial"/>
                <w:b/>
                <w:sz w:val="20"/>
              </w:rPr>
              <w:t>Source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4B7398" w:rsidRP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4B7398">
              <w:rPr>
                <w:rFonts w:ascii="Arial" w:hAnsi="Arial" w:cs="Arial"/>
                <w:b/>
                <w:sz w:val="20"/>
              </w:rPr>
              <w:t># of unique drugs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B7398" w:rsidRP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4B7398">
              <w:rPr>
                <w:rFonts w:ascii="Arial" w:hAnsi="Arial" w:cs="Arial"/>
                <w:b/>
                <w:sz w:val="20"/>
              </w:rPr>
              <w:t># of unique drug pairs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4B7398" w:rsidRP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4B7398">
              <w:rPr>
                <w:rFonts w:ascii="Arial" w:hAnsi="Arial" w:cs="Arial"/>
                <w:b/>
                <w:sz w:val="20"/>
              </w:rPr>
              <w:t># of response experiments</w:t>
            </w:r>
          </w:p>
        </w:tc>
      </w:tr>
      <w:tr w:rsidR="00DD7F5B" w:rsidTr="004B7398">
        <w:tc>
          <w:tcPr>
            <w:tcW w:w="1705" w:type="dxa"/>
          </w:tcPr>
          <w:p w:rsidR="00DD7F5B" w:rsidRDefault="00DD7F5B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DREAM-7</w:t>
            </w:r>
          </w:p>
        </w:tc>
        <w:tc>
          <w:tcPr>
            <w:tcW w:w="2250" w:type="dxa"/>
          </w:tcPr>
          <w:p w:rsidR="00DD7F5B" w:rsidRDefault="00DD7F5B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20" w:type="dxa"/>
          </w:tcPr>
          <w:p w:rsidR="00DD7F5B" w:rsidRDefault="00DD7F5B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</w:t>
            </w:r>
          </w:p>
        </w:tc>
        <w:tc>
          <w:tcPr>
            <w:tcW w:w="2875" w:type="dxa"/>
          </w:tcPr>
          <w:p w:rsidR="00DD7F5B" w:rsidRDefault="00DD7F5B" w:rsidP="00DD7F5B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</w:t>
            </w:r>
          </w:p>
        </w:tc>
      </w:tr>
      <w:tr w:rsidR="004B7398" w:rsidTr="004B7398">
        <w:tc>
          <w:tcPr>
            <w:tcW w:w="1705" w:type="dxa"/>
          </w:tcPr>
          <w:p w:rsid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DREAM-9</w:t>
            </w:r>
          </w:p>
        </w:tc>
        <w:tc>
          <w:tcPr>
            <w:tcW w:w="2250" w:type="dxa"/>
          </w:tcPr>
          <w:p w:rsidR="004B7398" w:rsidRDefault="00DD7F5B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</w:t>
            </w:r>
          </w:p>
        </w:tc>
        <w:tc>
          <w:tcPr>
            <w:tcW w:w="2520" w:type="dxa"/>
          </w:tcPr>
          <w:p w:rsidR="004B7398" w:rsidRDefault="00DD7F5B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</w:t>
            </w:r>
          </w:p>
        </w:tc>
        <w:tc>
          <w:tcPr>
            <w:tcW w:w="2875" w:type="dxa"/>
          </w:tcPr>
          <w:p w:rsidR="004B7398" w:rsidRDefault="00DD7F5B" w:rsidP="00DD7F5B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2,199</w:t>
            </w:r>
          </w:p>
        </w:tc>
      </w:tr>
      <w:tr w:rsidR="004B7398" w:rsidTr="004B7398">
        <w:tc>
          <w:tcPr>
            <w:tcW w:w="1705" w:type="dxa"/>
          </w:tcPr>
          <w:p w:rsidR="004B7398" w:rsidRDefault="004B7398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ALMANAC</w:t>
            </w:r>
          </w:p>
        </w:tc>
        <w:tc>
          <w:tcPr>
            <w:tcW w:w="2250" w:type="dxa"/>
          </w:tcPr>
          <w:p w:rsidR="004B7398" w:rsidRDefault="0046675E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2520" w:type="dxa"/>
          </w:tcPr>
          <w:p w:rsidR="004B7398" w:rsidRDefault="0046675E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8E40EB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>254</w:t>
            </w:r>
          </w:p>
        </w:tc>
        <w:tc>
          <w:tcPr>
            <w:tcW w:w="2875" w:type="dxa"/>
          </w:tcPr>
          <w:p w:rsidR="004B7398" w:rsidRDefault="0046675E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46675E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,</w:t>
            </w:r>
            <w:r w:rsidRPr="0046675E">
              <w:rPr>
                <w:rFonts w:ascii="Arial" w:hAnsi="Arial" w:cs="Arial"/>
                <w:sz w:val="20"/>
              </w:rPr>
              <w:t>815</w:t>
            </w:r>
            <w:r>
              <w:rPr>
                <w:rFonts w:ascii="Arial" w:hAnsi="Arial" w:cs="Arial"/>
                <w:sz w:val="20"/>
              </w:rPr>
              <w:t>,</w:t>
            </w:r>
            <w:r w:rsidRPr="0046675E">
              <w:rPr>
                <w:rFonts w:ascii="Arial" w:hAnsi="Arial" w:cs="Arial"/>
                <w:sz w:val="20"/>
              </w:rPr>
              <w:t>653</w:t>
            </w:r>
          </w:p>
        </w:tc>
      </w:tr>
      <w:tr w:rsidR="004B7398" w:rsidTr="004B7398">
        <w:tc>
          <w:tcPr>
            <w:tcW w:w="1705" w:type="dxa"/>
          </w:tcPr>
          <w:p w:rsidR="004B7398" w:rsidRDefault="007E1168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O’</w:t>
            </w:r>
            <w:r w:rsidR="004B7398">
              <w:rPr>
                <w:rFonts w:ascii="Arial" w:hAnsi="Arial" w:cs="Arial"/>
                <w:sz w:val="20"/>
              </w:rPr>
              <w:t>Neil et al.</w:t>
            </w:r>
          </w:p>
        </w:tc>
        <w:tc>
          <w:tcPr>
            <w:tcW w:w="2250" w:type="dxa"/>
          </w:tcPr>
          <w:p w:rsidR="004B7398" w:rsidRDefault="00D80445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520" w:type="dxa"/>
          </w:tcPr>
          <w:p w:rsidR="004B7398" w:rsidRDefault="00D80445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583</w:t>
            </w:r>
          </w:p>
        </w:tc>
        <w:tc>
          <w:tcPr>
            <w:tcW w:w="2875" w:type="dxa"/>
          </w:tcPr>
          <w:p w:rsidR="004B7398" w:rsidRDefault="007E1168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368,832</w:t>
            </w:r>
          </w:p>
        </w:tc>
      </w:tr>
      <w:tr w:rsidR="00BD5AB2" w:rsidTr="004B7398">
        <w:tc>
          <w:tcPr>
            <w:tcW w:w="1705" w:type="dxa"/>
          </w:tcPr>
          <w:p w:rsidR="00BD5AB2" w:rsidRDefault="00BD5AB2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UTSW</w:t>
            </w:r>
          </w:p>
        </w:tc>
        <w:tc>
          <w:tcPr>
            <w:tcW w:w="2250" w:type="dxa"/>
          </w:tcPr>
          <w:p w:rsidR="00BD5AB2" w:rsidRDefault="00BD5AB2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520" w:type="dxa"/>
          </w:tcPr>
          <w:p w:rsidR="00BD5AB2" w:rsidRDefault="00BD5AB2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</w:t>
            </w:r>
          </w:p>
        </w:tc>
        <w:tc>
          <w:tcPr>
            <w:tcW w:w="2875" w:type="dxa"/>
          </w:tcPr>
          <w:p w:rsidR="00BD5AB2" w:rsidRDefault="00BD5AB2" w:rsidP="004B739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</w:t>
            </w:r>
          </w:p>
        </w:tc>
      </w:tr>
    </w:tbl>
    <w:p w:rsidR="004B7398" w:rsidRDefault="004B7398" w:rsidP="00BC7B78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3. </w:t>
      </w:r>
      <w:proofErr w:type="gramStart"/>
      <w:r>
        <w:rPr>
          <w:rFonts w:ascii="Arial" w:hAnsi="Arial" w:cs="Arial"/>
          <w:sz w:val="20"/>
        </w:rPr>
        <w:t>Drug combination data summary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F25" w:rsidRPr="00D91F25" w:rsidTr="00D91F25">
        <w:tc>
          <w:tcPr>
            <w:tcW w:w="3116" w:type="dxa"/>
            <w:shd w:val="clear" w:color="auto" w:fill="D9D9D9" w:themeFill="background1" w:themeFillShade="D9"/>
          </w:tcPr>
          <w:p w:rsidR="00D91F25" w:rsidRP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D91F25">
              <w:rPr>
                <w:rFonts w:ascii="Arial" w:hAnsi="Arial" w:cs="Arial"/>
                <w:b/>
                <w:sz w:val="20"/>
              </w:rPr>
              <w:t>Source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91F25" w:rsidRP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D91F25">
              <w:rPr>
                <w:rFonts w:ascii="Arial" w:hAnsi="Arial" w:cs="Arial"/>
                <w:b/>
                <w:sz w:val="20"/>
              </w:rPr>
              <w:t># of cell lines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91F25" w:rsidRP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D91F25">
              <w:rPr>
                <w:rFonts w:ascii="Arial" w:hAnsi="Arial" w:cs="Arial"/>
                <w:b/>
                <w:sz w:val="20"/>
              </w:rPr>
              <w:t># of perturbation</w:t>
            </w:r>
          </w:p>
        </w:tc>
      </w:tr>
      <w:tr w:rsidR="00D91F25" w:rsidTr="00D91F25">
        <w:tc>
          <w:tcPr>
            <w:tcW w:w="3116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DREAM-7</w:t>
            </w:r>
          </w:p>
        </w:tc>
        <w:tc>
          <w:tcPr>
            <w:tcW w:w="3117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17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D91F25" w:rsidTr="00D91F25">
        <w:tc>
          <w:tcPr>
            <w:tcW w:w="3116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UTSW</w:t>
            </w:r>
          </w:p>
        </w:tc>
        <w:tc>
          <w:tcPr>
            <w:tcW w:w="3117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17" w:type="dxa"/>
          </w:tcPr>
          <w:p w:rsidR="00D91F25" w:rsidRDefault="00D91F25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</w:tr>
      <w:tr w:rsidR="00D91F25" w:rsidTr="00D91F25">
        <w:tc>
          <w:tcPr>
            <w:tcW w:w="3116" w:type="dxa"/>
          </w:tcPr>
          <w:p w:rsidR="00D91F25" w:rsidRDefault="009535CF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9535CF">
              <w:rPr>
                <w:rFonts w:ascii="Arial" w:hAnsi="Arial" w:cs="Arial"/>
                <w:sz w:val="20"/>
              </w:rPr>
              <w:t>LINCS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proofErr w:type="spellStart"/>
            <w:r w:rsidR="00D91F25">
              <w:rPr>
                <w:rFonts w:ascii="Arial" w:hAnsi="Arial" w:cs="Arial"/>
                <w:sz w:val="20"/>
              </w:rPr>
              <w:t>CMap</w:t>
            </w:r>
            <w:proofErr w:type="spellEnd"/>
          </w:p>
        </w:tc>
        <w:tc>
          <w:tcPr>
            <w:tcW w:w="3117" w:type="dxa"/>
          </w:tcPr>
          <w:p w:rsidR="00D91F25" w:rsidRDefault="0017309A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</w:t>
            </w:r>
          </w:p>
        </w:tc>
        <w:tc>
          <w:tcPr>
            <w:tcW w:w="3117" w:type="dxa"/>
          </w:tcPr>
          <w:p w:rsidR="00D91F25" w:rsidRDefault="0017309A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19811</w:t>
            </w:r>
          </w:p>
        </w:tc>
      </w:tr>
      <w:tr w:rsidR="00155BE8" w:rsidTr="00D91F25">
        <w:tc>
          <w:tcPr>
            <w:tcW w:w="3116" w:type="dxa"/>
          </w:tcPr>
          <w:p w:rsidR="00155BE8" w:rsidRDefault="009535CF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9535CF">
              <w:rPr>
                <w:rFonts w:ascii="Arial" w:hAnsi="Arial" w:cs="Arial"/>
                <w:sz w:val="20"/>
              </w:rPr>
              <w:t xml:space="preserve">LINCS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="00155BE8" w:rsidRPr="00155BE8">
              <w:rPr>
                <w:rFonts w:ascii="Arial" w:hAnsi="Arial" w:cs="Arial"/>
                <w:sz w:val="20"/>
              </w:rPr>
              <w:t>L1000FWD</w:t>
            </w:r>
          </w:p>
        </w:tc>
        <w:tc>
          <w:tcPr>
            <w:tcW w:w="3117" w:type="dxa"/>
          </w:tcPr>
          <w:p w:rsidR="00155BE8" w:rsidRDefault="00155BE8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</w:t>
            </w:r>
          </w:p>
        </w:tc>
        <w:tc>
          <w:tcPr>
            <w:tcW w:w="3117" w:type="dxa"/>
          </w:tcPr>
          <w:p w:rsidR="00155BE8" w:rsidRDefault="00155BE8" w:rsidP="00D91F2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20449</w:t>
            </w:r>
          </w:p>
        </w:tc>
      </w:tr>
    </w:tbl>
    <w:p w:rsidR="00D91F25" w:rsidRPr="00AF29F8" w:rsidRDefault="00D91F25" w:rsidP="00BC7B78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4. </w:t>
      </w:r>
      <w:proofErr w:type="spellStart"/>
      <w:r w:rsidR="007D3BC3">
        <w:rPr>
          <w:rFonts w:ascii="Arial" w:hAnsi="Arial" w:cs="Arial"/>
          <w:sz w:val="20"/>
        </w:rPr>
        <w:t>Pharmacogenomic</w:t>
      </w:r>
      <w:proofErr w:type="spellEnd"/>
      <w:r>
        <w:rPr>
          <w:rFonts w:ascii="Arial" w:hAnsi="Arial" w:cs="Arial"/>
          <w:sz w:val="20"/>
        </w:rPr>
        <w:t xml:space="preserve"> data</w:t>
      </w:r>
    </w:p>
    <w:p w:rsidR="00704DDF" w:rsidRPr="004E2BE3" w:rsidRDefault="0068157F" w:rsidP="004E2B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sectPr w:rsidR="00704DDF" w:rsidRPr="004E2BE3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FB" w:rsidRDefault="008311FB" w:rsidP="0061106D">
      <w:pPr>
        <w:spacing w:after="0" w:line="240" w:lineRule="auto"/>
      </w:pPr>
      <w:r>
        <w:separator/>
      </w:r>
    </w:p>
  </w:endnote>
  <w:endnote w:type="continuationSeparator" w:id="0">
    <w:p w:rsidR="008311FB" w:rsidRDefault="008311FB" w:rsidP="0061106D">
      <w:pPr>
        <w:spacing w:after="0" w:line="240" w:lineRule="auto"/>
      </w:pPr>
      <w:r>
        <w:continuationSeparator/>
      </w:r>
    </w:p>
  </w:endnote>
  <w:endnote w:id="1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</w:t>
      </w:r>
      <w:proofErr w:type="spellStart"/>
      <w:r w:rsidRPr="004E2BE3">
        <w:t>Barretina</w:t>
      </w:r>
      <w:proofErr w:type="spellEnd"/>
      <w:r w:rsidRPr="004E2BE3">
        <w:t>, Jordi, et al. "The Cancer Cell Line Encyclopedia enables predictive modelling of anticancer drug sensitivity." Nature 483.7391 (2012): 603.</w:t>
      </w:r>
    </w:p>
  </w:endnote>
  <w:endnote w:id="2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McFarland, James M., et al. "Improved estimation of cancer dependencies from large-scale RNAi screens using model-based normalization and data integration." Nature communications 9 (2018).</w:t>
      </w:r>
    </w:p>
  </w:endnote>
  <w:endnote w:id="3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</w:t>
      </w:r>
      <w:proofErr w:type="spellStart"/>
      <w:r w:rsidRPr="004E2BE3">
        <w:t>Doench</w:t>
      </w:r>
      <w:proofErr w:type="spellEnd"/>
      <w:r w:rsidRPr="004E2BE3">
        <w:t xml:space="preserve">, John G., et al. "Optimized </w:t>
      </w:r>
      <w:proofErr w:type="spellStart"/>
      <w:r w:rsidRPr="004E2BE3">
        <w:t>sgRNA</w:t>
      </w:r>
      <w:proofErr w:type="spellEnd"/>
      <w:r w:rsidRPr="004E2BE3">
        <w:t xml:space="preserve"> design to maximize activity and minimize off-target effects of CRISPR-Cas9." Nature biotechnology 34.2 (2016): 184.</w:t>
      </w:r>
    </w:p>
  </w:endnote>
  <w:endnote w:id="4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Meyers, Robin M., et al. "Computational correction of copy number effect improves specificity of CRISPR–Cas9 essentiality screens in cancer cells." Nature genetics 49.12 (2017): 1779.</w:t>
      </w:r>
    </w:p>
  </w:endnote>
  <w:endnote w:id="5">
    <w:p w:rsidR="00A52D67" w:rsidRDefault="00A52D67">
      <w:pPr>
        <w:pStyle w:val="EndnoteText"/>
      </w:pPr>
      <w:r w:rsidRPr="00A52D67">
        <w:rPr>
          <w:rStyle w:val="EndnoteReference"/>
          <w:vertAlign w:val="baseline"/>
        </w:rPr>
        <w:endnoteRef/>
      </w:r>
      <w:r>
        <w:t>.</w:t>
      </w:r>
      <w:r w:rsidRPr="00A52D67">
        <w:t xml:space="preserve"> Li, </w:t>
      </w:r>
      <w:proofErr w:type="spellStart"/>
      <w:r w:rsidRPr="00A52D67">
        <w:t>Haoxin</w:t>
      </w:r>
      <w:proofErr w:type="spellEnd"/>
      <w:r w:rsidRPr="00A52D67">
        <w:t>, et al. "The landscape of cancer cell line metabolism." Nature Medicine 25.5 (2019): 850.</w:t>
      </w:r>
    </w:p>
  </w:endnote>
  <w:endnote w:id="6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Yang, </w:t>
      </w:r>
      <w:proofErr w:type="spellStart"/>
      <w:r w:rsidRPr="004E2BE3">
        <w:t>Wanjuan</w:t>
      </w:r>
      <w:proofErr w:type="spellEnd"/>
      <w:r w:rsidRPr="004E2BE3">
        <w:t>, et al. "Genomics of Drug Sensitivity in Cancer (GDSC): a resource for therapeutic biomarker discovery in cancer cells." Nucleic acids research 41.D1 (2012): D955-D961.</w:t>
      </w:r>
    </w:p>
  </w:endnote>
  <w:endnote w:id="7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</w:t>
      </w:r>
      <w:proofErr w:type="spellStart"/>
      <w:r w:rsidRPr="004E2BE3">
        <w:t>Basu</w:t>
      </w:r>
      <w:proofErr w:type="spellEnd"/>
      <w:r w:rsidRPr="004E2BE3">
        <w:t>, Amrita, et al. "An interactive resource to identify cancer genetic and lineage dependencies targeted by small molecules." Cell 154.5 (2013): 1151-1161.</w:t>
      </w:r>
    </w:p>
  </w:endnote>
  <w:endnote w:id="8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Seashore-Ludlow, Brinton, et al. "Harnessing connectivity in a large-scale small-molecule sensitivity dataset." Cancer discovery 5.11 (2015): 1210-1223.</w:t>
      </w:r>
    </w:p>
  </w:endnote>
  <w:endnote w:id="9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McMillan, Elizabeth A., et al. "Chemistry-first approach for nomination of personalized treatment in lung cancer." Cell 173.4 (2018): 864-878.</w:t>
      </w:r>
    </w:p>
  </w:endnote>
  <w:endnote w:id="10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Bansal, </w:t>
      </w:r>
      <w:proofErr w:type="spellStart"/>
      <w:r w:rsidRPr="004E2BE3">
        <w:t>Mukesh</w:t>
      </w:r>
      <w:proofErr w:type="spellEnd"/>
      <w:r w:rsidRPr="004E2BE3">
        <w:t>, et al. "A community computational challenge to predict the activity of pairs of compounds." Nature biotechnology 32.12 (2014): 1213.</w:t>
      </w:r>
    </w:p>
  </w:endnote>
  <w:endnote w:id="11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Menden, Michael Patrick, et al. "A cancer </w:t>
      </w:r>
      <w:proofErr w:type="spellStart"/>
      <w:r w:rsidRPr="004E2BE3">
        <w:t>pharmacogenomic</w:t>
      </w:r>
      <w:proofErr w:type="spellEnd"/>
      <w:r w:rsidRPr="004E2BE3">
        <w:t xml:space="preserve"> screen powering crowd-sourced advancement of drug combination prediction." (2017).</w:t>
      </w:r>
    </w:p>
  </w:endnote>
  <w:endnote w:id="12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O'Neil, Jennifer, et al. "An unbiased oncology compound screen to identify novel combination strategies." Molecular cancer therapeutics 15.6 (2016): 1155-1162.</w:t>
      </w:r>
    </w:p>
  </w:endnote>
  <w:endnote w:id="13">
    <w:p w:rsidR="0061106D" w:rsidRPr="004E2BE3" w:rsidRDefault="0061106D">
      <w:pPr>
        <w:pStyle w:val="EndnoteText"/>
      </w:pPr>
      <w:r w:rsidRPr="004E2BE3">
        <w:rPr>
          <w:rStyle w:val="EndnoteReference"/>
          <w:vertAlign w:val="baseline"/>
        </w:rPr>
        <w:endnoteRef/>
      </w:r>
      <w:r w:rsidR="004E2BE3">
        <w:t>.</w:t>
      </w:r>
      <w:r w:rsidRPr="004E2BE3">
        <w:t xml:space="preserve"> </w:t>
      </w:r>
      <w:proofErr w:type="spellStart"/>
      <w:r w:rsidRPr="004E2BE3">
        <w:t>Holbeck</w:t>
      </w:r>
      <w:proofErr w:type="spellEnd"/>
      <w:r w:rsidRPr="004E2BE3">
        <w:t>, Susan L., et al. "The National Cancer Institute ALMANAC: A comprehensive screening resource for the detection of anticancer drug pairs with enhanced therapeutic activity." Cancer research 77.13 (2017): 3564-3576.</w:t>
      </w:r>
    </w:p>
  </w:endnote>
  <w:endnote w:id="14">
    <w:p w:rsidR="004E2BE3" w:rsidRPr="004E2BE3" w:rsidRDefault="004E2BE3">
      <w:pPr>
        <w:pStyle w:val="EndnoteText"/>
      </w:pPr>
      <w:r w:rsidRPr="004E2BE3">
        <w:rPr>
          <w:rStyle w:val="EndnoteReference"/>
          <w:vertAlign w:val="baseline"/>
        </w:rPr>
        <w:endnoteRef/>
      </w:r>
      <w:r>
        <w:t>.</w:t>
      </w:r>
      <w:r w:rsidRPr="004E2BE3">
        <w:t xml:space="preserve"> Lamb, Justin, et al. "The Connectivity Map: using gene-expression signatures to connect small molecules, genes, and disease." Science 313.5795 (2006): 1929-1935.</w:t>
      </w:r>
    </w:p>
  </w:endnote>
  <w:endnote w:id="15">
    <w:p w:rsidR="004E2BE3" w:rsidRPr="004E2BE3" w:rsidRDefault="004E2BE3">
      <w:pPr>
        <w:pStyle w:val="EndnoteText"/>
      </w:pPr>
      <w:r w:rsidRPr="004E2BE3">
        <w:rPr>
          <w:rStyle w:val="EndnoteReference"/>
          <w:vertAlign w:val="baseline"/>
        </w:rPr>
        <w:endnoteRef/>
      </w:r>
      <w:r>
        <w:t>.</w:t>
      </w:r>
      <w:r w:rsidRPr="004E2BE3">
        <w:t xml:space="preserve"> Subramanian, </w:t>
      </w:r>
      <w:proofErr w:type="spellStart"/>
      <w:r w:rsidRPr="004E2BE3">
        <w:t>Aravind</w:t>
      </w:r>
      <w:proofErr w:type="spellEnd"/>
      <w:r w:rsidRPr="004E2BE3">
        <w:t>, et al. "A next generation connectivity map: L1000 platform and the first 1,000,000 profiles." Cell 171.6 (2017): 1437-1452.</w:t>
      </w:r>
    </w:p>
  </w:endnote>
  <w:endnote w:id="16">
    <w:p w:rsidR="004E2BE3" w:rsidRPr="004E2BE3" w:rsidRDefault="004E2BE3">
      <w:pPr>
        <w:pStyle w:val="EndnoteText"/>
      </w:pPr>
      <w:r w:rsidRPr="004E2BE3">
        <w:rPr>
          <w:rStyle w:val="EndnoteReference"/>
          <w:vertAlign w:val="baseline"/>
        </w:rPr>
        <w:endnoteRef/>
      </w:r>
      <w:r>
        <w:t>.</w:t>
      </w:r>
      <w:r w:rsidRPr="004E2BE3">
        <w:t xml:space="preserve"> Wang, </w:t>
      </w:r>
      <w:proofErr w:type="spellStart"/>
      <w:r w:rsidRPr="004E2BE3">
        <w:t>Zichen</w:t>
      </w:r>
      <w:proofErr w:type="spellEnd"/>
      <w:r w:rsidRPr="004E2BE3">
        <w:t>, et al. "L1000FWD: fireworks visualization of drug-induced transcriptomic signatures." Bioinformatics 34.12 (2018): 2150-2152.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FB" w:rsidRDefault="008311FB" w:rsidP="0061106D">
      <w:pPr>
        <w:spacing w:after="0" w:line="240" w:lineRule="auto"/>
      </w:pPr>
      <w:r>
        <w:separator/>
      </w:r>
    </w:p>
  </w:footnote>
  <w:footnote w:type="continuationSeparator" w:id="0">
    <w:p w:rsidR="008311FB" w:rsidRDefault="008311FB" w:rsidP="00611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7275"/>
    <w:multiLevelType w:val="hybridMultilevel"/>
    <w:tmpl w:val="4CC0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54"/>
    <w:rsid w:val="00065F2C"/>
    <w:rsid w:val="00082A25"/>
    <w:rsid w:val="000A2B5A"/>
    <w:rsid w:val="000B3BFC"/>
    <w:rsid w:val="001246D9"/>
    <w:rsid w:val="001340AE"/>
    <w:rsid w:val="00150F56"/>
    <w:rsid w:val="00155BE8"/>
    <w:rsid w:val="0017309A"/>
    <w:rsid w:val="0019546D"/>
    <w:rsid w:val="00252FFB"/>
    <w:rsid w:val="00267CBA"/>
    <w:rsid w:val="00275A2C"/>
    <w:rsid w:val="002C13DA"/>
    <w:rsid w:val="002D5ED4"/>
    <w:rsid w:val="002E7DFB"/>
    <w:rsid w:val="00337E91"/>
    <w:rsid w:val="003C4144"/>
    <w:rsid w:val="003D7B7D"/>
    <w:rsid w:val="003E649F"/>
    <w:rsid w:val="00400275"/>
    <w:rsid w:val="0046675E"/>
    <w:rsid w:val="0047519A"/>
    <w:rsid w:val="00476954"/>
    <w:rsid w:val="004B7398"/>
    <w:rsid w:val="004E2BE3"/>
    <w:rsid w:val="00522189"/>
    <w:rsid w:val="005933A2"/>
    <w:rsid w:val="005C087A"/>
    <w:rsid w:val="0061106D"/>
    <w:rsid w:val="00643C04"/>
    <w:rsid w:val="00657ADB"/>
    <w:rsid w:val="0068157F"/>
    <w:rsid w:val="0069362F"/>
    <w:rsid w:val="00704DDF"/>
    <w:rsid w:val="00760F11"/>
    <w:rsid w:val="007A4B10"/>
    <w:rsid w:val="007D3BC3"/>
    <w:rsid w:val="007E1168"/>
    <w:rsid w:val="008311FB"/>
    <w:rsid w:val="00837DBD"/>
    <w:rsid w:val="00855259"/>
    <w:rsid w:val="00887750"/>
    <w:rsid w:val="008D07BE"/>
    <w:rsid w:val="008D2093"/>
    <w:rsid w:val="008E40EB"/>
    <w:rsid w:val="009030EA"/>
    <w:rsid w:val="009535CF"/>
    <w:rsid w:val="0097673F"/>
    <w:rsid w:val="009E2D0E"/>
    <w:rsid w:val="00A1152C"/>
    <w:rsid w:val="00A226F2"/>
    <w:rsid w:val="00A42889"/>
    <w:rsid w:val="00A52D67"/>
    <w:rsid w:val="00AF29F8"/>
    <w:rsid w:val="00B02FA3"/>
    <w:rsid w:val="00B674FA"/>
    <w:rsid w:val="00BC7B78"/>
    <w:rsid w:val="00BD5AB2"/>
    <w:rsid w:val="00C12DC5"/>
    <w:rsid w:val="00CA7E81"/>
    <w:rsid w:val="00CE1A4F"/>
    <w:rsid w:val="00CF4332"/>
    <w:rsid w:val="00CF585F"/>
    <w:rsid w:val="00D80445"/>
    <w:rsid w:val="00D91F25"/>
    <w:rsid w:val="00DC4C80"/>
    <w:rsid w:val="00DD7F5B"/>
    <w:rsid w:val="00E23F2E"/>
    <w:rsid w:val="00E410FB"/>
    <w:rsid w:val="00E94702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FD735-ABC5-4548-AE53-A4AA982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7F"/>
    <w:pPr>
      <w:ind w:left="720"/>
      <w:contextualSpacing/>
    </w:pPr>
  </w:style>
  <w:style w:type="table" w:styleId="TableGrid">
    <w:name w:val="Table Grid"/>
    <w:basedOn w:val="TableNormal"/>
    <w:uiPriority w:val="39"/>
    <w:rsid w:val="0012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110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10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9BD4-1708-4727-925C-BA19121D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48</cp:revision>
  <dcterms:created xsi:type="dcterms:W3CDTF">2019-05-10T14:38:00Z</dcterms:created>
  <dcterms:modified xsi:type="dcterms:W3CDTF">2019-05-15T15:23:00Z</dcterms:modified>
</cp:coreProperties>
</file>