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1"/>
        <w:pageBreakBefore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ТЕХНИКА БЕЗОПАСНОСТИ И ОХРАНА ТРУДА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условий труда техника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программиста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Рабочее место техника – программиста – это часть помещения, где он проводит большую часть рабочего времени. Совокупность показателей технических и программных средств определяет качество и производительность работы, наряду с габаритными показателями мебели и её удобством.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Помещение для работы представляет собой кабинет длиной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5 м,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шириной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высотой потолков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ВСТАВИТЬ СВОИ ПАРАМЕТРЫ ПОМЕЩЕНИЯ. ОНИ ДОЛЖНЫ СООТВЕТСТВОВАТЬ ТЕМ, ЧТО В ПУНКТЕ 4.2.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Согласно санитарным правилам монитор на столе нужно располагать на расстоянии 60 – 70 см от глаз пользователя, но не ближе 50 см с учетом размеров алфавитно-цифровых знаков и символов. При использовании жидкокристаллических дисплеев на каждый компьютер должно приходиться не менее 4,5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площади. На дисплей ПК не должен попадать прямой солнечный свет во избежание бликов и повышенной нагрузки на зрение.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снижения нагрузки на технические средства, влекущей за собой перегрев компьютера и ноутбука, используются программные средства, позволяющие снизить нагрузку на технические средства за счёт отказа в использование ненужных служб.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идентификации вредных производственных факторов было установлено, что опасными могут являться: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электромагнитные поля и излучения от технических средств;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статическое электричество;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статические перегрузки, вызываемые неподвижной работой за компьютером;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перенапряжение органов зрения.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целях выявления вредных и (или) опасных факторов производственной среды и трудового процесса,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оценке уровня их воздействия на работника с учетом отклонения их фактических значений от установленных уполномоченным Правительством Российской Федерации федеральным органом исполнительной власти гигиенических нормативов условий труда и применения средств индивидуальной и коллективной защиты работников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проводится специальная оценка условий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рабочих местах. Оценке подлежат все имеющиеся в организации рабочие места.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по специальной оценке условий труда заключается в исследовании следующих факторов на рабочих местах организации: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химические факторы;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физические факторы;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биологические факторы;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тяжесть и напряженность трудового процесса.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уменьшения нагрузки на органы зрения, а также снятия мышечного напряжения во время рабочего дня проводится проветривание в течении 10-15 минут каждые 3 часа.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Расчёт искусственного освещения в помещении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Через зрительный анализатор человек получает около 80% из общего объема информации. Качество поступающей, в основном, зависит от освещения в помещении. Если оно неудовлетворительное, это приводит к утомлению организма в целом. Кроме того, нерациональное освещение может явиться причиной травматизма: плохо освещенные опасные зоны, слепящие источники света и блики от них, резкие тени ухудшают видимость настолько, что вызывают полную потерю ориентировки работающих, снижают производительность труда и увеличивают брак продукции. Поэтому необходимо достаточное искусственное освещение для рабочего места.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 работы для расчета показателя освещенности рабочего места программиста являются: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помещение размером 20 квадратных метров;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высота помещения 2,50 метров, длина 5 метров, ширина 4 метра;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светильники с люминесцентными лампами /светодиодные в количестве одной штуки,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новые;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крупногабаритная мебель отсутствует.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1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Основным критерием, по которому определяется необходимое количество осветительных приборов, является нормируемый уровень освещенности.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1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Базовым методом проектирования осветительной установки является метод коэффициентов использования, позволяющий вручную проводить все вычислительные процедуры при решении относительно простых светотехнических задач.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этому методу необходимое количество светильников в осветительной установке определяется с помощью следующей формулы: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5" style="width:79.5pt;height:36pt" o:ole="" type="#_x0000_t75">
            <v:imagedata r:id="rId1" o:title=""/>
          </v:shape>
          <o:OLEObject DrawAspect="Content" r:id="rId2" ObjectID="_1761655745" ProgID="Equation.3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Для светодиодного светильника выражение </w:t>
      </w:r>
      <w:r w:rsidDel="00000000" w:rsidR="00000000" w:rsidRPr="00000000">
        <w:rPr>
          <w:color w:val="ff0000"/>
          <w:sz w:val="36.66666666666667"/>
          <w:szCs w:val="36.66666666666667"/>
          <w:vertAlign w:val="subscript"/>
        </w:rPr>
        <w:pict>
          <v:shape id="_x0000_i1026" style="width:28.5pt;height:14.25pt" o:ole="" type="#_x0000_t75">
            <v:imagedata r:id="rId3" o:title=""/>
          </v:shape>
          <o:OLEObject DrawAspect="Content" r:id="rId4" ObjectID="_1761655746" ProgID="Equation.3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заменяется на Фсв – световой поток светильника.</w:t>
      </w:r>
    </w:p>
    <w:p w:rsidR="00000000" w:rsidDel="00000000" w:rsidP="00000000" w:rsidRDefault="00000000" w:rsidRPr="00000000" w14:paraId="000000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Необходимое количество светильников в осветительной установке для светодиодного светильника определяется с помощью следующей формулы: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7" style="width:1in;height:36pt" o:ole="" type="#_x0000_t75">
            <v:imagedata r:id="rId5" o:title=""/>
          </v:shape>
          <o:OLEObject DrawAspect="Content" r:id="rId6" ObjectID="_1761655747" ProgID="Equation.3" ShapeID="_x0000_i102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N – количество светильников, шт;</w:t>
      </w:r>
    </w:p>
    <w:p w:rsidR="00000000" w:rsidDel="00000000" w:rsidP="00000000" w:rsidRDefault="00000000" w:rsidRPr="00000000" w14:paraId="00000023">
      <w:pPr>
        <w:spacing w:after="0" w:line="360" w:lineRule="auto"/>
        <w:ind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– нормируемая освещенность, лк, определяется по СП 52.13330.2016 «Естественное и искусственное освещение»;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(принять 300 лк)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– площадь помещения, 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after="0" w:line="360" w:lineRule="auto"/>
        <w:ind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коэффициент запаса;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(определяется по таблице 2, см. приложение)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firstLine="1134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 – коэффициент использования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(в таблицах коэффициентов приведен к 100, для расчета необходимо  разделить значение на 100), Из таблицы 1 выбираем коэффициент отражения и находим коэффициент использования (U) по таблицам для выбранных светильников);</w:t>
      </w:r>
    </w:p>
    <w:p w:rsidR="00000000" w:rsidDel="00000000" w:rsidP="00000000" w:rsidRDefault="00000000" w:rsidRPr="00000000" w14:paraId="00000027">
      <w:pPr>
        <w:spacing w:after="0" w:line="360" w:lineRule="auto"/>
        <w:ind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Фл – световой поток одной лампы в светильнике, лм;</w:t>
      </w:r>
    </w:p>
    <w:p w:rsidR="00000000" w:rsidDel="00000000" w:rsidP="00000000" w:rsidRDefault="00000000" w:rsidRPr="00000000" w14:paraId="00000028">
      <w:pPr>
        <w:spacing w:after="0" w:line="360" w:lineRule="auto"/>
        <w:ind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– количество ламп в светильнике</w:t>
      </w:r>
    </w:p>
    <w:p w:rsidR="00000000" w:rsidDel="00000000" w:rsidP="00000000" w:rsidRDefault="00000000" w:rsidRPr="00000000" w14:paraId="0000002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использования характеризует эффективность использования светового прибора в помещении. Для его определения необходимо знать индекс помещения φ и коэффициент отражения стен, пола и потолка.</w:t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Индекс помещения:</w:t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pict>
          <v:shape id="_x0000_i1028" style="width:108pt;height:36pt" o:ole="" type="#_x0000_t75">
            <v:imagedata r:id="rId7" o:title=""/>
          </v:shape>
          <o:OLEObject DrawAspect="Content" r:id="rId8" ObjectID="_1761655748" ProgID="Equation.3" ShapeID="_x0000_i10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9" style="width:11.25pt;height:12.75pt" o:ole="" type="#_x0000_t75">
            <v:imagedata r:id="rId9" o:title=""/>
          </v:shape>
          <o:OLEObject DrawAspect="Content" r:id="rId10" ObjectID="_1761655749" ProgID="Equation.3" ShapeID="_x0000_i1029" Type="Embed"/>
        </w:pic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индекс помещения;</w:t>
      </w:r>
    </w:p>
    <w:p w:rsidR="00000000" w:rsidDel="00000000" w:rsidP="00000000" w:rsidRDefault="00000000" w:rsidRPr="00000000" w14:paraId="0000002D">
      <w:pPr>
        <w:spacing w:after="0" w:line="360" w:lineRule="auto"/>
        <w:ind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– площадь помещения, 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after="0" w:line="360" w:lineRule="auto"/>
        <w:ind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высота подвеса светильников, м; </w:t>
      </w:r>
    </w:p>
    <w:p w:rsidR="00000000" w:rsidDel="00000000" w:rsidP="00000000" w:rsidRDefault="00000000" w:rsidRPr="00000000" w14:paraId="0000002F">
      <w:pPr>
        <w:spacing w:after="0" w:line="360" w:lineRule="auto"/>
        <w:ind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высота рабочей поверхности, м;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(принять 0,8 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– длина помещения, м;</w:t>
      </w:r>
    </w:p>
    <w:p w:rsidR="00000000" w:rsidDel="00000000" w:rsidP="00000000" w:rsidRDefault="00000000" w:rsidRPr="00000000" w14:paraId="00000031">
      <w:pPr>
        <w:spacing w:after="0" w:line="360" w:lineRule="auto"/>
        <w:ind w:firstLine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– ширина помещения, м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В ФОРМУЛЫ ПОДСТАВЛЯЕМ ДАННЫЕ СВОЕГО ПОМЕЩЕНИЯ.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Полученное количество светильников совпадает с числом светильников, установленных в помещении, что соответствует нормативным показателям искусственного освещения согласно СП 52.13330.2016 «Естественное и искусственное освещение».</w:t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Электробезопасность на предприятии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поступлении на работу сотрудник должен пройти инструктаж по технике безопасности и электробезопасности. Работника знакомят с основными правилами по технике безопасности, предлагают внимательно прочитать действующие на предприятии инструкции, поясняя при этом отдельные правила и требования.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Инструктаж по технике безопасности при выполнении конкретной работы проводит руководитель соответствующего производственного участка, показывая инструктируемому правильные безопасные приемы работы.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Повторный инструктаж проводится для рабочих независимо от их квалификации, стажа и опыта работы, не реже 1 раза в 6 месяцев по программе инструктажа на рабочем месте.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нарушении работающими правил и инструкций по технике безопасности, технологической и производственной дисциплины, а также в случаях изменения технологического процесса или вида работы проводят дополнительные инструктажи.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инструктажи оформляются записями в специальном журнале с указанием номеров или шифров инструкций. Журнал о проведении инструктажа хранится у руководителя подразделения.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 на рабочем месте должен соблюдать общие меры электробезопасности. При этом запрещается: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прикасаться к задней панели системного блока при включенном питании;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производить самостоятельно вскрытие и ремонт оборудования;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пользоваться неисправными электроприборами и электропроводкой;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ремонтировать электроприборы самостоятельно;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подвешивать электропровода на гвоздях, металлических и деревянных предметах, перекручивать провод, закладывать провод и шнуры на водопроводные трубы и батареи отопления, вешать что-либо на провода, вытягивать за шнур вилку из розетки;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прикасаться одновременно к персональному компьютеру и к устройствам, имеющим соединение с землей (радиаторы отопления, водопроводные краны, трубы и т.п.);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пользоваться самодельными электронагревательными приборами и электроприборами с открытой спиралью;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наступать на переносимые электрические провода, лежащие на полу.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работе с электроприборами и оргтехникой (персональные компьютеры, принтеры, сканеры, копировальные аппараты, факсы, бытовые электроприборы, приборы освещения):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Автоматические выключатели и электрические предохранители должны быть всегда исправны.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Изоляция электропроводки, электроприборов, выключателей, штепсельных розеток, ламповых патронов и светильников, а также шнуров, с помощью которых включаются в электросеть электроприборы, должны быть в исправном состоянии.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Электроприборы необходимо хранить в сухом месте, избегать резких колебаний температуры, вибрации, сотрясений.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подогрева воды пользоваться сертифицированными электроприборами с закрытой спиралью и устройством автоматического отключения, с применением несгораемых подставок.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Пожарная безопасность на предприятии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Инструктаж по пожарной безопасности проводится по программе, разработанной ответственным по охране труда организации, с учетом требований стандартов, правил, норм и инструкций о мерах пожарной безопасности. Продолжительность инструктажа устанавливается в соответствии с утвержденной программой. Инструктаж по пожарной безопасности, как правило, проводится совместно с инструктажем по технике безопасности и в те же сроки.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Инструктаж по пожарной безопасности проходят все работники организации, независимо от их образования, стажа работы по данной профессии или должности, временные работники, командированные, обучающиеся и студенты, прибывшие на практику.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проведении инструктажа по пожарной безопасности работник, проводивший инструктаж, делает запись в журнале учета проведения инструктажей по пожарной безопасности, с обязательной подписью инструктируемого и инструктирующего. При регистрации внепланового инструктажа по пожарной безопасности указывают причину его проведения.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работники организаций должны допускаться к работе только после прохождения противопожарного инструктажа, а при изменении специфики работы проходить дополнительное обучение предупреждению и тушению возможных пожаров в порядке, установленном руководителем.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проведение первичного противопожарного инструктажа необходимо отводить не менее 1 ч. Инструктируемые должны ознакомиться: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действующими на объекте правилами пожарной безопасности и инструкциями;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производственными участками, наиболее опасными в пожарном отношении, где запрещается курить, применять открытый огонь;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возможными причинами возникновения пожара и мерами его предупреждения;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практическими действиями в случае возникновения пожара - вызов пожарной помощи, использование первичных средств пожаротушения, место расположения ближайшего телефона и ознакомление с правилами поведения в случае возникновения пожара, эвакуации людей и материальных ценностей.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первичном инструктаже инструктирующий обязан рассказать о производственных установках с повышенной пожарной опасностью, мерах предотвращения пожаров и загораний, указать место курения, ознакомить вновь поступившего с имеющимися на объекте средствами пожаротушения, показать ближайший телефон и объяснить правила поведения в случае возникновения пожара.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Проведение противопожарного инструктажа в обязательном порядке должно сопровождаться практическим показом способов использования имеющихся на объекте средств пожаротушения (противогазы, респираторы, огнетушители и т.д.).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Соблюдение рассмотренных в данном разделе мероприятий позволяет снизить утомляемость и травматизм, повысить производительность труда, обеспечить комфортные условия трудовой деятельности.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38" w:w="11906" w:orient="portrait"/>
      <w:pgMar w:bottom="1134" w:top="1134" w:left="170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1" w:subsetted="0"/>
    <w:embedBold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"/>
      <w:lvlJc w:val="left"/>
      <w:pPr>
        <w:ind w:left="0" w:firstLine="709"/>
      </w:pPr>
      <w:rPr/>
    </w:lvl>
    <w:lvl w:ilvl="1">
      <w:start w:val="1"/>
      <w:numFmt w:val="decimal"/>
      <w:lvlText w:val="%1.%2"/>
      <w:lvlJc w:val="left"/>
      <w:pPr>
        <w:ind w:left="0" w:firstLine="709"/>
      </w:pPr>
      <w:rPr/>
    </w:lvl>
    <w:lvl w:ilvl="2">
      <w:start w:val="1"/>
      <w:numFmt w:val="decimal"/>
      <w:lvlText w:val="%1.%2.%3"/>
      <w:lvlJc w:val="left"/>
      <w:pPr>
        <w:ind w:left="0" w:firstLine="709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46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75F96"/>
    <w:pPr>
      <w:suppressAutoHyphens w:val="1"/>
      <w:spacing w:after="160" w:line="247" w:lineRule="auto"/>
      <w:textAlignment w:val="baseline"/>
    </w:pPr>
    <w:rPr>
      <w:rFonts w:ascii="Calibri" w:cs="Calibri" w:eastAsia="Arial Unicode MS" w:hAnsi="Calibr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1" w:customStyle="1">
    <w:name w:val="Заголовок 11"/>
    <w:qFormat w:val="1"/>
    <w:rsid w:val="00C75F96"/>
    <w:pPr>
      <w:keepNext w:val="1"/>
      <w:keepLines w:val="1"/>
      <w:pageBreakBefore w:val="1"/>
      <w:widowControl w:val="0"/>
      <w:numPr>
        <w:numId w:val="1"/>
      </w:numPr>
      <w:tabs>
        <w:tab w:val="left" w:pos="709"/>
      </w:tabs>
      <w:spacing w:after="240" w:before="480" w:line="240" w:lineRule="auto"/>
      <w:ind w:firstLine="0"/>
      <w:outlineLvl w:val="0"/>
    </w:pPr>
    <w:rPr>
      <w:rFonts w:ascii="Calibri" w:cs="Calibri" w:eastAsia="Arial Unicode MS" w:hAnsi="Calibri"/>
      <w:color w:val="000000"/>
      <w:szCs w:val="32"/>
    </w:rPr>
  </w:style>
  <w:style w:type="paragraph" w:styleId="21" w:customStyle="1">
    <w:name w:val="Заголовок 21"/>
    <w:qFormat w:val="1"/>
    <w:rsid w:val="00C75F96"/>
    <w:pPr>
      <w:keepNext w:val="1"/>
      <w:keepLines w:val="1"/>
      <w:widowControl w:val="0"/>
      <w:numPr>
        <w:ilvl w:val="1"/>
        <w:numId w:val="1"/>
      </w:numPr>
      <w:tabs>
        <w:tab w:val="left" w:pos="709"/>
      </w:tabs>
      <w:spacing w:after="240" w:before="480" w:line="240" w:lineRule="auto"/>
      <w:outlineLvl w:val="1"/>
    </w:pPr>
    <w:rPr>
      <w:rFonts w:ascii="Calibri" w:cs="Calibri" w:eastAsia="Arial Unicode MS" w:hAnsi="Calibri"/>
      <w:color w:val="000000"/>
      <w:szCs w:val="26"/>
    </w:rPr>
  </w:style>
  <w:style w:type="paragraph" w:styleId="31" w:customStyle="1">
    <w:name w:val="Заголовок 31"/>
    <w:basedOn w:val="21"/>
    <w:qFormat w:val="1"/>
    <w:rsid w:val="00C75F96"/>
    <w:pPr>
      <w:numPr>
        <w:ilvl w:val="2"/>
      </w:numPr>
      <w:ind w:firstLine="0"/>
      <w:outlineLvl w:val="2"/>
    </w:pPr>
    <w:rPr>
      <w:lang w:val="en-US"/>
    </w:rPr>
  </w:style>
  <w:style w:type="paragraph" w:styleId="41" w:customStyle="1">
    <w:name w:val="Заголовок 41"/>
    <w:basedOn w:val="31"/>
    <w:qFormat w:val="1"/>
    <w:rsid w:val="00C75F96"/>
    <w:pPr>
      <w:numPr>
        <w:ilvl w:val="3"/>
      </w:numPr>
      <w:tabs>
        <w:tab w:val="left" w:pos="794"/>
      </w:tabs>
      <w:ind w:left="0" w:firstLine="0"/>
      <w:outlineLvl w:val="3"/>
    </w:pPr>
  </w:style>
  <w:style w:type="character" w:styleId="a3">
    <w:name w:val="Emphasis"/>
    <w:basedOn w:val="a0"/>
    <w:qFormat w:val="1"/>
    <w:rsid w:val="00C75F96"/>
    <w:rPr>
      <w:i w:val="1"/>
      <w:iCs w:val="1"/>
    </w:rPr>
  </w:style>
  <w:style w:type="paragraph" w:styleId="Standard" w:customStyle="1">
    <w:name w:val="Standard"/>
    <w:qFormat w:val="1"/>
    <w:rsid w:val="00C75F96"/>
    <w:pPr>
      <w:suppressAutoHyphens w:val="1"/>
      <w:spacing w:after="0" w:line="360" w:lineRule="auto"/>
      <w:ind w:firstLine="709"/>
      <w:jc w:val="both"/>
    </w:pPr>
    <w:rPr>
      <w:rFonts w:ascii="Times New Roman" w:cs="Calibri" w:eastAsia="Arial Unicode MS" w:hAnsi="Times New Roman"/>
      <w:sz w:val="28"/>
    </w:rPr>
  </w:style>
  <w:style w:type="paragraph" w:styleId="Textbody" w:customStyle="1">
    <w:name w:val="Text body"/>
    <w:basedOn w:val="Standard"/>
    <w:qFormat w:val="1"/>
    <w:rsid w:val="00C75F96"/>
    <w:pPr>
      <w:spacing w:after="120"/>
    </w:pPr>
  </w:style>
  <w:style w:type="paragraph" w:styleId="a4">
    <w:name w:val="List Paragraph"/>
    <w:basedOn w:val="Standard"/>
    <w:qFormat w:val="1"/>
    <w:rsid w:val="00C75F96"/>
    <w:pPr>
      <w:tabs>
        <w:tab w:val="left" w:pos="709"/>
      </w:tabs>
      <w:ind w:firstLine="357"/>
    </w:pPr>
  </w:style>
  <w:style w:type="paragraph" w:styleId="a5">
    <w:name w:val="Normal (Web)"/>
    <w:basedOn w:val="Standard"/>
    <w:qFormat w:val="1"/>
    <w:rsid w:val="00C75F96"/>
    <w:pPr>
      <w:spacing w:after="100" w:before="100" w:line="240" w:lineRule="auto"/>
      <w:ind w:firstLine="0"/>
      <w:jc w:val="left"/>
    </w:pPr>
    <w:rPr>
      <w:rFonts w:cs="Times New Roman" w:eastAsia="Times New Roman"/>
      <w:sz w:val="24"/>
      <w:szCs w:val="24"/>
      <w:lang w:eastAsia="ru-RU"/>
    </w:rPr>
  </w:style>
  <w:style w:type="paragraph" w:styleId="1" w:customStyle="1">
    <w:name w:val="Нижний колонтитул1"/>
    <w:basedOn w:val="a"/>
    <w:uiPriority w:val="99"/>
    <w:rsid w:val="00C75F96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="Arial" w:cs="Times New Roman" w:eastAsia="Times New Roman" w:hAnsi="Arial"/>
      <w:sz w:val="24"/>
      <w:szCs w:val="24"/>
      <w:lang w:eastAsia="ru-RU"/>
    </w:rPr>
  </w:style>
  <w:style w:type="paragraph" w:styleId="a6" w:customStyle="1">
    <w:name w:val="Формула_где"/>
    <w:basedOn w:val="a"/>
    <w:qFormat w:val="1"/>
    <w:rsid w:val="00C75F96"/>
    <w:pPr>
      <w:tabs>
        <w:tab w:val="left" w:pos="1276"/>
      </w:tabs>
      <w:spacing w:after="0" w:line="360" w:lineRule="auto"/>
      <w:ind w:firstLine="709"/>
      <w:jc w:val="both"/>
    </w:pPr>
    <w:rPr>
      <w:rFonts w:ascii="Times New Roman" w:cs="Times New Roman" w:hAnsi="Times New Roman"/>
      <w:sz w:val="28"/>
      <w:szCs w:val="28"/>
    </w:rPr>
  </w:style>
  <w:style w:type="paragraph" w:styleId="--2" w:customStyle="1">
    <w:name w:val="Формула-где-2"/>
    <w:basedOn w:val="a"/>
    <w:qFormat w:val="1"/>
    <w:rsid w:val="00C75F96"/>
    <w:pPr>
      <w:spacing w:after="0" w:line="360" w:lineRule="auto"/>
      <w:ind w:firstLine="1276"/>
      <w:jc w:val="both"/>
    </w:pPr>
    <w:rPr>
      <w:rFonts w:ascii="Times New Roman" w:cs="Times New Roman" w:hAnsi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 w:val="1"/>
    <w:unhideWhenUsed w:val="1"/>
    <w:rsid w:val="00C75F9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C75F96"/>
    <w:rPr>
      <w:rFonts w:ascii="Tahoma" w:cs="Tahoma" w:eastAsia="Arial Unicode MS" w:hAnsi="Tahoma"/>
      <w:sz w:val="16"/>
      <w:szCs w:val="16"/>
    </w:rPr>
  </w:style>
  <w:style w:type="paragraph" w:styleId="a9">
    <w:name w:val="header"/>
    <w:basedOn w:val="a"/>
    <w:link w:val="aa"/>
    <w:uiPriority w:val="99"/>
    <w:unhideWhenUsed w:val="1"/>
    <w:rsid w:val="005F3A43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5F3A43"/>
    <w:rPr>
      <w:rFonts w:ascii="Calibri" w:cs="Calibri" w:eastAsia="Arial Unicode MS" w:hAnsi="Calibri"/>
    </w:rPr>
  </w:style>
  <w:style w:type="paragraph" w:styleId="ab">
    <w:name w:val="footer"/>
    <w:basedOn w:val="a"/>
    <w:link w:val="ac"/>
    <w:uiPriority w:val="99"/>
    <w:unhideWhenUsed w:val="1"/>
    <w:rsid w:val="005F3A43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5F3A43"/>
    <w:rPr>
      <w:rFonts w:ascii="Calibri" w:cs="Calibri" w:eastAsia="Arial Unicode MS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theme" Target="theme/theme1.xml"/><Relationship Id="rId22" Type="http://schemas.openxmlformats.org/officeDocument/2006/relationships/footer" Target="footer1.xml"/><Relationship Id="rId10" Type="http://schemas.openxmlformats.org/officeDocument/2006/relationships/oleObject" Target="embeddings/oleObject4.bin"/><Relationship Id="rId21" Type="http://schemas.openxmlformats.org/officeDocument/2006/relationships/footer" Target="footer2.xml"/><Relationship Id="rId13" Type="http://schemas.openxmlformats.org/officeDocument/2006/relationships/fontTable" Target="fontTable.xml"/><Relationship Id="rId12" Type="http://schemas.openxmlformats.org/officeDocument/2006/relationships/settings" Target="settings.xm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15" Type="http://schemas.openxmlformats.org/officeDocument/2006/relationships/styles" Target="styles.xml"/><Relationship Id="rId9" Type="http://schemas.openxmlformats.org/officeDocument/2006/relationships/image" Target="media/image4.wmf"/><Relationship Id="rId14" Type="http://schemas.openxmlformats.org/officeDocument/2006/relationships/numbering" Target="numbering.xml"/><Relationship Id="rId17" Type="http://schemas.openxmlformats.org/officeDocument/2006/relationships/header" Target="header1.xml"/><Relationship Id="rId16" Type="http://schemas.openxmlformats.org/officeDocument/2006/relationships/customXml" Target="../customXML/item1.xml"/><Relationship Id="rId5" Type="http://schemas.openxmlformats.org/officeDocument/2006/relationships/image" Target="media/image2.wmf"/><Relationship Id="rId19" Type="http://schemas.openxmlformats.org/officeDocument/2006/relationships/header" Target="header2.xml"/><Relationship Id="rId6" Type="http://schemas.openxmlformats.org/officeDocument/2006/relationships/oleObject" Target="embeddings/oleObject2.bin"/><Relationship Id="rId18" Type="http://schemas.openxmlformats.org/officeDocument/2006/relationships/header" Target="header3.xml"/><Relationship Id="rId7" Type="http://schemas.openxmlformats.org/officeDocument/2006/relationships/image" Target="media/image5.wmf"/><Relationship Id="rId8" Type="http://schemas.openxmlformats.org/officeDocument/2006/relationships/oleObject" Target="embeddings/oleObject5.bin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otoSansSymbols-regular.ttf"/><Relationship Id="rId1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W/OEGqtvD4t6v0QfjpSO+OpSkw==">CgMxLjAyCGguZ2pkZ3hzMgloLjMwajB6bGwyCWguMWZvYjl0ZTIJaC4zem55c2g3MgloLjJldDkycDA4AHIhMXR4ck5yc1l6X2E5SVBOeDBOa0pTb0NIN29vZ2UxdW5V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2020-05-27T13:47:00Z</dcterms:created>
  <dc:creator>nfertova</dc:creator>
</cp:coreProperties>
</file>