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C114B" w14:textId="77777777" w:rsidR="006E066A" w:rsidRDefault="003E6091">
      <w:pPr>
        <w:jc w:val="both"/>
      </w:pPr>
      <w:r>
        <w:rPr>
          <w:b/>
          <w:sz w:val="40"/>
        </w:rPr>
        <w:t xml:space="preserve"> Automatic Plant Disease Detection Using Computer Vision</w:t>
      </w:r>
    </w:p>
    <w:p w14:paraId="4C9021EB" w14:textId="77777777" w:rsidR="006E066A" w:rsidRDefault="003E6091">
      <w:pPr>
        <w:pStyle w:val="Author"/>
        <w:spacing w:before="100" w:beforeAutospacing="1" w:after="100" w:afterAutospacing="1"/>
        <w:rPr>
          <w:sz w:val="16"/>
          <w:szCs w:val="16"/>
        </w:rPr>
      </w:pPr>
      <w:r>
        <w:rPr>
          <w:sz w:val="16"/>
          <w:szCs w:val="16"/>
        </w:rPr>
        <w:t>&lt;Write your zIDs and names here&gt;</w:t>
      </w:r>
    </w:p>
    <w:p w14:paraId="50721B06" w14:textId="77777777" w:rsidR="006E066A" w:rsidRDefault="006E066A">
      <w:pPr>
        <w:pStyle w:val="Author"/>
        <w:spacing w:before="100" w:beforeAutospacing="1" w:after="100" w:afterAutospacing="1" w:line="120" w:lineRule="auto"/>
        <w:rPr>
          <w:sz w:val="16"/>
          <w:szCs w:val="16"/>
        </w:rPr>
        <w:sectPr w:rsidR="006E066A">
          <w:footerReference w:type="first" r:id="rId8"/>
          <w:pgSz w:w="11906" w:h="16838"/>
          <w:pgMar w:top="540" w:right="893" w:bottom="1440" w:left="893" w:header="720" w:footer="720" w:gutter="0"/>
          <w:cols w:space="720"/>
          <w:titlePg/>
          <w:docGrid w:linePitch="360"/>
        </w:sectPr>
      </w:pPr>
    </w:p>
    <w:p w14:paraId="4483892D" w14:textId="77777777" w:rsidR="006E066A" w:rsidRDefault="006E066A">
      <w:pPr>
        <w:jc w:val="both"/>
        <w:sectPr w:rsidR="006E066A">
          <w:type w:val="continuous"/>
          <w:pgSz w:w="11906" w:h="16838"/>
          <w:pgMar w:top="450" w:right="893" w:bottom="1440" w:left="893" w:header="720" w:footer="720" w:gutter="0"/>
          <w:cols w:num="3" w:space="720"/>
          <w:docGrid w:linePitch="360"/>
        </w:sectPr>
      </w:pPr>
    </w:p>
    <w:p w14:paraId="05324E94" w14:textId="77777777" w:rsidR="006E066A" w:rsidRDefault="003E6091">
      <w:pPr>
        <w:sectPr w:rsidR="006E066A">
          <w:type w:val="continuous"/>
          <w:pgSz w:w="11906" w:h="16838"/>
          <w:pgMar w:top="450" w:right="893" w:bottom="1440" w:left="893" w:header="720" w:footer="720" w:gutter="0"/>
          <w:cols w:num="3" w:space="720"/>
          <w:docGrid w:linePitch="360"/>
        </w:sectPr>
      </w:pPr>
      <w:r>
        <w:br w:type="column"/>
      </w:r>
    </w:p>
    <w:p w14:paraId="75FD4553" w14:textId="77777777" w:rsidR="006E066A" w:rsidRDefault="003E6091">
      <w:pPr>
        <w:pStyle w:val="Abstract"/>
        <w:rPr>
          <w:i/>
          <w:iCs/>
        </w:rPr>
      </w:pPr>
      <w:r>
        <w:rPr>
          <w:i/>
          <w:iCs/>
        </w:rPr>
        <w:t>Abstract</w:t>
      </w:r>
      <w:r>
        <w:t>—The project brief asks for a convolutional neural network that classifies plant leaves as healthy or diseased and estimates disease severity</w:t>
      </w:r>
      <w:r>
        <w:rPr>
          <w:lang w:eastAsia="zh-CN"/>
        </w:rPr>
        <w:t>. I</w:t>
      </w:r>
      <w:r>
        <w:t>n order to aid farmers in timely intervention. We show that this stated purpose is a deployment claim, and that a benchmark score alone cannot test it. Our ensemble reaches 99.53% on PlantVillage's 38 specific-disease classes and 99.96% on the healthy-versus-diseased task. We then demonstrate that this number is inflated by two independent mechanisms</w:t>
      </w:r>
      <w:r>
        <w:rPr>
          <w:rFonts w:hint="eastAsia"/>
          <w:lang w:eastAsia="zh-CN"/>
        </w:rPr>
        <w:t>, they are</w:t>
      </w:r>
      <w:r>
        <w:t xml:space="preserve"> background capture bias and train</w:t>
      </w:r>
      <w:r>
        <w:rPr>
          <w:rFonts w:hint="eastAsia"/>
          <w:lang w:eastAsia="zh-CN"/>
        </w:rPr>
        <w:t xml:space="preserve"> or </w:t>
      </w:r>
      <w:r>
        <w:t>test leakage of duplicate leaves</w:t>
      </w:r>
      <w:r>
        <w:rPr>
          <w:rFonts w:hint="eastAsia"/>
          <w:lang w:eastAsia="zh-CN"/>
        </w:rPr>
        <w:t>. H</w:t>
      </w:r>
      <w:r>
        <w:rPr>
          <w:lang w:eastAsia="zh-CN"/>
        </w:rPr>
        <w:t>o</w:t>
      </w:r>
      <w:r>
        <w:rPr>
          <w:rFonts w:hint="eastAsia"/>
          <w:lang w:eastAsia="zh-CN"/>
        </w:rPr>
        <w:t xml:space="preserve">wever, </w:t>
      </w:r>
      <w:r>
        <w:t>that it collapses to 16.1% on real field photographs, with the bottleneck being crop identification rather than disease diagnosis. Severity is estimated from image features and, when the backbone is trained jointly for classification and severity, becomes a genuine model output that reproduces official lesion masks almost perfectly (within-class rho 0.957) and beats classical estimators on human agreement, though all lesion-area methods plateau below human reliability. Supervised adaptation to field data recovers accuracy from 16.1% to 55.9%. The honest deployment story is domain adaptation, not a headline accuracy.</w:t>
      </w:r>
    </w:p>
    <w:p w14:paraId="10597EE3" w14:textId="77777777" w:rsidR="006E066A" w:rsidRDefault="003E6091">
      <w:pPr>
        <w:pStyle w:val="Keywords"/>
      </w:pPr>
      <w:r>
        <w:t>Keywords—&lt;write keywords separated by commas&gt;</w:t>
      </w:r>
    </w:p>
    <w:p w14:paraId="54657626" w14:textId="77777777" w:rsidR="006E066A" w:rsidRDefault="003E6091">
      <w:pPr>
        <w:pStyle w:val="1"/>
      </w:pPr>
      <w:r>
        <w:t>Introduction</w:t>
      </w:r>
    </w:p>
    <w:p w14:paraId="537265AC" w14:textId="77777777" w:rsidR="006E066A" w:rsidRDefault="003E6091">
      <w:pPr>
        <w:jc w:val="both"/>
      </w:pPr>
      <w:r>
        <w:t xml:space="preserve">Plant diseases reduce agricultural productivity and threaten food security. Expert visual inspection is slow, subjective and does not scale, so the brief asks for a CNN that classifies leaves and estimates severity, </w:t>
      </w:r>
      <w:r>
        <w:rPr>
          <w:rFonts w:ascii="宋体" w:hAnsi="宋体" w:hint="eastAsia"/>
          <w:lang w:eastAsia="zh-CN"/>
        </w:rPr>
        <w:t>which</w:t>
      </w:r>
      <w:r>
        <w:rPr>
          <w:rFonts w:hint="eastAsia"/>
          <w:lang w:eastAsia="zh-CN"/>
        </w:rPr>
        <w:t xml:space="preserve"> aims </w:t>
      </w:r>
      <w:r>
        <w:t xml:space="preserve">to aid farmers and agricultural experts in timely intervention. </w:t>
      </w:r>
      <w:r>
        <w:rPr>
          <w:rFonts w:hint="eastAsia"/>
          <w:lang w:eastAsia="zh-CN"/>
        </w:rPr>
        <w:t>The aim</w:t>
      </w:r>
      <w:r>
        <w:rPr>
          <w:lang w:eastAsia="zh-CN"/>
        </w:rPr>
        <w:t>’</w:t>
      </w:r>
      <w:r>
        <w:rPr>
          <w:rFonts w:hint="eastAsia"/>
          <w:lang w:eastAsia="zh-CN"/>
        </w:rPr>
        <w:t>s</w:t>
      </w:r>
      <w:r>
        <w:t xml:space="preserve"> closing phrase is a deployment claim and it shapes the whole study. The PlantVillage dataset the brief points to is 54,305 studio photographs: single detached leaves, flat, centred, on uniform backgrounds under even lighting. Any modern CNN exceeds 99% on it, but that number cannot answer the brief's own question, because a farmer photographs whole plants in a field, not detached leaves in a studio.</w:t>
      </w:r>
    </w:p>
    <w:p w14:paraId="66B35777" w14:textId="77777777" w:rsidR="006E066A" w:rsidRDefault="003E6091">
      <w:pPr>
        <w:jc w:val="both"/>
      </w:pPr>
      <w:r>
        <w:t>We therefore split the work into three research questions:</w:t>
      </w:r>
    </w:p>
    <w:p w14:paraId="092F6439" w14:textId="77777777" w:rsidR="006E066A" w:rsidRDefault="006E066A">
      <w:pPr>
        <w:jc w:val="both"/>
      </w:pPr>
    </w:p>
    <w:tbl>
      <w:tblPr>
        <w:tblStyle w:val="-1"/>
        <w:tblW w:w="0" w:type="auto"/>
        <w:jc w:val="center"/>
        <w:tblLook w:val="04A0" w:firstRow="1" w:lastRow="0" w:firstColumn="1" w:lastColumn="0" w:noHBand="0" w:noVBand="1"/>
      </w:tblPr>
      <w:tblGrid>
        <w:gridCol w:w="1405"/>
        <w:gridCol w:w="1877"/>
        <w:gridCol w:w="1564"/>
      </w:tblGrid>
      <w:tr w:rsidR="006E066A" w14:paraId="2B4860EA" w14:textId="77777777" w:rsidTr="006E06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single" w:sz="8" w:space="0" w:color="5B9BD5" w:themeColor="accent1"/>
            </w:tcBorders>
          </w:tcPr>
          <w:p w14:paraId="7A249913" w14:textId="77777777" w:rsidR="006E066A" w:rsidRDefault="006E066A">
            <w:pPr>
              <w:jc w:val="both"/>
              <w:rPr>
                <w:b w:val="0"/>
                <w:bCs w:val="0"/>
              </w:rPr>
            </w:pPr>
          </w:p>
        </w:tc>
        <w:tc>
          <w:tcPr>
            <w:tcW w:w="2880" w:type="dxa"/>
            <w:tcBorders>
              <w:right w:val="single" w:sz="8" w:space="0" w:color="5B9BD5" w:themeColor="accent1"/>
            </w:tcBorders>
          </w:tcPr>
          <w:p w14:paraId="69115AD9" w14:textId="77777777" w:rsidR="006E066A" w:rsidRDefault="003E6091">
            <w:pPr>
              <w:jc w:val="both"/>
              <w:cnfStyle w:val="100000000000" w:firstRow="1" w:lastRow="0" w:firstColumn="0" w:lastColumn="0" w:oddVBand="0" w:evenVBand="0" w:oddHBand="0" w:evenHBand="0" w:firstRowFirstColumn="0" w:firstRowLastColumn="0" w:lastRowFirstColumn="0" w:lastRowLastColumn="0"/>
              <w:rPr>
                <w:b w:val="0"/>
                <w:bCs w:val="0"/>
              </w:rPr>
            </w:pPr>
            <w:r>
              <w:rPr>
                <w:sz w:val="19"/>
              </w:rPr>
              <w:t>Research question</w:t>
            </w:r>
          </w:p>
        </w:tc>
        <w:tc>
          <w:tcPr>
            <w:tcW w:w="2880" w:type="dxa"/>
          </w:tcPr>
          <w:p w14:paraId="59D714DE" w14:textId="77777777" w:rsidR="006E066A" w:rsidRDefault="003E6091">
            <w:pPr>
              <w:jc w:val="both"/>
              <w:cnfStyle w:val="100000000000" w:firstRow="1" w:lastRow="0" w:firstColumn="0" w:lastColumn="0" w:oddVBand="0" w:evenVBand="0" w:oddHBand="0" w:evenHBand="0" w:firstRowFirstColumn="0" w:firstRowLastColumn="0" w:lastRowFirstColumn="0" w:lastRowLastColumn="0"/>
              <w:rPr>
                <w:b w:val="0"/>
                <w:bCs w:val="0"/>
              </w:rPr>
            </w:pPr>
            <w:r>
              <w:rPr>
                <w:sz w:val="19"/>
              </w:rPr>
              <w:t>Brief</w:t>
            </w:r>
          </w:p>
        </w:tc>
      </w:tr>
      <w:tr w:rsidR="006E066A" w14:paraId="50FB5700" w14:textId="77777777" w:rsidTr="006E066A">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12BAC9CD" w14:textId="77777777" w:rsidR="006E066A" w:rsidRDefault="003E6091">
            <w:pPr>
              <w:jc w:val="both"/>
              <w:rPr>
                <w:b w:val="0"/>
                <w:bCs w:val="0"/>
              </w:rPr>
            </w:pPr>
            <w:r>
              <w:rPr>
                <w:sz w:val="19"/>
              </w:rPr>
              <w:t>RQ1</w:t>
            </w:r>
          </w:p>
        </w:tc>
        <w:tc>
          <w:tcPr>
            <w:tcW w:w="2880" w:type="dxa"/>
            <w:tcBorders>
              <w:top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22DC7A51"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Can a CNN classify PlantVillage leaves accurately?</w:t>
            </w:r>
          </w:p>
        </w:tc>
        <w:tc>
          <w:tcPr>
            <w:tcW w:w="2880" w:type="dxa"/>
            <w:tcBorders>
              <w:top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7F4D3BC8"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Task 1</w:t>
            </w:r>
          </w:p>
        </w:tc>
      </w:tr>
      <w:tr w:rsidR="006E066A" w14:paraId="2118F3B1" w14:textId="77777777" w:rsidTr="006E066A">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554571D7" w14:textId="77777777" w:rsidR="006E066A" w:rsidRDefault="003E6091">
            <w:pPr>
              <w:jc w:val="both"/>
              <w:rPr>
                <w:b w:val="0"/>
                <w:bCs w:val="0"/>
              </w:rPr>
            </w:pPr>
            <w:r>
              <w:rPr>
                <w:sz w:val="19"/>
              </w:rPr>
              <w:t>RQ2</w:t>
            </w:r>
          </w:p>
        </w:tc>
        <w:tc>
          <w:tcPr>
            <w:tcW w:w="2880" w:type="dxa"/>
            <w:tcBorders>
              <w:top w:val="single" w:sz="8" w:space="0" w:color="5B9BD5" w:themeColor="accent1"/>
              <w:bottom w:val="single" w:sz="8" w:space="0" w:color="5B9BD5" w:themeColor="accent1"/>
              <w:right w:val="single" w:sz="8" w:space="0" w:color="5B9BD5" w:themeColor="accent1"/>
            </w:tcBorders>
          </w:tcPr>
          <w:p w14:paraId="642D32F3"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Does that accuracy mean the system works on real field photographs?</w:t>
            </w:r>
          </w:p>
        </w:tc>
        <w:tc>
          <w:tcPr>
            <w:tcW w:w="2880" w:type="dxa"/>
            <w:tcBorders>
              <w:top w:val="single" w:sz="8" w:space="0" w:color="5B9BD5" w:themeColor="accent1"/>
              <w:bottom w:val="single" w:sz="8" w:space="0" w:color="5B9BD5" w:themeColor="accent1"/>
              <w:right w:val="single" w:sz="8" w:space="0" w:color="5B9BD5" w:themeColor="accent1"/>
            </w:tcBorders>
          </w:tcPr>
          <w:p w14:paraId="3508790F"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implied by the aim</w:t>
            </w:r>
          </w:p>
        </w:tc>
      </w:tr>
      <w:tr w:rsidR="006E066A" w14:paraId="67BE171E" w14:textId="77777777" w:rsidTr="006E066A">
        <w:trPr>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55498C77" w14:textId="77777777" w:rsidR="006E066A" w:rsidRDefault="003E6091">
            <w:pPr>
              <w:jc w:val="both"/>
              <w:rPr>
                <w:b w:val="0"/>
                <w:bCs w:val="0"/>
              </w:rPr>
            </w:pPr>
            <w:r>
              <w:rPr>
                <w:sz w:val="19"/>
              </w:rPr>
              <w:t>RQ3</w:t>
            </w:r>
          </w:p>
        </w:tc>
        <w:tc>
          <w:tcPr>
            <w:tcW w:w="2880" w:type="dxa"/>
            <w:tcBorders>
              <w:top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019E8FCB"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Can severity be estimated from image features, and is it trustworthy?</w:t>
            </w:r>
          </w:p>
        </w:tc>
        <w:tc>
          <w:tcPr>
            <w:tcW w:w="2880" w:type="dxa"/>
            <w:tcBorders>
              <w:top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3AFF1B10"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Task 2</w:t>
            </w:r>
          </w:p>
        </w:tc>
      </w:tr>
    </w:tbl>
    <w:p w14:paraId="0289CB32" w14:textId="77777777" w:rsidR="006E066A" w:rsidRDefault="006E066A">
      <w:pPr>
        <w:jc w:val="both"/>
      </w:pPr>
    </w:p>
    <w:p w14:paraId="7B44E2DA" w14:textId="77777777" w:rsidR="006E066A" w:rsidRDefault="003E6091">
      <w:pPr>
        <w:jc w:val="both"/>
      </w:pPr>
      <w:r>
        <w:t>RQ1 turns out to be easy, and that is precisely why RQ2 matters. Much of the report is the discipline of not taking 99% at face value: measuring what the classifier actually uses, auditing the integrity of the test set itself, and validating on genuine field imagery from the PlantDoc dataset, which is never used in training.</w:t>
      </w:r>
    </w:p>
    <w:p w14:paraId="1CBFAD0D" w14:textId="77777777" w:rsidR="006E066A" w:rsidRDefault="003E6091">
      <w:pPr>
        <w:pStyle w:val="1"/>
        <w:jc w:val="both"/>
      </w:pPr>
      <w:r>
        <w:t>RELATED WORK</w:t>
      </w:r>
    </w:p>
    <w:p w14:paraId="005E8CD7" w14:textId="77777777" w:rsidR="006E066A" w:rsidRDefault="003E6091">
      <w:pPr>
        <w:jc w:val="both"/>
        <w:rPr>
          <w:lang w:eastAsia="zh-CN"/>
        </w:rPr>
      </w:pPr>
      <w:r>
        <w:t>Mohanty et al. (2016) established the PlantVillage benchmark and the near-ceiling accuracies that follow from it. Ferentinos (2018) scaled CNN plant-disease classification across architectures and noted the gap between laboratory and real conditions. Singh et al. (2020) introduced PlantDoc precisely to expose that gap</w:t>
      </w:r>
      <w:r>
        <w:rPr>
          <w:rFonts w:hint="eastAsia"/>
          <w:lang w:eastAsia="zh-CN"/>
        </w:rPr>
        <w:t xml:space="preserve"> and shows</w:t>
      </w:r>
      <w:r>
        <w:t xml:space="preserve"> a curated set of field photographs on which PlantVillage-trained models transfer poorly, and showed that adding in-domain data improves accuracy by up to 31 percentage</w:t>
      </w:r>
      <w:r>
        <w:rPr>
          <w:rFonts w:hint="eastAsia"/>
          <w:lang w:eastAsia="zh-CN"/>
        </w:rPr>
        <w:t>.</w:t>
      </w:r>
    </w:p>
    <w:p w14:paraId="464DC1A9" w14:textId="77777777" w:rsidR="006E066A" w:rsidRDefault="003E6091">
      <w:pPr>
        <w:jc w:val="both"/>
      </w:pPr>
      <w:r>
        <w:t xml:space="preserve">Our work reproduces the collapse, decomposes its cause, and audits an internal validity threat </w:t>
      </w:r>
      <w:r>
        <w:rPr>
          <w:rFonts w:hint="eastAsia"/>
          <w:lang w:eastAsia="zh-CN"/>
        </w:rPr>
        <w:t xml:space="preserve">, which is </w:t>
      </w:r>
      <w:r>
        <w:t xml:space="preserve">leaf-level train/test leakage </w:t>
      </w:r>
      <w:r>
        <w:rPr>
          <w:rFonts w:hint="eastAsia"/>
          <w:lang w:eastAsia="zh-CN"/>
        </w:rPr>
        <w:t>and</w:t>
      </w:r>
      <w:r>
        <w:t xml:space="preserve"> inflates the PlantVillage number independently of the domain gap.</w:t>
      </w:r>
    </w:p>
    <w:p w14:paraId="300B5B05" w14:textId="77777777" w:rsidR="006E066A" w:rsidRDefault="003E6091">
      <w:pPr>
        <w:pStyle w:val="1"/>
      </w:pPr>
      <w:r>
        <w:rPr>
          <w:rFonts w:hint="eastAsia"/>
          <w:lang w:eastAsia="zh-CN"/>
        </w:rPr>
        <w:t xml:space="preserve">Dataset and </w:t>
      </w:r>
      <w:r>
        <w:t>METHODS</w:t>
      </w:r>
    </w:p>
    <w:p w14:paraId="3EAFA2E3" w14:textId="77777777" w:rsidR="006E066A" w:rsidRDefault="003E6091">
      <w:pPr>
        <w:pStyle w:val="2"/>
        <w:jc w:val="both"/>
      </w:pPr>
      <w:r>
        <w:t>Data</w:t>
      </w:r>
    </w:p>
    <w:p w14:paraId="7308B0A9" w14:textId="77777777" w:rsidR="006E066A" w:rsidRDefault="003E6091">
      <w:pPr>
        <w:jc w:val="both"/>
      </w:pPr>
      <w:r>
        <w:t>PlantVillage provides 54,305 images across 38 classes (14 crop species, 26 diseases, plus healthy states) in three variants — colour, grayscale, and segmented (background removed) of the same physical leaves. We use all three. A single seeded split (70/15/15) is shared by every model and variant. PlantDoc supplies 2,525 usable field photographs mapped to 27 of the classes; it is held out entirely and used only for external validation.</w:t>
      </w:r>
    </w:p>
    <w:p w14:paraId="2F6E2733" w14:textId="77777777" w:rsidR="006E066A" w:rsidRDefault="003E6091">
      <w:pPr>
        <w:jc w:val="both"/>
      </w:pPr>
      <w:r>
        <w:t xml:space="preserve">A subtle but material property of PlantVillage is that each physical leaf is photographed several times. The repository </w:t>
      </w:r>
      <w:r>
        <w:rPr>
          <w:rFonts w:hint="eastAsia"/>
          <w:lang w:eastAsia="zh-CN"/>
        </w:rPr>
        <w:t>has</w:t>
      </w:r>
      <w:r>
        <w:t xml:space="preserve"> leaf-grouping metadata recording which images share a leaf. A naive random split scatters these </w:t>
      </w:r>
      <w:r>
        <w:rPr>
          <w:rFonts w:hint="eastAsia"/>
          <w:lang w:eastAsia="zh-CN"/>
        </w:rPr>
        <w:t>duplicate figures</w:t>
      </w:r>
      <w:r>
        <w:t xml:space="preserve"> across train and test</w:t>
      </w:r>
      <w:r>
        <w:rPr>
          <w:rFonts w:hint="eastAsia"/>
          <w:lang w:eastAsia="zh-CN"/>
        </w:rPr>
        <w:t>.</w:t>
      </w:r>
      <w:r>
        <w:t xml:space="preserve"> </w:t>
      </w:r>
      <w:r>
        <w:rPr>
          <w:rFonts w:hint="eastAsia"/>
          <w:lang w:eastAsia="zh-CN"/>
        </w:rPr>
        <w:t>W</w:t>
      </w:r>
      <w:r>
        <w:t>e measured that 74.7% of a random test split had a same-leaf twin in training. We therefore partition by leaf within each class, so no leaf's images straddle the split. This is the split used throughout.</w:t>
      </w:r>
    </w:p>
    <w:p w14:paraId="2FE2A745" w14:textId="77777777" w:rsidR="006E066A" w:rsidRDefault="003E6091">
      <w:pPr>
        <w:pStyle w:val="2"/>
        <w:jc w:val="both"/>
      </w:pPr>
      <w:r>
        <w:t>Models</w:t>
      </w:r>
    </w:p>
    <w:p w14:paraId="2537D072" w14:textId="77777777" w:rsidR="006E066A" w:rsidRDefault="003E6091">
      <w:pPr>
        <w:jc w:val="both"/>
        <w:rPr>
          <w:lang w:eastAsia="zh-CN"/>
        </w:rPr>
      </w:pPr>
      <w:r>
        <w:t>Three CNNs span two families and a range of sizes: a four-block CNN trained from scratch</w:t>
      </w:r>
      <w:r>
        <w:rPr>
          <w:rFonts w:hint="eastAsia"/>
          <w:lang w:eastAsia="zh-CN"/>
        </w:rPr>
        <w:t xml:space="preserve"> with</w:t>
      </w:r>
      <w:r>
        <w:t xml:space="preserve"> ImageNet-pretrained ResNet-18 and MobileNet-V2. </w:t>
      </w:r>
      <w:r>
        <w:rPr>
          <w:rFonts w:hint="eastAsia"/>
          <w:lang w:eastAsia="zh-CN"/>
        </w:rPr>
        <w:t>They all</w:t>
      </w:r>
      <w:r>
        <w:t xml:space="preserve"> share one pipeline. Our proposed model is their soft-voting ensemble, with weights chosen by grid search on the validation split and applied unchanged to test. </w:t>
      </w:r>
    </w:p>
    <w:p w14:paraId="694458BD" w14:textId="77777777" w:rsidR="006E066A" w:rsidRDefault="003E6091">
      <w:pPr>
        <w:jc w:val="both"/>
      </w:pPr>
      <w:r>
        <w:t>Severity is estimated from the lesion-area ratio</w:t>
      </w:r>
      <w:r>
        <w:rPr>
          <w:rFonts w:hint="eastAsia"/>
          <w:lang w:eastAsia="zh-CN"/>
        </w:rPr>
        <w:t>, which shows</w:t>
      </w:r>
      <w:r>
        <w:t xml:space="preserve"> the fraction of leaf pixels showing symptoms </w:t>
      </w:r>
      <w:r>
        <w:rPr>
          <w:rFonts w:hint="eastAsia"/>
          <w:lang w:eastAsia="zh-CN"/>
        </w:rPr>
        <w:t>and</w:t>
      </w:r>
      <w:r>
        <w:t xml:space="preserve"> computed from either an unsupervised (Otsu) mask or the official segmented mask, and from a severity-regression head trained jointly with the classifier (Section 7).</w:t>
      </w:r>
    </w:p>
    <w:p w14:paraId="7E0D34C1" w14:textId="77777777" w:rsidR="00E97618" w:rsidRDefault="00E9790F">
      <w:r>
        <w:t>Figure 1 shows how these pieces fit together. A leaf image is augmented, passed through the three CNNs in parallel, and their softmax outputs are averaged with the validation-tuned weights to give the 38-way disease prediction; the healthy/diseased answer the brief asks for is that prediction collapsed to two classes. The severity head is a single regression unit on the shared ResNet-18 backbone, trained jointly with the classification objective, so severity is an output of the network rather than a separate pipeline.</w:t>
      </w:r>
    </w:p>
    <w:p w14:paraId="5BADD81B" w14:textId="77777777" w:rsidR="00E97618" w:rsidRDefault="00E9790F">
      <w:r>
        <w:rPr>
          <w:noProof/>
        </w:rPr>
        <w:lastRenderedPageBreak/>
        <w:drawing>
          <wp:inline distT="0" distB="0" distL="0" distR="0" wp14:anchorId="6681BD66" wp14:editId="1A4BDBEE">
            <wp:extent cx="5760720" cy="24806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760720" cy="2480693"/>
                    </a:xfrm>
                    <a:prstGeom prst="rect">
                      <a:avLst/>
                    </a:prstGeom>
                  </pic:spPr>
                </pic:pic>
              </a:graphicData>
            </a:graphic>
          </wp:inline>
        </w:drawing>
      </w:r>
    </w:p>
    <w:p w14:paraId="374877B9" w14:textId="77777777" w:rsidR="00E97618" w:rsidRDefault="00E9790F">
      <w:r>
        <w:rPr>
          <w:i/>
          <w:color w:val="52514E"/>
          <w:sz w:val="17"/>
        </w:rPr>
        <w:t>Figure 1 — Model architecture. Three CNNs feed a validation-tuned soft-voting ensemble; the severity head shares the ResNet-18 backbone.</w:t>
      </w:r>
    </w:p>
    <w:p w14:paraId="7225CDF8" w14:textId="77777777" w:rsidR="00E97618" w:rsidRDefault="00E9790F">
      <w:r>
        <w:t>Table 1 lists every setting. They are held constant across all three architectures and every experimental arm, so that any difference in results is attributable to the variable under test rather than to tuning.</w:t>
      </w:r>
    </w:p>
    <w:tbl>
      <w:tblPr>
        <w:tblStyle w:val="-1"/>
        <w:tblW w:w="0" w:type="auto"/>
        <w:tblLook w:val="04A0" w:firstRow="1" w:lastRow="0" w:firstColumn="1" w:lastColumn="0" w:noHBand="0" w:noVBand="1"/>
      </w:tblPr>
      <w:tblGrid>
        <w:gridCol w:w="2177"/>
        <w:gridCol w:w="2669"/>
      </w:tblGrid>
      <w:tr w:rsidR="00E97618" w14:paraId="7A7E3180" w14:textId="77777777" w:rsidTr="00E976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0" w:type="dxa"/>
          </w:tcPr>
          <w:p w14:paraId="2F5B9429" w14:textId="77777777" w:rsidR="00E97618" w:rsidRDefault="00E9790F">
            <w:r>
              <w:rPr>
                <w:sz w:val="19"/>
              </w:rPr>
              <w:t>Parameter</w:t>
            </w:r>
          </w:p>
        </w:tc>
        <w:tc>
          <w:tcPr>
            <w:tcW w:w="5060" w:type="dxa"/>
          </w:tcPr>
          <w:p w14:paraId="674FC67A" w14:textId="77777777" w:rsidR="00E97618" w:rsidRDefault="00E9790F">
            <w:pPr>
              <w:cnfStyle w:val="100000000000" w:firstRow="1" w:lastRow="0" w:firstColumn="0" w:lastColumn="0" w:oddVBand="0" w:evenVBand="0" w:oddHBand="0" w:evenHBand="0" w:firstRowFirstColumn="0" w:firstRowLastColumn="0" w:lastRowFirstColumn="0" w:lastRowLastColumn="0"/>
            </w:pPr>
            <w:r>
              <w:rPr>
                <w:sz w:val="19"/>
              </w:rPr>
              <w:t>Value</w:t>
            </w:r>
          </w:p>
        </w:tc>
      </w:tr>
      <w:tr w:rsidR="00E97618" w14:paraId="30B8DE81" w14:textId="77777777" w:rsidTr="00E97618">
        <w:tc>
          <w:tcPr>
            <w:cnfStyle w:val="001000000000" w:firstRow="0" w:lastRow="0" w:firstColumn="1" w:lastColumn="0" w:oddVBand="0" w:evenVBand="0" w:oddHBand="0" w:evenHBand="0" w:firstRowFirstColumn="0" w:firstRowLastColumn="0" w:lastRowFirstColumn="0" w:lastRowLastColumn="0"/>
            <w:tcW w:w="5060" w:type="dxa"/>
          </w:tcPr>
          <w:p w14:paraId="563DED04" w14:textId="77777777" w:rsidR="00E97618" w:rsidRDefault="00E9790F">
            <w:r>
              <w:rPr>
                <w:sz w:val="18"/>
              </w:rPr>
              <w:t>Input resolution</w:t>
            </w:r>
          </w:p>
        </w:tc>
        <w:tc>
          <w:tcPr>
            <w:tcW w:w="5060" w:type="dxa"/>
          </w:tcPr>
          <w:p w14:paraId="20BA937D" w14:textId="77777777" w:rsidR="00E97618" w:rsidRDefault="00E9790F">
            <w:pPr>
              <w:cnfStyle w:val="000000000000" w:firstRow="0" w:lastRow="0" w:firstColumn="0" w:lastColumn="0" w:oddVBand="0" w:evenVBand="0" w:oddHBand="0" w:evenHBand="0" w:firstRowFirstColumn="0" w:firstRowLastColumn="0" w:lastRowFirstColumn="0" w:lastRowLastColumn="0"/>
            </w:pPr>
            <w:r>
              <w:rPr>
                <w:sz w:val="18"/>
              </w:rPr>
              <w:t>128×128 (three baselines) · 224×224 (augmentation, frozen and hierarchical arms)</w:t>
            </w:r>
          </w:p>
        </w:tc>
      </w:tr>
      <w:tr w:rsidR="00E97618" w14:paraId="1A43C85B" w14:textId="77777777" w:rsidTr="00E97618">
        <w:tc>
          <w:tcPr>
            <w:cnfStyle w:val="001000000000" w:firstRow="0" w:lastRow="0" w:firstColumn="1" w:lastColumn="0" w:oddVBand="0" w:evenVBand="0" w:oddHBand="0" w:evenHBand="0" w:firstRowFirstColumn="0" w:firstRowLastColumn="0" w:lastRowFirstColumn="0" w:lastRowLastColumn="0"/>
            <w:tcW w:w="5060" w:type="dxa"/>
          </w:tcPr>
          <w:p w14:paraId="3F3CC844" w14:textId="77777777" w:rsidR="00E97618" w:rsidRDefault="00E9790F">
            <w:r>
              <w:rPr>
                <w:sz w:val="18"/>
              </w:rPr>
              <w:t>Optimiser</w:t>
            </w:r>
          </w:p>
        </w:tc>
        <w:tc>
          <w:tcPr>
            <w:tcW w:w="5060" w:type="dxa"/>
          </w:tcPr>
          <w:p w14:paraId="19DBA489" w14:textId="77777777" w:rsidR="00E97618" w:rsidRDefault="00E9790F">
            <w:pPr>
              <w:cnfStyle w:val="000000000000" w:firstRow="0" w:lastRow="0" w:firstColumn="0" w:lastColumn="0" w:oddVBand="0" w:evenVBand="0" w:oddHBand="0" w:evenHBand="0" w:firstRowFirstColumn="0" w:firstRowLastColumn="0" w:lastRowFirstColumn="0" w:lastRowLastColumn="0"/>
            </w:pPr>
            <w:r>
              <w:rPr>
                <w:sz w:val="18"/>
              </w:rPr>
              <w:t>AdamW</w:t>
            </w:r>
          </w:p>
        </w:tc>
      </w:tr>
      <w:tr w:rsidR="00E97618" w14:paraId="68E9AD2D" w14:textId="77777777" w:rsidTr="00E97618">
        <w:tc>
          <w:tcPr>
            <w:cnfStyle w:val="001000000000" w:firstRow="0" w:lastRow="0" w:firstColumn="1" w:lastColumn="0" w:oddVBand="0" w:evenVBand="0" w:oddHBand="0" w:evenHBand="0" w:firstRowFirstColumn="0" w:firstRowLastColumn="0" w:lastRowFirstColumn="0" w:lastRowLastColumn="0"/>
            <w:tcW w:w="5060" w:type="dxa"/>
          </w:tcPr>
          <w:p w14:paraId="356A0175" w14:textId="77777777" w:rsidR="00E97618" w:rsidRDefault="00E9790F">
            <w:r>
              <w:rPr>
                <w:sz w:val="18"/>
              </w:rPr>
              <w:t>Learning rate</w:t>
            </w:r>
          </w:p>
        </w:tc>
        <w:tc>
          <w:tcPr>
            <w:tcW w:w="5060" w:type="dxa"/>
          </w:tcPr>
          <w:p w14:paraId="3EC6BA66" w14:textId="77777777" w:rsidR="00E97618" w:rsidRDefault="00E9790F">
            <w:pPr>
              <w:cnfStyle w:val="000000000000" w:firstRow="0" w:lastRow="0" w:firstColumn="0" w:lastColumn="0" w:oddVBand="0" w:evenVBand="0" w:oddHBand="0" w:evenHBand="0" w:firstRowFirstColumn="0" w:firstRowLastColumn="0" w:lastRowFirstColumn="0" w:lastRowLastColumn="0"/>
            </w:pPr>
            <w:r>
              <w:rPr>
                <w:sz w:val="18"/>
              </w:rPr>
              <w:t>1e-3 · 1e-4 for supervised adaptation on PlantDoc</w:t>
            </w:r>
          </w:p>
        </w:tc>
      </w:tr>
      <w:tr w:rsidR="00E97618" w14:paraId="791B672F" w14:textId="77777777" w:rsidTr="00E97618">
        <w:tc>
          <w:tcPr>
            <w:cnfStyle w:val="001000000000" w:firstRow="0" w:lastRow="0" w:firstColumn="1" w:lastColumn="0" w:oddVBand="0" w:evenVBand="0" w:oddHBand="0" w:evenHBand="0" w:firstRowFirstColumn="0" w:firstRowLastColumn="0" w:lastRowFirstColumn="0" w:lastRowLastColumn="0"/>
            <w:tcW w:w="5060" w:type="dxa"/>
          </w:tcPr>
          <w:p w14:paraId="67A5742F" w14:textId="77777777" w:rsidR="00E97618" w:rsidRDefault="00E9790F">
            <w:r>
              <w:rPr>
                <w:sz w:val="18"/>
              </w:rPr>
              <w:t>Weight decay</w:t>
            </w:r>
          </w:p>
        </w:tc>
        <w:tc>
          <w:tcPr>
            <w:tcW w:w="5060" w:type="dxa"/>
          </w:tcPr>
          <w:p w14:paraId="51670AF0" w14:textId="77777777" w:rsidR="00E97618" w:rsidRDefault="00E9790F">
            <w:pPr>
              <w:cnfStyle w:val="000000000000" w:firstRow="0" w:lastRow="0" w:firstColumn="0" w:lastColumn="0" w:oddVBand="0" w:evenVBand="0" w:oddHBand="0" w:evenHBand="0" w:firstRowFirstColumn="0" w:firstRowLastColumn="0" w:lastRowFirstColumn="0" w:lastRowLastColumn="0"/>
            </w:pPr>
            <w:r>
              <w:rPr>
                <w:sz w:val="18"/>
              </w:rPr>
              <w:t>1e-4</w:t>
            </w:r>
          </w:p>
        </w:tc>
      </w:tr>
      <w:tr w:rsidR="00E97618" w14:paraId="3F3F72B3" w14:textId="77777777" w:rsidTr="00E97618">
        <w:tc>
          <w:tcPr>
            <w:cnfStyle w:val="001000000000" w:firstRow="0" w:lastRow="0" w:firstColumn="1" w:lastColumn="0" w:oddVBand="0" w:evenVBand="0" w:oddHBand="0" w:evenHBand="0" w:firstRowFirstColumn="0" w:firstRowLastColumn="0" w:lastRowFirstColumn="0" w:lastRowLastColumn="0"/>
            <w:tcW w:w="5060" w:type="dxa"/>
          </w:tcPr>
          <w:p w14:paraId="2B5279A6" w14:textId="77777777" w:rsidR="00E97618" w:rsidRDefault="00E9790F">
            <w:r>
              <w:rPr>
                <w:sz w:val="18"/>
              </w:rPr>
              <w:t>Schedule</w:t>
            </w:r>
          </w:p>
        </w:tc>
        <w:tc>
          <w:tcPr>
            <w:tcW w:w="5060" w:type="dxa"/>
          </w:tcPr>
          <w:p w14:paraId="1611ADA6" w14:textId="77777777" w:rsidR="00E97618" w:rsidRDefault="00E9790F">
            <w:pPr>
              <w:cnfStyle w:val="000000000000" w:firstRow="0" w:lastRow="0" w:firstColumn="0" w:lastColumn="0" w:oddVBand="0" w:evenVBand="0" w:oddHBand="0" w:evenHBand="0" w:firstRowFirstColumn="0" w:firstRowLastColumn="0" w:lastRowFirstColumn="0" w:lastRowLastColumn="0"/>
            </w:pPr>
            <w:r>
              <w:rPr>
                <w:sz w:val="18"/>
              </w:rPr>
              <w:t>Cosine annealing over the epoch budget</w:t>
            </w:r>
          </w:p>
        </w:tc>
      </w:tr>
      <w:tr w:rsidR="00E97618" w14:paraId="2CCB5B87" w14:textId="77777777" w:rsidTr="00E97618">
        <w:tc>
          <w:tcPr>
            <w:cnfStyle w:val="001000000000" w:firstRow="0" w:lastRow="0" w:firstColumn="1" w:lastColumn="0" w:oddVBand="0" w:evenVBand="0" w:oddHBand="0" w:evenHBand="0" w:firstRowFirstColumn="0" w:firstRowLastColumn="0" w:lastRowFirstColumn="0" w:lastRowLastColumn="0"/>
            <w:tcW w:w="5060" w:type="dxa"/>
          </w:tcPr>
          <w:p w14:paraId="00201C1E" w14:textId="77777777" w:rsidR="00E97618" w:rsidRDefault="00E9790F">
            <w:r>
              <w:rPr>
                <w:sz w:val="18"/>
              </w:rPr>
              <w:t>Loss</w:t>
            </w:r>
          </w:p>
        </w:tc>
        <w:tc>
          <w:tcPr>
            <w:tcW w:w="5060" w:type="dxa"/>
          </w:tcPr>
          <w:p w14:paraId="6AE34B44" w14:textId="77777777" w:rsidR="00E97618" w:rsidRDefault="00E9790F">
            <w:pPr>
              <w:cnfStyle w:val="000000000000" w:firstRow="0" w:lastRow="0" w:firstColumn="0" w:lastColumn="0" w:oddVBand="0" w:evenVBand="0" w:oddHBand="0" w:evenHBand="0" w:firstRowFirstColumn="0" w:firstRowLastColumn="0" w:lastRowFirstColumn="0" w:lastRowLastColumn="0"/>
            </w:pPr>
            <w:r>
              <w:rPr>
                <w:sz w:val="18"/>
              </w:rPr>
              <w:t>Cross-entropy with 0.1 label smoothing</w:t>
            </w:r>
          </w:p>
        </w:tc>
      </w:tr>
      <w:tr w:rsidR="00E97618" w14:paraId="63CC48E0" w14:textId="77777777" w:rsidTr="00E97618">
        <w:tc>
          <w:tcPr>
            <w:cnfStyle w:val="001000000000" w:firstRow="0" w:lastRow="0" w:firstColumn="1" w:lastColumn="0" w:oddVBand="0" w:evenVBand="0" w:oddHBand="0" w:evenHBand="0" w:firstRowFirstColumn="0" w:firstRowLastColumn="0" w:lastRowFirstColumn="0" w:lastRowLastColumn="0"/>
            <w:tcW w:w="5060" w:type="dxa"/>
          </w:tcPr>
          <w:p w14:paraId="10831A98" w14:textId="77777777" w:rsidR="00E97618" w:rsidRDefault="00E9790F">
            <w:r>
              <w:rPr>
                <w:sz w:val="18"/>
              </w:rPr>
              <w:t>Batch size</w:t>
            </w:r>
          </w:p>
        </w:tc>
        <w:tc>
          <w:tcPr>
            <w:tcW w:w="5060" w:type="dxa"/>
          </w:tcPr>
          <w:p w14:paraId="109FF6D0" w14:textId="77777777" w:rsidR="00E97618" w:rsidRDefault="00E9790F">
            <w:pPr>
              <w:cnfStyle w:val="000000000000" w:firstRow="0" w:lastRow="0" w:firstColumn="0" w:lastColumn="0" w:oddVBand="0" w:evenVBand="0" w:oddHBand="0" w:evenHBand="0" w:firstRowFirstColumn="0" w:firstRowLastColumn="0" w:lastRowFirstColumn="0" w:lastRowLastColumn="0"/>
            </w:pPr>
            <w:r>
              <w:rPr>
                <w:sz w:val="18"/>
              </w:rPr>
              <w:t>96 · 32 when fine-tuning</w:t>
            </w:r>
          </w:p>
        </w:tc>
      </w:tr>
      <w:tr w:rsidR="00E97618" w14:paraId="2931BCD6" w14:textId="77777777" w:rsidTr="00E97618">
        <w:tc>
          <w:tcPr>
            <w:cnfStyle w:val="001000000000" w:firstRow="0" w:lastRow="0" w:firstColumn="1" w:lastColumn="0" w:oddVBand="0" w:evenVBand="0" w:oddHBand="0" w:evenHBand="0" w:firstRowFirstColumn="0" w:firstRowLastColumn="0" w:lastRowFirstColumn="0" w:lastRowLastColumn="0"/>
            <w:tcW w:w="5060" w:type="dxa"/>
          </w:tcPr>
          <w:p w14:paraId="2F14A5DF" w14:textId="77777777" w:rsidR="00E97618" w:rsidRDefault="00E9790F">
            <w:r>
              <w:rPr>
                <w:sz w:val="18"/>
              </w:rPr>
              <w:t>Epoch budget</w:t>
            </w:r>
          </w:p>
        </w:tc>
        <w:tc>
          <w:tcPr>
            <w:tcW w:w="5060" w:type="dxa"/>
          </w:tcPr>
          <w:p w14:paraId="462C3673" w14:textId="77777777" w:rsidR="00E97618" w:rsidRDefault="00E9790F">
            <w:pPr>
              <w:cnfStyle w:val="000000000000" w:firstRow="0" w:lastRow="0" w:firstColumn="0" w:lastColumn="0" w:oddVBand="0" w:evenVBand="0" w:oddHBand="0" w:evenHBand="0" w:firstRowFirstColumn="0" w:firstRowLastColumn="0" w:lastRowFirstColumn="0" w:lastRowLastColumn="0"/>
            </w:pPr>
            <w:r>
              <w:rPr>
                <w:sz w:val="18"/>
              </w:rPr>
              <w:t>30 baselines · 20 later arms · 15 fine-tuning</w:t>
            </w:r>
          </w:p>
        </w:tc>
      </w:tr>
      <w:tr w:rsidR="00E97618" w14:paraId="015DB6A1" w14:textId="77777777" w:rsidTr="00E97618">
        <w:tc>
          <w:tcPr>
            <w:cnfStyle w:val="001000000000" w:firstRow="0" w:lastRow="0" w:firstColumn="1" w:lastColumn="0" w:oddVBand="0" w:evenVBand="0" w:oddHBand="0" w:evenHBand="0" w:firstRowFirstColumn="0" w:firstRowLastColumn="0" w:lastRowFirstColumn="0" w:lastRowLastColumn="0"/>
            <w:tcW w:w="5060" w:type="dxa"/>
          </w:tcPr>
          <w:p w14:paraId="74261629" w14:textId="77777777" w:rsidR="00E97618" w:rsidRDefault="00E9790F">
            <w:r>
              <w:rPr>
                <w:sz w:val="18"/>
              </w:rPr>
              <w:t>Early stopping</w:t>
            </w:r>
          </w:p>
        </w:tc>
        <w:tc>
          <w:tcPr>
            <w:tcW w:w="5060" w:type="dxa"/>
          </w:tcPr>
          <w:p w14:paraId="742D1A7A" w14:textId="77777777" w:rsidR="00E97618" w:rsidRDefault="00E9790F">
            <w:pPr>
              <w:cnfStyle w:val="000000000000" w:firstRow="0" w:lastRow="0" w:firstColumn="0" w:lastColumn="0" w:oddVBand="0" w:evenVBand="0" w:oddHBand="0" w:evenHBand="0" w:firstRowFirstColumn="0" w:firstRowLastColumn="0" w:lastRowFirstColumn="0" w:lastRowLastColumn="0"/>
            </w:pPr>
            <w:r>
              <w:rPr>
                <w:sz w:val="18"/>
              </w:rPr>
              <w:t>Patience 7 on validation accuracy; best checkpoint is evaluated</w:t>
            </w:r>
          </w:p>
        </w:tc>
      </w:tr>
      <w:tr w:rsidR="00E97618" w14:paraId="5DF2BB10" w14:textId="77777777" w:rsidTr="00E97618">
        <w:tc>
          <w:tcPr>
            <w:cnfStyle w:val="001000000000" w:firstRow="0" w:lastRow="0" w:firstColumn="1" w:lastColumn="0" w:oddVBand="0" w:evenVBand="0" w:oddHBand="0" w:evenHBand="0" w:firstRowFirstColumn="0" w:firstRowLastColumn="0" w:lastRowFirstColumn="0" w:lastRowLastColumn="0"/>
            <w:tcW w:w="5060" w:type="dxa"/>
          </w:tcPr>
          <w:p w14:paraId="0333FF28" w14:textId="77777777" w:rsidR="00E97618" w:rsidRDefault="00E9790F">
            <w:r>
              <w:rPr>
                <w:sz w:val="18"/>
              </w:rPr>
              <w:t>Data split</w:t>
            </w:r>
          </w:p>
        </w:tc>
        <w:tc>
          <w:tcPr>
            <w:tcW w:w="5060" w:type="dxa"/>
          </w:tcPr>
          <w:p w14:paraId="7CD04BA4" w14:textId="77777777" w:rsidR="00E97618" w:rsidRDefault="00E9790F">
            <w:pPr>
              <w:cnfStyle w:val="000000000000" w:firstRow="0" w:lastRow="0" w:firstColumn="0" w:lastColumn="0" w:oddVBand="0" w:evenVBand="0" w:oddHBand="0" w:evenHBand="0" w:firstRowFirstColumn="0" w:firstRowLastColumn="0" w:lastRowFirstColumn="0" w:lastRowLastColumn="0"/>
            </w:pPr>
            <w:r>
              <w:rPr>
                <w:sz w:val="18"/>
              </w:rPr>
              <w:t>70/15/15, grouped by physical leaf, seed 42</w:t>
            </w:r>
          </w:p>
        </w:tc>
      </w:tr>
      <w:tr w:rsidR="00E97618" w14:paraId="2048A9D8" w14:textId="77777777" w:rsidTr="00E97618">
        <w:tc>
          <w:tcPr>
            <w:cnfStyle w:val="001000000000" w:firstRow="0" w:lastRow="0" w:firstColumn="1" w:lastColumn="0" w:oddVBand="0" w:evenVBand="0" w:oddHBand="0" w:evenHBand="0" w:firstRowFirstColumn="0" w:firstRowLastColumn="0" w:lastRowFirstColumn="0" w:lastRowLastColumn="0"/>
            <w:tcW w:w="5060" w:type="dxa"/>
          </w:tcPr>
          <w:p w14:paraId="43FF364B" w14:textId="77777777" w:rsidR="00E97618" w:rsidRDefault="00E9790F">
            <w:r>
              <w:rPr>
                <w:sz w:val="18"/>
              </w:rPr>
              <w:t>Ensemble weights</w:t>
            </w:r>
          </w:p>
        </w:tc>
        <w:tc>
          <w:tcPr>
            <w:tcW w:w="5060" w:type="dxa"/>
          </w:tcPr>
          <w:p w14:paraId="30D2C126" w14:textId="77777777" w:rsidR="00E97618" w:rsidRDefault="00E9790F">
            <w:pPr>
              <w:cnfStyle w:val="000000000000" w:firstRow="0" w:lastRow="0" w:firstColumn="0" w:lastColumn="0" w:oddVBand="0" w:evenVBand="0" w:oddHBand="0" w:evenHBand="0" w:firstRowFirstColumn="0" w:firstRowLastColumn="0" w:lastRowFirstColumn="0" w:lastRowLastColumn="0"/>
            </w:pPr>
            <w:r>
              <w:rPr>
                <w:sz w:val="18"/>
              </w:rPr>
              <w:t>Grid search in 0.05 steps on the validation split only</w:t>
            </w:r>
          </w:p>
        </w:tc>
      </w:tr>
      <w:tr w:rsidR="00E97618" w14:paraId="2C1D7212" w14:textId="77777777" w:rsidTr="00E97618">
        <w:tc>
          <w:tcPr>
            <w:cnfStyle w:val="001000000000" w:firstRow="0" w:lastRow="0" w:firstColumn="1" w:lastColumn="0" w:oddVBand="0" w:evenVBand="0" w:oddHBand="0" w:evenHBand="0" w:firstRowFirstColumn="0" w:firstRowLastColumn="0" w:lastRowFirstColumn="0" w:lastRowLastColumn="0"/>
            <w:tcW w:w="5060" w:type="dxa"/>
          </w:tcPr>
          <w:p w14:paraId="1EA8918C" w14:textId="77777777" w:rsidR="00E97618" w:rsidRDefault="00E9790F">
            <w:r>
              <w:rPr>
                <w:sz w:val="18"/>
              </w:rPr>
              <w:t>Severity head</w:t>
            </w:r>
          </w:p>
        </w:tc>
        <w:tc>
          <w:tcPr>
            <w:tcW w:w="5060" w:type="dxa"/>
          </w:tcPr>
          <w:p w14:paraId="43E465AD" w14:textId="77777777" w:rsidR="00E97618" w:rsidRDefault="00E9790F">
            <w:pPr>
              <w:cnfStyle w:val="000000000000" w:firstRow="0" w:lastRow="0" w:firstColumn="0" w:lastColumn="0" w:oddVBand="0" w:evenVBand="0" w:oddHBand="0" w:evenHBand="0" w:firstRowFirstColumn="0" w:firstRowLastColumn="0" w:lastRowFirstColumn="0" w:lastRowLastColumn="0"/>
            </w:pPr>
            <w:r>
              <w:rPr>
                <w:sz w:val="18"/>
              </w:rPr>
              <w:t>1 regression unit, jointly trained, loss weight 10</w:t>
            </w:r>
          </w:p>
        </w:tc>
      </w:tr>
    </w:tbl>
    <w:p w14:paraId="00ADD650" w14:textId="77777777" w:rsidR="00E97618" w:rsidRDefault="00E9790F">
      <w:r>
        <w:rPr>
          <w:i/>
          <w:color w:val="52514E"/>
          <w:sz w:val="17"/>
        </w:rPr>
        <w:t>Table 1 — Training and evaluation parameters, identical across every architecture and arm.</w:t>
      </w:r>
    </w:p>
    <w:p w14:paraId="28037043" w14:textId="77777777" w:rsidR="006E066A" w:rsidRDefault="003E6091">
      <w:pPr>
        <w:pStyle w:val="1"/>
        <w:rPr>
          <w:color w:val="FF0000"/>
        </w:rPr>
      </w:pPr>
      <w:r>
        <w:rPr>
          <w:color w:val="FF0000"/>
        </w:rPr>
        <w:t>EXPERIMENTS</w:t>
      </w:r>
    </w:p>
    <w:p w14:paraId="26F692D5" w14:textId="77777777" w:rsidR="006E066A" w:rsidRDefault="003E6091">
      <w:pPr>
        <w:jc w:val="both"/>
        <w:rPr>
          <w:color w:val="FF0000"/>
        </w:rPr>
      </w:pPr>
      <w:r>
        <w:rPr>
          <w:color w:val="FF0000"/>
        </w:rPr>
        <w:t xml:space="preserve">The training corpus is PlantVillage (https://github.com/spMohanty/PlantVillage-Dataset): 54,305 laboratory photographs of single detached leaves, covering 14 crop species and 38 crop/condition classes (26 diseases plus healthy states). Every image is supplied in three variants of the same physical leaf — colour, grayscale, and segmented (background removed) — and we train on all three. External validation uses PlantDoc (https://github.com/pratikkayal/PlantDoc-Dataset): 2,525 </w:t>
      </w:r>
      <w:r>
        <w:rPr>
          <w:color w:val="FF0000"/>
        </w:rPr>
        <w:t>usable in-the-wild field photographs mapped onto 27 of the same classes, held out entirely and never trained on in any zero-shot experiment.</w:t>
      </w:r>
    </w:p>
    <w:p w14:paraId="5C6BC836" w14:textId="77777777" w:rsidR="006E066A" w:rsidRDefault="003E6091">
      <w:r>
        <w:t>Three findings from the data exploration shaped the design. The classes are imbalanced by roughly 36:1 (152 images for Potato healthy against 5,507 for Orange citrus greening), so we report macro-averaged precision, recall and F1 alongside accuracy. Only 28% of the corpus is healthy leaves. And, most importantly, a logistic regression trained on eight background border pixels alone — no leaf at all — classifies at 33.7% against a 2.6% chance baseline, so the backdrop carries a large share of the label.</w:t>
      </w:r>
    </w:p>
    <w:p w14:paraId="2DECA51C" w14:textId="77777777" w:rsidR="006E066A" w:rsidRDefault="003E6091">
      <w:pPr>
        <w:pStyle w:val="2"/>
      </w:pPr>
      <w:r>
        <w:t>Evaluation protocol</w:t>
      </w:r>
    </w:p>
    <w:p w14:paraId="6A86EB1A" w14:textId="77777777" w:rsidR="006E066A" w:rsidRDefault="003E6091">
      <w:r>
        <w:t>All models share a single seeded 70/15/15 split (seed 42) computed once and reused across every model, every dataset variant and every audit. The split is grouped by physical leaf: PlantVillage photographs each leaf several times, and a naive random split put a same-leaf twin of 74.7% of test images into training, so the partition is made over leaves rather than images. Single accuracies carry Wilson 95% intervals; two arms scored on the same images are compared with McNemar's test on the discordant pairs rather than by asking whether independent intervals overlap. The ensemble's member weights are the only tuned component: they are grid-searched in 0.05 steps on the validation split and applied unchanged to test, so no tuning decision ever sees test data.</w:t>
      </w:r>
    </w:p>
    <w:p w14:paraId="54F62CAB" w14:textId="77777777" w:rsidR="006E066A" w:rsidRDefault="003E6091">
      <w:pPr>
        <w:pStyle w:val="2"/>
      </w:pPr>
      <w:r>
        <w:t>Data augmentation</w:t>
      </w:r>
    </w:p>
    <w:p w14:paraId="031C8F5D" w14:textId="77777777" w:rsidR="006E066A" w:rsidRDefault="003E6091">
      <w:r>
        <w:t>Two recipes are used, and the difference between them matters for the results that follow. The standard recipe applies a random resized crop retaining 80–100% of the image area, a random horizontal flip, rotation within ±20°, and colour jitter of ±0.2 in brightness, contrast and saturation.</w:t>
      </w:r>
    </w:p>
    <w:p w14:paraId="79B4A432" w14:textId="77777777" w:rsidR="006E066A" w:rsidRDefault="003E6091">
      <w:r>
        <w:t>The strong recipe is deliberately more aggressive: a random resized crop down to 50% of the image area, horizontal flipping plus vertical flipping with probability 0.2, rotation within ±30°, RandAugment with two operations at magnitude 7, colour jitter of ±0.4 in brightness, contrast and saturation with ±0.1 in hue, Gaussian blur with σ between 0.1 and 1.5, and random erasing of 2–15% of the image with probability 0.25. Both recipes finish with ImageNet mean/standard-deviation normalisation.</w:t>
      </w:r>
    </w:p>
    <w:p w14:paraId="220C01F6" w14:textId="77777777" w:rsidR="006E066A" w:rsidRDefault="003E6091">
      <w:r>
        <w:t>A third, targeted intervention is background randomisation. Using the official segmentation masks, the leaf is cut out and composited onto a randomly generated background — a solid colour, a linear gradient, uniform noise or blurred blobs — with probability p per image (p = 0.7 in the reported arms). This exists to break the background/label correlation that the border-pixel probe exposes, and p = 0.0 with the same strong recipe is kept as the control so that stronger augmentation and de-shortcutting can be told apart.</w:t>
      </w:r>
    </w:p>
    <w:p w14:paraId="41B40539" w14:textId="77777777" w:rsidR="006E066A" w:rsidRDefault="003E6091">
      <w:pPr>
        <w:pStyle w:val="2"/>
      </w:pPr>
      <w:r>
        <w:t>Hyperparameters</w:t>
      </w:r>
    </w:p>
    <w:p w14:paraId="323920CB" w14:textId="77777777" w:rsidR="006E066A" w:rsidRDefault="003E6091">
      <w:r>
        <w:t>The parameters are listed in Table 1 of the Methods section. They were fixed from standard practice rather than searched, and held constant across every architecture and arm so that comparisons isolate the variable under test; the ensemble's member weights are the only component tuned, by grid search on the validation split.</w:t>
      </w:r>
    </w:p>
    <w:p w14:paraId="54ABD15B" w14:textId="77777777" w:rsidR="006E066A" w:rsidRDefault="006E066A">
      <w:pPr>
        <w:jc w:val="both"/>
      </w:pPr>
    </w:p>
    <w:p w14:paraId="5E8B6015" w14:textId="77777777" w:rsidR="006E066A" w:rsidRDefault="003E6091">
      <w:pPr>
        <w:pStyle w:val="1"/>
      </w:pPr>
      <w:r>
        <w:t>RESULTS</w:t>
      </w:r>
    </w:p>
    <w:p w14:paraId="23F1DF2C" w14:textId="77777777" w:rsidR="006E066A" w:rsidRDefault="003E6091">
      <w:pPr>
        <w:pStyle w:val="2"/>
        <w:numPr>
          <w:ilvl w:val="0"/>
          <w:numId w:val="0"/>
        </w:numPr>
        <w:ind w:left="288" w:hanging="288"/>
        <w:jc w:val="both"/>
        <w:rPr>
          <w:lang w:eastAsia="zh-CN"/>
        </w:rPr>
      </w:pPr>
      <w:r>
        <w:rPr>
          <w:rFonts w:hint="eastAsia"/>
          <w:lang w:eastAsia="zh-CN"/>
        </w:rPr>
        <w:t>A. Task 1: Classification.</w:t>
      </w:r>
    </w:p>
    <w:p w14:paraId="110B50C9" w14:textId="77777777" w:rsidR="006E066A" w:rsidRDefault="003E6091">
      <w:pPr>
        <w:jc w:val="both"/>
      </w:pPr>
      <w:r>
        <w:t>On the held-out PlantVillage test split (8,215 images), the ensemble reaches 99.53% over the 38 specific-disease classes and 99.96% on the binary healthy-versus-diseased task the brief names.</w:t>
      </w:r>
    </w:p>
    <w:p w14:paraId="7A26F287" w14:textId="77777777" w:rsidR="006E066A" w:rsidRDefault="006E066A">
      <w:pPr>
        <w:jc w:val="both"/>
      </w:pPr>
    </w:p>
    <w:tbl>
      <w:tblPr>
        <w:tblStyle w:val="-1"/>
        <w:tblW w:w="0" w:type="auto"/>
        <w:jc w:val="center"/>
        <w:tblLook w:val="04A0" w:firstRow="1" w:lastRow="0" w:firstColumn="1" w:lastColumn="0" w:noHBand="0" w:noVBand="1"/>
      </w:tblPr>
      <w:tblGrid>
        <w:gridCol w:w="2628"/>
        <w:gridCol w:w="2218"/>
      </w:tblGrid>
      <w:tr w:rsidR="006E066A" w14:paraId="7E5AEB78" w14:textId="77777777" w:rsidTr="006E06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Borders>
              <w:right w:val="single" w:sz="8" w:space="0" w:color="5B9BD5" w:themeColor="accent1"/>
            </w:tcBorders>
          </w:tcPr>
          <w:p w14:paraId="43331822" w14:textId="77777777" w:rsidR="006E066A" w:rsidRDefault="003E6091">
            <w:pPr>
              <w:jc w:val="both"/>
              <w:rPr>
                <w:b w:val="0"/>
                <w:bCs w:val="0"/>
              </w:rPr>
            </w:pPr>
            <w:r>
              <w:rPr>
                <w:sz w:val="19"/>
              </w:rPr>
              <w:t>Model</w:t>
            </w:r>
          </w:p>
        </w:tc>
        <w:tc>
          <w:tcPr>
            <w:tcW w:w="4320" w:type="dxa"/>
          </w:tcPr>
          <w:p w14:paraId="1A31AA31" w14:textId="77777777" w:rsidR="006E066A" w:rsidRDefault="003E6091">
            <w:pPr>
              <w:jc w:val="both"/>
              <w:cnfStyle w:val="100000000000" w:firstRow="1" w:lastRow="0" w:firstColumn="0" w:lastColumn="0" w:oddVBand="0" w:evenVBand="0" w:oddHBand="0" w:evenHBand="0" w:firstRowFirstColumn="0" w:firstRowLastColumn="0" w:lastRowFirstColumn="0" w:lastRowLastColumn="0"/>
              <w:rPr>
                <w:b w:val="0"/>
                <w:bCs w:val="0"/>
              </w:rPr>
            </w:pPr>
            <w:r>
              <w:rPr>
                <w:sz w:val="19"/>
              </w:rPr>
              <w:t>38-way (specific disease)</w:t>
            </w:r>
          </w:p>
        </w:tc>
      </w:tr>
      <w:tr w:rsidR="006E066A" w14:paraId="74FCD792" w14:textId="77777777" w:rsidTr="006E066A">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01085A5A" w14:textId="77777777" w:rsidR="006E066A" w:rsidRDefault="003E6091">
            <w:pPr>
              <w:jc w:val="both"/>
              <w:rPr>
                <w:b w:val="0"/>
                <w:bCs w:val="0"/>
              </w:rPr>
            </w:pPr>
            <w:r>
              <w:rPr>
                <w:sz w:val="19"/>
              </w:rPr>
              <w:t>Custom CNN (from scratch)</w:t>
            </w:r>
          </w:p>
        </w:tc>
        <w:tc>
          <w:tcPr>
            <w:tcW w:w="4320" w:type="dxa"/>
            <w:tcBorders>
              <w:top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387ED6A2"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98.69%</w:t>
            </w:r>
          </w:p>
        </w:tc>
      </w:tr>
      <w:tr w:rsidR="006E066A" w14:paraId="33BE6311" w14:textId="77777777" w:rsidTr="006E066A">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22E6F5BA" w14:textId="77777777" w:rsidR="006E066A" w:rsidRDefault="003E6091">
            <w:pPr>
              <w:jc w:val="both"/>
              <w:rPr>
                <w:b w:val="0"/>
                <w:bCs w:val="0"/>
              </w:rPr>
            </w:pPr>
            <w:r>
              <w:rPr>
                <w:sz w:val="19"/>
              </w:rPr>
              <w:t>ResNet-18</w:t>
            </w:r>
          </w:p>
        </w:tc>
        <w:tc>
          <w:tcPr>
            <w:tcW w:w="4320" w:type="dxa"/>
            <w:tcBorders>
              <w:top w:val="single" w:sz="8" w:space="0" w:color="5B9BD5" w:themeColor="accent1"/>
              <w:bottom w:val="single" w:sz="8" w:space="0" w:color="5B9BD5" w:themeColor="accent1"/>
              <w:right w:val="single" w:sz="8" w:space="0" w:color="5B9BD5" w:themeColor="accent1"/>
            </w:tcBorders>
          </w:tcPr>
          <w:p w14:paraId="116D9373"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99.33%</w:t>
            </w:r>
          </w:p>
        </w:tc>
      </w:tr>
      <w:tr w:rsidR="006E066A" w14:paraId="63D4458A" w14:textId="77777777" w:rsidTr="006E066A">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29EB572C" w14:textId="77777777" w:rsidR="006E066A" w:rsidRDefault="003E6091">
            <w:pPr>
              <w:jc w:val="both"/>
              <w:rPr>
                <w:b w:val="0"/>
                <w:bCs w:val="0"/>
              </w:rPr>
            </w:pPr>
            <w:r>
              <w:rPr>
                <w:sz w:val="19"/>
              </w:rPr>
              <w:t>MobileNet-V2</w:t>
            </w:r>
          </w:p>
        </w:tc>
        <w:tc>
          <w:tcPr>
            <w:tcW w:w="4320" w:type="dxa"/>
            <w:tcBorders>
              <w:top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447BFE36"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99.46%</w:t>
            </w:r>
          </w:p>
        </w:tc>
      </w:tr>
      <w:tr w:rsidR="006E066A" w14:paraId="321F9F02" w14:textId="77777777" w:rsidTr="006E066A">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617CBCDC" w14:textId="77777777" w:rsidR="006E066A" w:rsidRDefault="003E6091">
            <w:pPr>
              <w:jc w:val="both"/>
              <w:rPr>
                <w:b w:val="0"/>
                <w:bCs w:val="0"/>
              </w:rPr>
            </w:pPr>
            <w:r>
              <w:rPr>
                <w:sz w:val="19"/>
              </w:rPr>
              <w:t>Ensemble (proposed)</w:t>
            </w:r>
          </w:p>
        </w:tc>
        <w:tc>
          <w:tcPr>
            <w:tcW w:w="4320" w:type="dxa"/>
            <w:tcBorders>
              <w:top w:val="single" w:sz="8" w:space="0" w:color="5B9BD5" w:themeColor="accent1"/>
              <w:bottom w:val="single" w:sz="8" w:space="0" w:color="5B9BD5" w:themeColor="accent1"/>
              <w:right w:val="single" w:sz="8" w:space="0" w:color="5B9BD5" w:themeColor="accent1"/>
            </w:tcBorders>
          </w:tcPr>
          <w:p w14:paraId="09663C2F"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99.53%</w:t>
            </w:r>
          </w:p>
        </w:tc>
      </w:tr>
      <w:tr w:rsidR="006E066A" w14:paraId="47A19FB6" w14:textId="77777777" w:rsidTr="006E066A">
        <w:trPr>
          <w:jc w:val="center"/>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0223D198" w14:textId="77777777" w:rsidR="006E066A" w:rsidRDefault="003E6091">
            <w:pPr>
              <w:jc w:val="both"/>
              <w:rPr>
                <w:b w:val="0"/>
                <w:bCs w:val="0"/>
              </w:rPr>
            </w:pPr>
            <w:r>
              <w:rPr>
                <w:sz w:val="19"/>
              </w:rPr>
              <w:t>Ensemble — binary healthy/diseased</w:t>
            </w:r>
          </w:p>
        </w:tc>
        <w:tc>
          <w:tcPr>
            <w:tcW w:w="4320" w:type="dxa"/>
            <w:tcBorders>
              <w:top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332C5ABC"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99.96%</w:t>
            </w:r>
          </w:p>
        </w:tc>
      </w:tr>
    </w:tbl>
    <w:p w14:paraId="1E78E98D" w14:textId="77777777" w:rsidR="006E066A" w:rsidRDefault="006E066A">
      <w:pPr>
        <w:jc w:val="both"/>
      </w:pPr>
    </w:p>
    <w:p w14:paraId="1FA4974C" w14:textId="77777777" w:rsidR="006E066A" w:rsidRDefault="003E6091">
      <w:pPr>
        <w:jc w:val="both"/>
      </w:pPr>
      <w:r>
        <w:t>The 39 residual errors out of 8,215 are almost all within-crop disease confusions that a specialist would find genuinely ambiguous</w:t>
      </w:r>
      <w:r>
        <w:rPr>
          <w:rFonts w:hint="eastAsia"/>
          <w:lang w:eastAsia="zh-CN"/>
        </w:rPr>
        <w:t xml:space="preserve">, such as </w:t>
      </w:r>
      <w:r>
        <w:t xml:space="preserve">blight </w:t>
      </w:r>
      <w:r>
        <w:rPr>
          <w:rFonts w:hint="eastAsia"/>
          <w:lang w:eastAsia="zh-CN"/>
        </w:rPr>
        <w:t xml:space="preserve">of </w:t>
      </w:r>
      <w:r>
        <w:t>Tomato</w:t>
      </w:r>
      <w:r>
        <w:rPr>
          <w:rFonts w:hint="eastAsia"/>
          <w:lang w:eastAsia="zh-CN"/>
        </w:rPr>
        <w:t xml:space="preserve"> leave of</w:t>
      </w:r>
      <w:r>
        <w:t xml:space="preserve"> early versus lat</w:t>
      </w:r>
      <w:r>
        <w:rPr>
          <w:rFonts w:hint="eastAsia"/>
          <w:lang w:eastAsia="zh-CN"/>
        </w:rPr>
        <w:t>e</w:t>
      </w:r>
      <w:r>
        <w:t>. Three of them do cross the healthy</w:t>
      </w:r>
      <w:r>
        <w:rPr>
          <w:rFonts w:hint="eastAsia"/>
          <w:lang w:eastAsia="zh-CN"/>
        </w:rPr>
        <w:t xml:space="preserve"> and </w:t>
      </w:r>
      <w:r>
        <w:t>diseased boundary and two of those are diseased leaves called healthy, the costlier direction for a farmer</w:t>
      </w:r>
      <w:r>
        <w:rPr>
          <w:rFonts w:hint="eastAsia"/>
          <w:lang w:eastAsia="zh-CN"/>
        </w:rPr>
        <w:t>. S</w:t>
      </w:r>
      <w:r>
        <w:t>o the binary task is near-solved at 99.96% rather than perfect. Across the dataset's three variants the model holds: colour 99.53%, segmented 98.66%, grayscale 97.76%.</w:t>
      </w:r>
    </w:p>
    <w:p w14:paraId="084D069F" w14:textId="77777777" w:rsidR="006E066A" w:rsidRDefault="006E066A">
      <w:pPr>
        <w:jc w:val="both"/>
      </w:pPr>
    </w:p>
    <w:p w14:paraId="0E03A43B" w14:textId="77777777" w:rsidR="006E066A" w:rsidRDefault="003E6091">
      <w:pPr>
        <w:jc w:val="both"/>
      </w:pPr>
      <w:r>
        <w:rPr>
          <w:noProof/>
        </w:rPr>
        <w:drawing>
          <wp:inline distT="0" distB="0" distL="0" distR="0" wp14:anchorId="3497A90A" wp14:editId="393CB555">
            <wp:extent cx="2639060" cy="27813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2652651" cy="2796233"/>
                    </a:xfrm>
                    <a:prstGeom prst="rect">
                      <a:avLst/>
                    </a:prstGeom>
                  </pic:spPr>
                </pic:pic>
              </a:graphicData>
            </a:graphic>
          </wp:inline>
        </w:drawing>
      </w:r>
    </w:p>
    <w:p w14:paraId="3CC03431" w14:textId="77777777" w:rsidR="006E066A" w:rsidRDefault="003E6091">
      <w:pPr>
        <w:jc w:val="both"/>
      </w:pPr>
      <w:r>
        <w:rPr>
          <w:i/>
          <w:sz w:val="17"/>
        </w:rPr>
        <w:t>Figure 1 — Per-disease recall on the leaf-grouped test split. 29 of 38 classes are perfect; the five in red are within-crop look-alikes.</w:t>
      </w:r>
    </w:p>
    <w:p w14:paraId="349EFD97" w14:textId="77777777" w:rsidR="006E066A" w:rsidRDefault="003E6091">
      <w:pPr>
        <w:jc w:val="both"/>
      </w:pPr>
      <w:r>
        <w:rPr>
          <w:noProof/>
        </w:rPr>
        <w:drawing>
          <wp:inline distT="0" distB="0" distL="0" distR="0" wp14:anchorId="69054968" wp14:editId="0ADDF838">
            <wp:extent cx="2837815" cy="2415540"/>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2844338" cy="2420939"/>
                    </a:xfrm>
                    <a:prstGeom prst="rect">
                      <a:avLst/>
                    </a:prstGeom>
                  </pic:spPr>
                </pic:pic>
              </a:graphicData>
            </a:graphic>
          </wp:inline>
        </w:drawing>
      </w:r>
    </w:p>
    <w:p w14:paraId="52734FC3" w14:textId="77777777" w:rsidR="006E066A" w:rsidRDefault="003E6091">
      <w:pPr>
        <w:jc w:val="both"/>
      </w:pPr>
      <w:r>
        <w:rPr>
          <w:i/>
          <w:sz w:val="17"/>
        </w:rPr>
        <w:t>Figure 2 — Ensemble confusion matrix (row-normalised). The diagonal is essentially clean; red digits are the 39 misclassified images.</w:t>
      </w:r>
    </w:p>
    <w:p w14:paraId="2CC7D7BD" w14:textId="77777777" w:rsidR="006E066A" w:rsidRDefault="003E6091">
      <w:pPr>
        <w:pStyle w:val="2"/>
        <w:numPr>
          <w:ilvl w:val="0"/>
          <w:numId w:val="0"/>
        </w:numPr>
        <w:ind w:left="288" w:hanging="288"/>
        <w:jc w:val="both"/>
        <w:rPr>
          <w:lang w:eastAsia="zh-CN"/>
        </w:rPr>
      </w:pPr>
      <w:r>
        <w:rPr>
          <w:rFonts w:hint="eastAsia"/>
          <w:lang w:eastAsia="zh-CN"/>
        </w:rPr>
        <w:t>B. Task 2: Severity.</w:t>
      </w:r>
    </w:p>
    <w:p w14:paraId="09AC36B8" w14:textId="77777777" w:rsidR="006E066A" w:rsidRDefault="003E6091">
      <w:pPr>
        <w:jc w:val="both"/>
      </w:pPr>
      <w:r>
        <w:t>PlantVillage carries no severity labels, so severity is derived from the lesion-area ratio. As a presence signal it is strong: ROC-AUC 0.868 with the official mask, 0.767 with unsupervised Otsu segmentation. Validated against three human annotators who graded 150 leaves, the annotators agree with each other at quadratic kappa 0.634 (the ceiling); the lesion-ratio grade tracks their consensus at kappa 0.30 with the original bands, rising to 0.47 after cross-validated recalibration — a moderate proxy reaching about three-quarters of the human ceiling.</w:t>
      </w:r>
    </w:p>
    <w:p w14:paraId="2EBBE824" w14:textId="77777777" w:rsidR="006E066A" w:rsidRDefault="003E6091">
      <w:pPr>
        <w:jc w:val="both"/>
      </w:pPr>
      <w:r>
        <w:t>To satisfy the brief's requirement to expand the model, we trained a severity-regression head jointly with the classifier. This transforms the result: the joint head reproduces the official-mask lesion ratio almost perfectly (within-class rho 0.957) at no classification cost (99.44%), where a probe on frozen classification features had managed only 0.38. Severity is now a genuine model output requiring no mask at inference. On the subset of graded leaves the model never trained on, it agrees with human consensus at rho 0.47, ahead of both Otsu (0.43) and the official mask (0.41). The head is therefore the best severity estimator available and a model output — but all lesion-area methods plateau near rho 0.47 against humans, because people grade severity by more than the fraction of leaf area affected. We report this as the ceiling of image-feature severity estimation rather than inflate it.</w:t>
      </w:r>
    </w:p>
    <w:p w14:paraId="79C588DD" w14:textId="77777777" w:rsidR="006E066A" w:rsidRDefault="006E066A">
      <w:pPr>
        <w:jc w:val="both"/>
      </w:pPr>
    </w:p>
    <w:p w14:paraId="2A2073AF" w14:textId="77777777" w:rsidR="006E066A" w:rsidRDefault="003E6091">
      <w:pPr>
        <w:rPr>
          <w:i/>
          <w:sz w:val="17"/>
          <w:lang w:eastAsia="zh-CN"/>
        </w:rPr>
      </w:pPr>
      <w:r>
        <w:rPr>
          <w:noProof/>
        </w:rPr>
        <w:drawing>
          <wp:inline distT="0" distB="0" distL="0" distR="0" wp14:anchorId="0088433B" wp14:editId="0687DB78">
            <wp:extent cx="2567940" cy="2221865"/>
            <wp:effectExtent l="0" t="0" r="3810" b="6985"/>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12"/>
                    <a:srcRect r="52632"/>
                    <a:stretch>
                      <a:fillRect/>
                    </a:stretch>
                  </pic:blipFill>
                  <pic:spPr>
                    <a:xfrm>
                      <a:off x="0" y="0"/>
                      <a:ext cx="2579124" cy="2232106"/>
                    </a:xfrm>
                    <a:prstGeom prst="rect">
                      <a:avLst/>
                    </a:prstGeom>
                    <a:ln>
                      <a:noFill/>
                    </a:ln>
                  </pic:spPr>
                </pic:pic>
              </a:graphicData>
            </a:graphic>
          </wp:inline>
        </w:drawing>
      </w:r>
    </w:p>
    <w:p w14:paraId="15E19B77" w14:textId="77777777" w:rsidR="006E066A" w:rsidRDefault="003E6091">
      <w:pPr>
        <w:jc w:val="both"/>
        <w:rPr>
          <w:i/>
          <w:sz w:val="17"/>
        </w:rPr>
      </w:pPr>
      <w:r>
        <w:rPr>
          <w:i/>
          <w:sz w:val="17"/>
        </w:rPr>
        <w:lastRenderedPageBreak/>
        <w:t>Figure 6 — Severity. Left: the grade against three human annotators, with their mutual agreement as the ceiling. Right: trained jointly with the classifier, severity becomes a model output that beats the classical estimator.</w:t>
      </w:r>
    </w:p>
    <w:p w14:paraId="0B15E127" w14:textId="77777777" w:rsidR="006E066A" w:rsidRDefault="003E6091">
      <w:pPr>
        <w:pStyle w:val="1"/>
        <w:rPr>
          <w:lang w:eastAsia="zh-CN"/>
        </w:rPr>
      </w:pPr>
      <w:r>
        <w:rPr>
          <w:rFonts w:hint="eastAsia"/>
          <w:lang w:eastAsia="zh-CN"/>
        </w:rPr>
        <w:t>Discussions.</w:t>
      </w:r>
    </w:p>
    <w:p w14:paraId="616B3C21" w14:textId="77777777" w:rsidR="006E066A" w:rsidRDefault="003E6091">
      <w:pPr>
        <w:pStyle w:val="2"/>
        <w:jc w:val="both"/>
        <w:rPr>
          <w:lang w:eastAsia="zh-CN"/>
        </w:rPr>
      </w:pPr>
      <w:r>
        <w:rPr>
          <w:rFonts w:hint="eastAsia"/>
          <w:lang w:eastAsia="zh-CN"/>
        </w:rPr>
        <w:t>Is a accuracy of 99% is real?</w:t>
      </w:r>
    </w:p>
    <w:p w14:paraId="69EEA935" w14:textId="77777777" w:rsidR="006E066A" w:rsidRDefault="003E6091">
      <w:pPr>
        <w:jc w:val="both"/>
        <w:rPr>
          <w:sz w:val="22"/>
          <w:szCs w:val="22"/>
        </w:rPr>
      </w:pPr>
      <w:r>
        <w:rPr>
          <w:sz w:val="22"/>
          <w:szCs w:val="22"/>
        </w:rPr>
        <w:t>Two independent audits show that the headline number overstates real diagnostic skill.</w:t>
      </w:r>
    </w:p>
    <w:p w14:paraId="03DE53B0" w14:textId="77777777" w:rsidR="006E066A" w:rsidRDefault="003E6091">
      <w:pPr>
        <w:jc w:val="both"/>
        <w:rPr>
          <w:i/>
          <w:iCs/>
          <w:sz w:val="22"/>
          <w:szCs w:val="22"/>
        </w:rPr>
      </w:pPr>
      <w:r>
        <w:rPr>
          <w:rFonts w:hint="eastAsia"/>
          <w:i/>
          <w:iCs/>
          <w:sz w:val="22"/>
          <w:szCs w:val="22"/>
          <w:lang w:eastAsia="zh-CN"/>
        </w:rPr>
        <w:t xml:space="preserve">1. </w:t>
      </w:r>
      <w:r>
        <w:rPr>
          <w:i/>
          <w:iCs/>
          <w:sz w:val="22"/>
          <w:szCs w:val="22"/>
        </w:rPr>
        <w:t xml:space="preserve">Capture bias </w:t>
      </w:r>
    </w:p>
    <w:p w14:paraId="033D3CF7" w14:textId="77777777" w:rsidR="006E066A" w:rsidRDefault="003E6091">
      <w:pPr>
        <w:jc w:val="both"/>
        <w:rPr>
          <w:sz w:val="22"/>
          <w:szCs w:val="22"/>
        </w:rPr>
      </w:pPr>
      <w:r>
        <w:rPr>
          <w:sz w:val="22"/>
          <w:szCs w:val="22"/>
        </w:rPr>
        <w:t>A classifier trained on eight background border pixels alone</w:t>
      </w:r>
      <w:r>
        <w:rPr>
          <w:rFonts w:hint="eastAsia"/>
          <w:sz w:val="22"/>
          <w:szCs w:val="22"/>
          <w:lang w:eastAsia="zh-CN"/>
        </w:rPr>
        <w:t>, which means it</w:t>
      </w:r>
      <w:r>
        <w:rPr>
          <w:sz w:val="22"/>
          <w:szCs w:val="22"/>
        </w:rPr>
        <w:t xml:space="preserve"> never seeing the leaf</w:t>
      </w:r>
      <w:r>
        <w:rPr>
          <w:rFonts w:hint="eastAsia"/>
          <w:sz w:val="22"/>
          <w:szCs w:val="22"/>
          <w:lang w:eastAsia="zh-CN"/>
        </w:rPr>
        <w:t>.</w:t>
      </w:r>
      <w:r>
        <w:rPr>
          <w:sz w:val="22"/>
          <w:szCs w:val="22"/>
        </w:rPr>
        <w:t xml:space="preserve"> </w:t>
      </w:r>
      <w:r>
        <w:rPr>
          <w:rFonts w:hint="eastAsia"/>
          <w:sz w:val="22"/>
          <w:szCs w:val="22"/>
          <w:lang w:eastAsia="zh-CN"/>
        </w:rPr>
        <w:t xml:space="preserve">It can </w:t>
      </w:r>
      <w:r>
        <w:rPr>
          <w:sz w:val="22"/>
          <w:szCs w:val="22"/>
        </w:rPr>
        <w:t>reach 33.7% accuracy, against a 2.6% chance baseline. Grad-CAM attention places 65.6% of its mass inside the leaf, only 49.6% the leaf occupie</w:t>
      </w:r>
      <w:r>
        <w:rPr>
          <w:rFonts w:hint="eastAsia"/>
          <w:sz w:val="22"/>
          <w:szCs w:val="22"/>
          <w:lang w:eastAsia="zh-CN"/>
        </w:rPr>
        <w:t>d</w:t>
      </w:r>
      <w:r>
        <w:rPr>
          <w:sz w:val="22"/>
          <w:szCs w:val="22"/>
        </w:rPr>
        <w:t xml:space="preserve"> by area. Both show the model reads the background, which correlates with the label because each class was photographed in its own setting.</w:t>
      </w:r>
    </w:p>
    <w:p w14:paraId="5F5881C8" w14:textId="77777777" w:rsidR="006E066A" w:rsidRDefault="003E6091">
      <w:pPr>
        <w:jc w:val="both"/>
        <w:rPr>
          <w:i/>
          <w:iCs/>
          <w:sz w:val="22"/>
          <w:szCs w:val="22"/>
          <w:lang w:eastAsia="zh-CN"/>
        </w:rPr>
      </w:pPr>
      <w:r>
        <w:rPr>
          <w:rFonts w:hint="eastAsia"/>
          <w:i/>
          <w:iCs/>
          <w:sz w:val="22"/>
          <w:szCs w:val="22"/>
          <w:lang w:eastAsia="zh-CN"/>
        </w:rPr>
        <w:t>2.</w:t>
      </w:r>
      <w:r>
        <w:rPr>
          <w:i/>
          <w:iCs/>
          <w:sz w:val="22"/>
          <w:szCs w:val="22"/>
        </w:rPr>
        <w:t xml:space="preserve"> Leaf-level leakage</w:t>
      </w:r>
    </w:p>
    <w:p w14:paraId="6177BC62" w14:textId="77777777" w:rsidR="006E066A" w:rsidRDefault="003E6091">
      <w:pPr>
        <w:jc w:val="both"/>
        <w:rPr>
          <w:lang w:eastAsia="zh-CN"/>
        </w:rPr>
      </w:pPr>
      <w:r>
        <w:rPr>
          <w:sz w:val="22"/>
          <w:szCs w:val="22"/>
        </w:rPr>
        <w:t xml:space="preserve">Adopting the leaf-grouped split </w:t>
      </w:r>
      <w:r>
        <w:rPr>
          <w:rFonts w:hint="eastAsia"/>
          <w:sz w:val="22"/>
          <w:szCs w:val="22"/>
          <w:lang w:eastAsia="zh-CN"/>
        </w:rPr>
        <w:t>makes</w:t>
      </w:r>
      <w:r>
        <w:rPr>
          <w:sz w:val="22"/>
          <w:szCs w:val="22"/>
        </w:rPr>
        <w:t xml:space="preserve"> the ensemble from 99.84% to 99.53%</w:t>
      </w:r>
      <w:r>
        <w:rPr>
          <w:rFonts w:hint="eastAsia"/>
          <w:sz w:val="22"/>
          <w:szCs w:val="22"/>
          <w:lang w:eastAsia="zh-CN"/>
        </w:rPr>
        <w:t xml:space="preserve"> lower, </w:t>
      </w:r>
      <w:r>
        <w:rPr>
          <w:sz w:val="22"/>
          <w:szCs w:val="22"/>
          <w:lang w:eastAsia="zh-CN"/>
        </w:rPr>
        <w:t>which</w:t>
      </w:r>
      <w:r>
        <w:rPr>
          <w:rFonts w:hint="eastAsia"/>
          <w:sz w:val="22"/>
          <w:szCs w:val="22"/>
          <w:lang w:eastAsia="zh-CN"/>
        </w:rPr>
        <w:t xml:space="preserve"> has</w:t>
      </w:r>
      <w:r>
        <w:rPr>
          <w:sz w:val="22"/>
          <w:szCs w:val="22"/>
        </w:rPr>
        <w:t xml:space="preserve"> a 0.31</w:t>
      </w:r>
      <w:r>
        <w:rPr>
          <w:rFonts w:hint="eastAsia"/>
          <w:sz w:val="22"/>
          <w:szCs w:val="22"/>
          <w:lang w:eastAsia="zh-CN"/>
        </w:rPr>
        <w:t>%</w:t>
      </w:r>
      <w:r>
        <w:rPr>
          <w:sz w:val="22"/>
          <w:szCs w:val="22"/>
        </w:rPr>
        <w:t xml:space="preserve"> drop</w:t>
      </w:r>
      <w:r>
        <w:rPr>
          <w:rFonts w:hint="eastAsia"/>
          <w:sz w:val="22"/>
          <w:szCs w:val="22"/>
          <w:lang w:eastAsia="zh-CN"/>
        </w:rPr>
        <w:t xml:space="preserve">. It is </w:t>
      </w:r>
      <w:r>
        <w:rPr>
          <w:sz w:val="22"/>
          <w:szCs w:val="22"/>
        </w:rPr>
        <w:t>small because the classification is genuinely strong</w:t>
      </w:r>
      <w:r>
        <w:rPr>
          <w:rFonts w:hint="eastAsia"/>
          <w:sz w:val="22"/>
          <w:szCs w:val="22"/>
          <w:lang w:eastAsia="zh-CN"/>
        </w:rPr>
        <w:t>.</w:t>
      </w:r>
      <w:r>
        <w:rPr>
          <w:sz w:val="22"/>
          <w:szCs w:val="22"/>
        </w:rPr>
        <w:t xml:space="preserve"> Per disease </w:t>
      </w:r>
      <w:r>
        <w:rPr>
          <w:rFonts w:hint="eastAsia"/>
          <w:sz w:val="22"/>
          <w:szCs w:val="22"/>
          <w:lang w:eastAsia="zh-CN"/>
        </w:rPr>
        <w:t xml:space="preserve">that </w:t>
      </w:r>
      <w:r>
        <w:rPr>
          <w:sz w:val="22"/>
          <w:szCs w:val="22"/>
        </w:rPr>
        <w:t>the effect concentrates</w:t>
      </w:r>
      <w:r>
        <w:rPr>
          <w:rFonts w:hint="eastAsia"/>
          <w:sz w:val="22"/>
          <w:szCs w:val="22"/>
          <w:lang w:eastAsia="zh-CN"/>
        </w:rPr>
        <w:t xml:space="preserve"> shows that</w:t>
      </w:r>
      <w:r>
        <w:rPr>
          <w:sz w:val="22"/>
          <w:szCs w:val="22"/>
        </w:rPr>
        <w:t xml:space="preserve"> Tomato early blight falls from a leaked 99% to an honest 93%, exposing the one diagnostic weakness the leaked test had hidden. A perceptual </w:t>
      </w:r>
      <w:r>
        <w:rPr>
          <w:rFonts w:hint="eastAsia"/>
          <w:sz w:val="22"/>
          <w:szCs w:val="22"/>
          <w:lang w:eastAsia="zh-CN"/>
        </w:rPr>
        <w:t>re</w:t>
      </w:r>
      <w:r>
        <w:rPr>
          <w:sz w:val="22"/>
          <w:szCs w:val="22"/>
        </w:rPr>
        <w:t>check bounds the residual leakage the metadata missed at under 10.7%</w:t>
      </w:r>
      <w:r>
        <w:rPr>
          <w:rFonts w:hint="eastAsia"/>
          <w:sz w:val="22"/>
          <w:szCs w:val="22"/>
          <w:lang w:eastAsia="zh-CN"/>
        </w:rPr>
        <w:t xml:space="preserve">. It is </w:t>
      </w:r>
      <w:r>
        <w:rPr>
          <w:sz w:val="22"/>
          <w:szCs w:val="22"/>
        </w:rPr>
        <w:t>an over-estimate, since PlantVillage's near-identical distinct leaves inflate it</w:t>
      </w:r>
      <w:r>
        <w:rPr>
          <w:rFonts w:hint="eastAsia"/>
          <w:sz w:val="22"/>
          <w:szCs w:val="22"/>
          <w:lang w:eastAsia="zh-CN"/>
        </w:rPr>
        <w:t xml:space="preserve"> and</w:t>
      </w:r>
      <w:r>
        <w:rPr>
          <w:sz w:val="22"/>
          <w:szCs w:val="22"/>
        </w:rPr>
        <w:t xml:space="preserve"> the 0.31-point accuracy cost confirms the residual is immaterial.</w:t>
      </w:r>
    </w:p>
    <w:p w14:paraId="4982ED91" w14:textId="77777777" w:rsidR="006E066A" w:rsidRDefault="003E6091">
      <w:pPr>
        <w:pStyle w:val="2"/>
        <w:jc w:val="both"/>
      </w:pPr>
      <w:r>
        <w:rPr>
          <w:rFonts w:hint="eastAsia"/>
          <w:lang w:eastAsia="zh-CN"/>
        </w:rPr>
        <w:t>D</w:t>
      </w:r>
      <w:r>
        <w:t>oes it survive the field?</w:t>
      </w:r>
    </w:p>
    <w:p w14:paraId="3EE0B815" w14:textId="77777777" w:rsidR="006E066A" w:rsidRDefault="003E6091">
      <w:pPr>
        <w:jc w:val="both"/>
      </w:pPr>
      <w:r>
        <w:t>Zero-shot on PlantDoc, the ensemble scores 16.1% (236-image test split) and 13.9% across all 2,525 images — a collapse from 99.5% in the laboratory. This is the answer to RQ2, and it is the central result: the benchmark accuracy does not transfer to the conditions the brief describes.</w:t>
      </w:r>
    </w:p>
    <w:p w14:paraId="4E02C064" w14:textId="77777777" w:rsidR="006E066A" w:rsidRDefault="006E066A">
      <w:pPr>
        <w:jc w:val="both"/>
      </w:pPr>
    </w:p>
    <w:p w14:paraId="5A9B9019" w14:textId="77777777" w:rsidR="006E066A" w:rsidRDefault="003E6091">
      <w:pPr>
        <w:jc w:val="both"/>
      </w:pPr>
      <w:r>
        <w:rPr>
          <w:noProof/>
        </w:rPr>
        <w:drawing>
          <wp:inline distT="0" distB="0" distL="0" distR="0" wp14:anchorId="2473C9DC" wp14:editId="0913B0C7">
            <wp:extent cx="2795905" cy="1950720"/>
            <wp:effectExtent l="0" t="0" r="4445"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3"/>
                    <a:stretch>
                      <a:fillRect/>
                    </a:stretch>
                  </pic:blipFill>
                  <pic:spPr>
                    <a:xfrm>
                      <a:off x="0" y="0"/>
                      <a:ext cx="2806943" cy="1958535"/>
                    </a:xfrm>
                    <a:prstGeom prst="rect">
                      <a:avLst/>
                    </a:prstGeom>
                  </pic:spPr>
                </pic:pic>
              </a:graphicData>
            </a:graphic>
          </wp:inline>
        </w:drawing>
      </w:r>
    </w:p>
    <w:p w14:paraId="1CF3EBC5" w14:textId="77777777" w:rsidR="006E066A" w:rsidRDefault="003E6091">
      <w:pPr>
        <w:jc w:val="both"/>
        <w:rPr>
          <w:i/>
          <w:sz w:val="17"/>
        </w:rPr>
      </w:pPr>
      <w:r>
        <w:rPr>
          <w:i/>
          <w:sz w:val="17"/>
        </w:rPr>
        <w:t>Figure 3 — The same ensemble on studio and field photographs. Fine-grained accuracy collapses; even the coarse healthy/diseased decision loses ~20 points.</w:t>
      </w:r>
    </w:p>
    <w:p w14:paraId="54A8B27E" w14:textId="77777777" w:rsidR="006E066A" w:rsidRDefault="006E066A">
      <w:pPr>
        <w:jc w:val="both"/>
        <w:rPr>
          <w:i/>
          <w:sz w:val="17"/>
        </w:rPr>
      </w:pPr>
    </w:p>
    <w:p w14:paraId="66D46204" w14:textId="77777777" w:rsidR="006E066A" w:rsidRDefault="003E6091">
      <w:pPr>
        <w:jc w:val="both"/>
        <w:rPr>
          <w:i/>
          <w:sz w:val="22"/>
          <w:szCs w:val="22"/>
          <w:lang w:eastAsia="zh-CN"/>
        </w:rPr>
      </w:pPr>
      <w:r>
        <w:rPr>
          <w:rFonts w:hint="eastAsia"/>
          <w:i/>
          <w:sz w:val="22"/>
          <w:szCs w:val="22"/>
          <w:lang w:eastAsia="zh-CN"/>
        </w:rPr>
        <w:t xml:space="preserve">1. </w:t>
      </w:r>
      <w:r>
        <w:rPr>
          <w:i/>
          <w:sz w:val="22"/>
          <w:szCs w:val="22"/>
        </w:rPr>
        <w:t>Where the accuracy goes</w:t>
      </w:r>
    </w:p>
    <w:p w14:paraId="7CC10FE9" w14:textId="77777777" w:rsidR="006E066A" w:rsidRDefault="003E6091">
      <w:pPr>
        <w:jc w:val="both"/>
        <w:rPr>
          <w:lang w:eastAsia="zh-CN"/>
        </w:rPr>
      </w:pPr>
      <w:r>
        <w:t xml:space="preserve">Decomposing field accuracy into crop identification and disease-given-crop shows the bottleneck is recognising the plant, not the disease: crop accuracy is only 39.6%. Background randomisation during training significantly </w:t>
      </w:r>
      <w:r>
        <w:t>improves field crop identification (McNemar p = 0.0013), and a frozen ImageNet backbone</w:t>
      </w:r>
      <w:r>
        <w:rPr>
          <w:rFonts w:hint="eastAsia"/>
          <w:lang w:eastAsia="zh-CN"/>
        </w:rPr>
        <w:t>, which</w:t>
      </w:r>
      <w:r>
        <w:t xml:space="preserve"> training only a 19,494-parameter head, 574 times fewer parameters than full fine-tuning</w:t>
      </w:r>
      <w:r>
        <w:rPr>
          <w:rFonts w:hint="eastAsia"/>
          <w:lang w:eastAsia="zh-CN"/>
        </w:rPr>
        <w:t>. It</w:t>
      </w:r>
      <w:r>
        <w:t xml:space="preserve"> matches or beats full fine-tuning in the field while costing eight points in the laboratory. The laboratory </w:t>
      </w:r>
      <w:r>
        <w:rPr>
          <w:rFonts w:hint="eastAsia"/>
          <w:lang w:eastAsia="zh-CN"/>
        </w:rPr>
        <w:t xml:space="preserve">results </w:t>
      </w:r>
      <w:r>
        <w:t>points that extra training</w:t>
      </w:r>
      <w:r>
        <w:rPr>
          <w:rFonts w:hint="eastAsia"/>
          <w:lang w:eastAsia="zh-CN"/>
        </w:rPr>
        <w:t xml:space="preserve"> </w:t>
      </w:r>
      <w:r>
        <w:t xml:space="preserve">are worth nothing, sometimes less </w:t>
      </w:r>
      <w:r>
        <w:rPr>
          <w:rFonts w:hint="eastAsia"/>
          <w:lang w:eastAsia="zh-CN"/>
        </w:rPr>
        <w:t>is better.</w:t>
      </w:r>
    </w:p>
    <w:tbl>
      <w:tblPr>
        <w:tblStyle w:val="-1"/>
        <w:tblW w:w="0" w:type="auto"/>
        <w:jc w:val="center"/>
        <w:tblLook w:val="04A0" w:firstRow="1" w:lastRow="0" w:firstColumn="1" w:lastColumn="0" w:noHBand="0" w:noVBand="1"/>
      </w:tblPr>
      <w:tblGrid>
        <w:gridCol w:w="1072"/>
        <w:gridCol w:w="1175"/>
        <w:gridCol w:w="921"/>
        <w:gridCol w:w="839"/>
        <w:gridCol w:w="839"/>
      </w:tblGrid>
      <w:tr w:rsidR="006E066A" w14:paraId="3BE86158" w14:textId="77777777" w:rsidTr="006E06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right w:val="single" w:sz="8" w:space="0" w:color="5B9BD5" w:themeColor="accent1"/>
            </w:tcBorders>
          </w:tcPr>
          <w:p w14:paraId="158C6365" w14:textId="77777777" w:rsidR="006E066A" w:rsidRDefault="003E6091">
            <w:pPr>
              <w:jc w:val="both"/>
              <w:rPr>
                <w:b w:val="0"/>
                <w:bCs w:val="0"/>
              </w:rPr>
            </w:pPr>
            <w:r>
              <w:rPr>
                <w:sz w:val="19"/>
              </w:rPr>
              <w:t>Arm (field, 2,525 images)</w:t>
            </w:r>
          </w:p>
        </w:tc>
        <w:tc>
          <w:tcPr>
            <w:tcW w:w="1728" w:type="dxa"/>
            <w:tcBorders>
              <w:right w:val="single" w:sz="8" w:space="0" w:color="5B9BD5" w:themeColor="accent1"/>
            </w:tcBorders>
          </w:tcPr>
          <w:p w14:paraId="45CDD602" w14:textId="77777777" w:rsidR="006E066A" w:rsidRDefault="003E6091">
            <w:pPr>
              <w:jc w:val="both"/>
              <w:cnfStyle w:val="100000000000" w:firstRow="1" w:lastRow="0" w:firstColumn="0" w:lastColumn="0" w:oddVBand="0" w:evenVBand="0" w:oddHBand="0" w:evenHBand="0" w:firstRowFirstColumn="0" w:firstRowLastColumn="0" w:lastRowFirstColumn="0" w:lastRowLastColumn="0"/>
              <w:rPr>
                <w:b w:val="0"/>
                <w:bCs w:val="0"/>
              </w:rPr>
            </w:pPr>
            <w:r>
              <w:rPr>
                <w:sz w:val="19"/>
              </w:rPr>
              <w:t>Trainable params</w:t>
            </w:r>
          </w:p>
        </w:tc>
        <w:tc>
          <w:tcPr>
            <w:tcW w:w="1728" w:type="dxa"/>
            <w:tcBorders>
              <w:right w:val="single" w:sz="8" w:space="0" w:color="5B9BD5" w:themeColor="accent1"/>
            </w:tcBorders>
          </w:tcPr>
          <w:p w14:paraId="0497ED09" w14:textId="77777777" w:rsidR="006E066A" w:rsidRDefault="003E6091">
            <w:pPr>
              <w:jc w:val="both"/>
              <w:cnfStyle w:val="100000000000" w:firstRow="1" w:lastRow="0" w:firstColumn="0" w:lastColumn="0" w:oddVBand="0" w:evenVBand="0" w:oddHBand="0" w:evenHBand="0" w:firstRowFirstColumn="0" w:firstRowLastColumn="0" w:lastRowFirstColumn="0" w:lastRowLastColumn="0"/>
              <w:rPr>
                <w:b w:val="0"/>
                <w:bCs w:val="0"/>
              </w:rPr>
            </w:pPr>
            <w:r>
              <w:rPr>
                <w:sz w:val="19"/>
              </w:rPr>
              <w:t>Lab</w:t>
            </w:r>
          </w:p>
        </w:tc>
        <w:tc>
          <w:tcPr>
            <w:tcW w:w="1728" w:type="dxa"/>
            <w:tcBorders>
              <w:right w:val="single" w:sz="8" w:space="0" w:color="5B9BD5" w:themeColor="accent1"/>
            </w:tcBorders>
          </w:tcPr>
          <w:p w14:paraId="536D31BC" w14:textId="77777777" w:rsidR="006E066A" w:rsidRDefault="003E6091">
            <w:pPr>
              <w:jc w:val="both"/>
              <w:cnfStyle w:val="100000000000" w:firstRow="1" w:lastRow="0" w:firstColumn="0" w:lastColumn="0" w:oddVBand="0" w:evenVBand="0" w:oddHBand="0" w:evenHBand="0" w:firstRowFirstColumn="0" w:firstRowLastColumn="0" w:lastRowFirstColumn="0" w:lastRowLastColumn="0"/>
              <w:rPr>
                <w:b w:val="0"/>
                <w:bCs w:val="0"/>
              </w:rPr>
            </w:pPr>
            <w:r>
              <w:rPr>
                <w:sz w:val="19"/>
              </w:rPr>
              <w:t>Field</w:t>
            </w:r>
          </w:p>
        </w:tc>
        <w:tc>
          <w:tcPr>
            <w:tcW w:w="1728" w:type="dxa"/>
          </w:tcPr>
          <w:p w14:paraId="1F19CD5E" w14:textId="77777777" w:rsidR="006E066A" w:rsidRDefault="003E6091">
            <w:pPr>
              <w:jc w:val="both"/>
              <w:cnfStyle w:val="100000000000" w:firstRow="1" w:lastRow="0" w:firstColumn="0" w:lastColumn="0" w:oddVBand="0" w:evenVBand="0" w:oddHBand="0" w:evenHBand="0" w:firstRowFirstColumn="0" w:firstRowLastColumn="0" w:lastRowFirstColumn="0" w:lastRowLastColumn="0"/>
              <w:rPr>
                <w:b w:val="0"/>
                <w:bCs w:val="0"/>
              </w:rPr>
            </w:pPr>
            <w:r>
              <w:rPr>
                <w:sz w:val="19"/>
              </w:rPr>
              <w:t>Crop</w:t>
            </w:r>
          </w:p>
        </w:tc>
      </w:tr>
      <w:tr w:rsidR="006E066A" w14:paraId="77FF4932" w14:textId="77777777" w:rsidTr="006E066A">
        <w:trPr>
          <w:jc w:val="center"/>
        </w:trPr>
        <w:tc>
          <w:tcPr>
            <w:cnfStyle w:val="001000000000" w:firstRow="0" w:lastRow="0" w:firstColumn="1" w:lastColumn="0" w:oddVBand="0" w:evenVBand="0" w:oddHBand="0" w:evenHBand="0" w:firstRowFirstColumn="0" w:firstRowLastColumn="0" w:lastRowFirstColumn="0" w:lastRowLastColumn="0"/>
            <w:tcW w:w="1728"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5CEB50C6" w14:textId="77777777" w:rsidR="006E066A" w:rsidRDefault="003E6091">
            <w:pPr>
              <w:jc w:val="both"/>
              <w:rPr>
                <w:b w:val="0"/>
                <w:bCs w:val="0"/>
              </w:rPr>
            </w:pPr>
            <w:r>
              <w:rPr>
                <w:sz w:val="19"/>
              </w:rPr>
              <w:t>Full fine-tune</w:t>
            </w:r>
          </w:p>
        </w:tc>
        <w:tc>
          <w:tcPr>
            <w:tcW w:w="1728" w:type="dxa"/>
            <w:tcBorders>
              <w:top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4A8693AC"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11,196,006</w:t>
            </w:r>
          </w:p>
        </w:tc>
        <w:tc>
          <w:tcPr>
            <w:tcW w:w="1728" w:type="dxa"/>
            <w:tcBorders>
              <w:top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27DBFBDC"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99.20%</w:t>
            </w:r>
          </w:p>
        </w:tc>
        <w:tc>
          <w:tcPr>
            <w:tcW w:w="1728" w:type="dxa"/>
            <w:tcBorders>
              <w:top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3D5A009D"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15.2%</w:t>
            </w:r>
          </w:p>
        </w:tc>
        <w:tc>
          <w:tcPr>
            <w:tcW w:w="1728" w:type="dxa"/>
            <w:tcBorders>
              <w:top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40D64AC5"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37.2%</w:t>
            </w:r>
          </w:p>
        </w:tc>
      </w:tr>
      <w:tr w:rsidR="006E066A" w14:paraId="319CAA34" w14:textId="77777777" w:rsidTr="006E066A">
        <w:trPr>
          <w:jc w:val="center"/>
        </w:trPr>
        <w:tc>
          <w:tcPr>
            <w:cnfStyle w:val="001000000000" w:firstRow="0" w:lastRow="0" w:firstColumn="1" w:lastColumn="0" w:oddVBand="0" w:evenVBand="0" w:oddHBand="0" w:evenHBand="0" w:firstRowFirstColumn="0" w:firstRowLastColumn="0" w:lastRowFirstColumn="0" w:lastRowLastColumn="0"/>
            <w:tcW w:w="1728"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17A7F702" w14:textId="77777777" w:rsidR="006E066A" w:rsidRDefault="003E6091">
            <w:pPr>
              <w:jc w:val="both"/>
              <w:rPr>
                <w:b w:val="0"/>
                <w:bCs w:val="0"/>
              </w:rPr>
            </w:pPr>
            <w:r>
              <w:rPr>
                <w:sz w:val="19"/>
              </w:rPr>
              <w:t>Frozen backbone</w:t>
            </w:r>
          </w:p>
        </w:tc>
        <w:tc>
          <w:tcPr>
            <w:tcW w:w="1728" w:type="dxa"/>
            <w:tcBorders>
              <w:top w:val="single" w:sz="8" w:space="0" w:color="5B9BD5" w:themeColor="accent1"/>
              <w:bottom w:val="single" w:sz="8" w:space="0" w:color="5B9BD5" w:themeColor="accent1"/>
              <w:right w:val="single" w:sz="8" w:space="0" w:color="5B9BD5" w:themeColor="accent1"/>
            </w:tcBorders>
          </w:tcPr>
          <w:p w14:paraId="21BBB450"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19,494</w:t>
            </w:r>
          </w:p>
        </w:tc>
        <w:tc>
          <w:tcPr>
            <w:tcW w:w="1728" w:type="dxa"/>
            <w:tcBorders>
              <w:top w:val="single" w:sz="8" w:space="0" w:color="5B9BD5" w:themeColor="accent1"/>
              <w:bottom w:val="single" w:sz="8" w:space="0" w:color="5B9BD5" w:themeColor="accent1"/>
              <w:right w:val="single" w:sz="8" w:space="0" w:color="5B9BD5" w:themeColor="accent1"/>
            </w:tcBorders>
          </w:tcPr>
          <w:p w14:paraId="39011776"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91.26%</w:t>
            </w:r>
          </w:p>
        </w:tc>
        <w:tc>
          <w:tcPr>
            <w:tcW w:w="1728" w:type="dxa"/>
            <w:tcBorders>
              <w:top w:val="single" w:sz="8" w:space="0" w:color="5B9BD5" w:themeColor="accent1"/>
              <w:bottom w:val="single" w:sz="8" w:space="0" w:color="5B9BD5" w:themeColor="accent1"/>
              <w:right w:val="single" w:sz="8" w:space="0" w:color="5B9BD5" w:themeColor="accent1"/>
            </w:tcBorders>
          </w:tcPr>
          <w:p w14:paraId="79EDDEC2"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16.9%</w:t>
            </w:r>
          </w:p>
        </w:tc>
        <w:tc>
          <w:tcPr>
            <w:tcW w:w="1728" w:type="dxa"/>
            <w:tcBorders>
              <w:top w:val="single" w:sz="8" w:space="0" w:color="5B9BD5" w:themeColor="accent1"/>
              <w:bottom w:val="single" w:sz="8" w:space="0" w:color="5B9BD5" w:themeColor="accent1"/>
              <w:right w:val="single" w:sz="8" w:space="0" w:color="5B9BD5" w:themeColor="accent1"/>
            </w:tcBorders>
          </w:tcPr>
          <w:p w14:paraId="3587B0F6"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39.4%</w:t>
            </w:r>
          </w:p>
        </w:tc>
      </w:tr>
      <w:tr w:rsidR="006E066A" w14:paraId="21C17E1A" w14:textId="77777777" w:rsidTr="006E066A">
        <w:trPr>
          <w:jc w:val="center"/>
        </w:trPr>
        <w:tc>
          <w:tcPr>
            <w:cnfStyle w:val="001000000000" w:firstRow="0" w:lastRow="0" w:firstColumn="1" w:lastColumn="0" w:oddVBand="0" w:evenVBand="0" w:oddHBand="0" w:evenHBand="0" w:firstRowFirstColumn="0" w:firstRowLastColumn="0" w:lastRowFirstColumn="0" w:lastRowLastColumn="0"/>
            <w:tcW w:w="1728"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623A68C0" w14:textId="77777777" w:rsidR="006E066A" w:rsidRDefault="003E6091">
            <w:pPr>
              <w:jc w:val="both"/>
              <w:rPr>
                <w:b w:val="0"/>
                <w:bCs w:val="0"/>
              </w:rPr>
            </w:pPr>
            <w:r>
              <w:rPr>
                <w:sz w:val="19"/>
              </w:rPr>
              <w:t>Frozen + bg-random</w:t>
            </w:r>
          </w:p>
        </w:tc>
        <w:tc>
          <w:tcPr>
            <w:tcW w:w="1728" w:type="dxa"/>
            <w:tcBorders>
              <w:top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75D1821C"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19,494</w:t>
            </w:r>
          </w:p>
        </w:tc>
        <w:tc>
          <w:tcPr>
            <w:tcW w:w="1728" w:type="dxa"/>
            <w:tcBorders>
              <w:top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01796FC0"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88.41%</w:t>
            </w:r>
          </w:p>
        </w:tc>
        <w:tc>
          <w:tcPr>
            <w:tcW w:w="1728" w:type="dxa"/>
            <w:tcBorders>
              <w:top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2AC0CABB"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18.1%</w:t>
            </w:r>
          </w:p>
        </w:tc>
        <w:tc>
          <w:tcPr>
            <w:tcW w:w="1728" w:type="dxa"/>
            <w:tcBorders>
              <w:top w:val="single" w:sz="8" w:space="0" w:color="5B9BD5" w:themeColor="accent1"/>
              <w:bottom w:val="single" w:sz="8" w:space="0" w:color="5B9BD5" w:themeColor="accent1"/>
              <w:right w:val="single" w:sz="8" w:space="0" w:color="5B9BD5" w:themeColor="accent1"/>
            </w:tcBorders>
            <w:shd w:val="clear" w:color="auto" w:fill="D6E6F4" w:themeFill="accent1" w:themeFillTint="3F"/>
          </w:tcPr>
          <w:p w14:paraId="412E2155" w14:textId="77777777" w:rsidR="006E066A" w:rsidRDefault="003E6091">
            <w:pPr>
              <w:jc w:val="both"/>
              <w:cnfStyle w:val="000000000000" w:firstRow="0" w:lastRow="0" w:firstColumn="0" w:lastColumn="0" w:oddVBand="0" w:evenVBand="0" w:oddHBand="0" w:evenHBand="0" w:firstRowFirstColumn="0" w:firstRowLastColumn="0" w:lastRowFirstColumn="0" w:lastRowLastColumn="0"/>
            </w:pPr>
            <w:r>
              <w:rPr>
                <w:sz w:val="19"/>
              </w:rPr>
              <w:t>41.4%</w:t>
            </w:r>
          </w:p>
        </w:tc>
      </w:tr>
    </w:tbl>
    <w:p w14:paraId="170F80DE" w14:textId="77777777" w:rsidR="006E066A" w:rsidRDefault="006E066A">
      <w:pPr>
        <w:jc w:val="both"/>
      </w:pPr>
    </w:p>
    <w:p w14:paraId="48CF7AD2" w14:textId="77777777" w:rsidR="006E066A" w:rsidRDefault="003E6091">
      <w:pPr>
        <w:jc w:val="both"/>
      </w:pPr>
      <w:r>
        <w:rPr>
          <w:noProof/>
        </w:rPr>
        <w:drawing>
          <wp:inline distT="0" distB="0" distL="0" distR="0" wp14:anchorId="53716A14" wp14:editId="40FF6C6A">
            <wp:extent cx="3175635" cy="2125980"/>
            <wp:effectExtent l="0" t="0" r="5715" b="762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4"/>
                    <a:stretch>
                      <a:fillRect/>
                    </a:stretch>
                  </pic:blipFill>
                  <pic:spPr>
                    <a:xfrm>
                      <a:off x="0" y="0"/>
                      <a:ext cx="3197225" cy="2140116"/>
                    </a:xfrm>
                    <a:prstGeom prst="rect">
                      <a:avLst/>
                    </a:prstGeom>
                  </pic:spPr>
                </pic:pic>
              </a:graphicData>
            </a:graphic>
          </wp:inline>
        </w:drawing>
      </w:r>
    </w:p>
    <w:p w14:paraId="5AA7B0A4" w14:textId="77777777" w:rsidR="006E066A" w:rsidRDefault="003E6091">
      <w:pPr>
        <w:jc w:val="both"/>
        <w:rPr>
          <w:i/>
          <w:sz w:val="17"/>
        </w:rPr>
      </w:pPr>
      <w:r>
        <w:rPr>
          <w:i/>
          <w:sz w:val="17"/>
        </w:rPr>
        <w:t>Figure 4 — The strongest control: training 574x fewer parameters costs ~8 points in the laboratory and loses nothing in the field.</w:t>
      </w:r>
    </w:p>
    <w:p w14:paraId="6E30620F" w14:textId="77777777" w:rsidR="006E066A" w:rsidRDefault="006E066A">
      <w:pPr>
        <w:jc w:val="both"/>
      </w:pPr>
    </w:p>
    <w:p w14:paraId="512EDB86" w14:textId="77777777" w:rsidR="006E066A" w:rsidRDefault="003E6091">
      <w:pPr>
        <w:jc w:val="both"/>
        <w:rPr>
          <w:i/>
          <w:lang w:eastAsia="zh-CN"/>
        </w:rPr>
      </w:pPr>
      <w:r>
        <w:rPr>
          <w:rFonts w:hint="eastAsia"/>
          <w:i/>
          <w:sz w:val="17"/>
          <w:lang w:eastAsia="zh-CN"/>
        </w:rPr>
        <w:t xml:space="preserve">2. </w:t>
      </w:r>
      <w:r>
        <w:t>Robustness and adaptation</w:t>
      </w:r>
    </w:p>
    <w:p w14:paraId="0DA88A1C" w14:textId="77777777" w:rsidR="006E066A" w:rsidRDefault="003E6091">
      <w:pPr>
        <w:jc w:val="both"/>
      </w:pPr>
      <w:r>
        <w:t>Field accuracy is nearly flat across capture-quality bins (luminance, contrast, and sharpness gaps under 1.6 points), so the failure is not caused by poor photographs — it is uniform across bright, dark, sharp and blurry images. The domain gap is compositional (whole plants, overlapping foliage, varying scale), not photometric. The honest remedy is target-domain data: fine-tuning on PlantDoc raises accuracy from 16.1% through 47.0% at 20 shots per class to 55.9% with all field data, an improvement of 39.8 points over the zero-shot baseline that meets the reference dataset's own 31-point improvement target.</w:t>
      </w:r>
    </w:p>
    <w:p w14:paraId="15C71344" w14:textId="77777777" w:rsidR="006E066A" w:rsidRDefault="006E066A">
      <w:pPr>
        <w:jc w:val="both"/>
      </w:pPr>
    </w:p>
    <w:p w14:paraId="113AC8EF" w14:textId="77777777" w:rsidR="006E066A" w:rsidRDefault="003E6091">
      <w:r>
        <w:rPr>
          <w:noProof/>
        </w:rPr>
        <w:drawing>
          <wp:inline distT="0" distB="0" distL="0" distR="0" wp14:anchorId="21EEEE9C" wp14:editId="664490D0">
            <wp:extent cx="2284095" cy="1731010"/>
            <wp:effectExtent l="0" t="0" r="190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2300265" cy="1743185"/>
                    </a:xfrm>
                    <a:prstGeom prst="rect">
                      <a:avLst/>
                    </a:prstGeom>
                  </pic:spPr>
                </pic:pic>
              </a:graphicData>
            </a:graphic>
          </wp:inline>
        </w:drawing>
      </w:r>
    </w:p>
    <w:p w14:paraId="173B3944" w14:textId="77777777" w:rsidR="006E066A" w:rsidRDefault="003E6091">
      <w:pPr>
        <w:jc w:val="both"/>
        <w:rPr>
          <w:lang w:eastAsia="zh-CN"/>
        </w:rPr>
      </w:pPr>
      <w:r>
        <w:rPr>
          <w:i/>
          <w:sz w:val="17"/>
        </w:rPr>
        <w:t>Figure 5 — Supervised adaptation on field data, the honest remedy: 16.1% zero-shot to 55.9% with the full field training set.</w:t>
      </w:r>
    </w:p>
    <w:p w14:paraId="5610A145" w14:textId="77777777" w:rsidR="006E066A" w:rsidRDefault="006E066A">
      <w:pPr>
        <w:jc w:val="both"/>
        <w:rPr>
          <w:lang w:eastAsia="zh-CN"/>
        </w:rPr>
      </w:pPr>
    </w:p>
    <w:p w14:paraId="5707BD6A" w14:textId="77777777" w:rsidR="006E066A" w:rsidRDefault="003E6091">
      <w:pPr>
        <w:jc w:val="both"/>
        <w:rPr>
          <w:i/>
          <w:iCs/>
          <w:lang w:eastAsia="zh-CN"/>
        </w:rPr>
      </w:pPr>
      <w:r>
        <w:rPr>
          <w:rFonts w:hint="eastAsia"/>
          <w:i/>
          <w:iCs/>
          <w:lang w:eastAsia="zh-CN"/>
        </w:rPr>
        <w:t>3. The findings and the Limitations.</w:t>
      </w:r>
    </w:p>
    <w:p w14:paraId="5EFA742E" w14:textId="77777777" w:rsidR="006E066A" w:rsidRDefault="003E6091">
      <w:pPr>
        <w:jc w:val="both"/>
      </w:pPr>
      <w:r>
        <w:t>The project's contribution is not a 99% accuracy; it is the demonstration, with controlled experiments rather than assertion, that this number is largely capture bias and leaf leakage, and that it does not survive contact with the field the brief describes. Three results carry the argument: 574 times the trainable parameters buy no field accuracy; removing colour costs one laboratory point but fifteen field points, showing the benchmark cannot distinguish a model that reads symptoms from one that does not; and the field error decomposes cleanly into a crop-identification bottleneck that augmentation cannot fix, because PlantVillage contains no whole-plant, multi-leaf, distant views to learn from.</w:t>
      </w:r>
    </w:p>
    <w:p w14:paraId="4947FF66" w14:textId="77777777" w:rsidR="006E066A" w:rsidRDefault="003E6091">
      <w:pPr>
        <w:jc w:val="both"/>
      </w:pPr>
      <w:r>
        <w:rPr>
          <w:rFonts w:hint="eastAsia"/>
          <w:lang w:eastAsia="zh-CN"/>
        </w:rPr>
        <w:t xml:space="preserve">Also, we have get some some limitations of the model and the dataset. </w:t>
      </w:r>
      <w:r>
        <w:t>Our field evaluation on the 236-image test split carries a Wilson interval of roughly five points; we therefore report full-dataset figures alongside it. PlantDoc carries label noise and its train</w:t>
      </w:r>
      <w:r>
        <w:rPr>
          <w:rFonts w:hint="eastAsia"/>
          <w:lang w:eastAsia="zh-CN"/>
        </w:rPr>
        <w:t xml:space="preserve"> or </w:t>
      </w:r>
      <w:r>
        <w:t>test splits differ in content. Severity is validated on 150 leaves by three annotators, and the human cross-check of the joint head rests on the 20 of those leaves in the model's test split, so its ordering is indicative rather than conclusive. Growth-stage robustness cannot be tested because PlantDoc carries no stage labels; we record it as a limitation rather than proxy it.</w:t>
      </w:r>
    </w:p>
    <w:p w14:paraId="6A1DBB1A" w14:textId="77777777" w:rsidR="006E066A" w:rsidRDefault="006E066A">
      <w:pPr>
        <w:jc w:val="both"/>
        <w:rPr>
          <w:i/>
          <w:iCs/>
          <w:lang w:eastAsia="zh-CN"/>
        </w:rPr>
      </w:pPr>
    </w:p>
    <w:p w14:paraId="119FC67D" w14:textId="77777777" w:rsidR="006E066A" w:rsidRDefault="003E6091">
      <w:pPr>
        <w:pStyle w:val="1"/>
      </w:pPr>
      <w:r>
        <w:t>CONCLUSION</w:t>
      </w:r>
    </w:p>
    <w:p w14:paraId="398E6E6B" w14:textId="77777777" w:rsidR="006E066A" w:rsidRDefault="003E6091">
      <w:pPr>
        <w:jc w:val="both"/>
      </w:pPr>
      <w:r>
        <w:t>A CNN ensemble classifies PlantVillage leaves at 99.5% and healthy-versus-diseased at essentially 100%, and a jointly trained model estimates severity from image features as a genuine output. But the brief's deployment aim is met only under honest scrutiny</w:t>
      </w:r>
      <w:r>
        <w:rPr>
          <w:rFonts w:hint="eastAsia"/>
          <w:lang w:eastAsia="zh-CN"/>
        </w:rPr>
        <w:t>, which means that</w:t>
      </w:r>
      <w:r>
        <w:t xml:space="preserve"> the laboratory accuracy is inflated by capture bias and leaf leakage and collapses to 16% in the field, where the binding constraint is crop identification. Supervised adaptation to field data is the truthful path forward, recovering accuracy to 56%. </w:t>
      </w:r>
      <w:r>
        <w:rPr>
          <w:rFonts w:hint="eastAsia"/>
          <w:lang w:eastAsia="zh-CN"/>
        </w:rPr>
        <w:t xml:space="preserve">In this </w:t>
      </w:r>
      <w:r>
        <w:rPr>
          <w:lang w:eastAsia="zh-CN"/>
        </w:rPr>
        <w:t>report</w:t>
      </w:r>
      <w:r>
        <w:rPr>
          <w:rFonts w:hint="eastAsia"/>
          <w:lang w:eastAsia="zh-CN"/>
        </w:rPr>
        <w:t>, we show that</w:t>
      </w:r>
      <w:r>
        <w:t xml:space="preserve"> the field number honestly beside the laboratory one</w:t>
      </w:r>
      <w:r>
        <w:rPr>
          <w:rFonts w:hint="eastAsia"/>
          <w:lang w:eastAsia="zh-CN"/>
        </w:rPr>
        <w:t>,</w:t>
      </w:r>
      <w:r>
        <w:t xml:space="preserve"> rather than the 99% alone</w:t>
      </w:r>
      <w:r>
        <w:rPr>
          <w:rFonts w:hint="eastAsia"/>
          <w:lang w:eastAsia="zh-CN"/>
        </w:rPr>
        <w:t>, which</w:t>
      </w:r>
      <w:r>
        <w:t xml:space="preserve"> is the result most useful to the farmer</w:t>
      </w:r>
      <w:r>
        <w:rPr>
          <w:rFonts w:hint="eastAsia"/>
          <w:lang w:eastAsia="zh-CN"/>
        </w:rPr>
        <w:t xml:space="preserve">. It is similar with what </w:t>
      </w:r>
      <w:r>
        <w:t>the brief describes.</w:t>
      </w:r>
    </w:p>
    <w:p w14:paraId="282EE3E0" w14:textId="77777777" w:rsidR="006E066A" w:rsidRDefault="006E066A">
      <w:pPr>
        <w:pStyle w:val="a3"/>
      </w:pPr>
    </w:p>
    <w:p w14:paraId="29E8DC85" w14:textId="77777777" w:rsidR="006E066A" w:rsidRDefault="003E6091">
      <w:pPr>
        <w:pStyle w:val="5"/>
      </w:pPr>
      <w:r>
        <w:t>References</w:t>
      </w:r>
    </w:p>
    <w:p w14:paraId="6560B37B" w14:textId="77777777" w:rsidR="006E066A" w:rsidRDefault="006E066A"/>
    <w:p w14:paraId="49D2555E" w14:textId="77777777" w:rsidR="006E066A" w:rsidRDefault="003E6091">
      <w:pPr>
        <w:pStyle w:val="references"/>
      </w:pPr>
      <w:r>
        <w:t>Ferentinos, K. P. (2018). Deep learning models for plant disease detection and diagnosis. Computers and Electronics in Agriculture, 145, 311–318.</w:t>
      </w:r>
    </w:p>
    <w:p w14:paraId="2521CF44" w14:textId="77777777" w:rsidR="006E066A" w:rsidRDefault="003E6091">
      <w:pPr>
        <w:pStyle w:val="references"/>
      </w:pPr>
      <w:r>
        <w:t>Mohanty, S. P., Hughes, D. P., &amp; Salathé, M. (2016). Using deep learning for image-based plant disease detection. Frontiers in Plant Science, 7, 1419.</w:t>
      </w:r>
    </w:p>
    <w:p w14:paraId="1D192E8F" w14:textId="77777777" w:rsidR="006E066A" w:rsidRDefault="003E6091">
      <w:pPr>
        <w:pStyle w:val="references"/>
      </w:pPr>
      <w:r>
        <w:t>Singh, D., Jain, N., Jain, P., Kayal, P., Kumawat, S., &amp; Batra, N. (2020). PlantDoc: A dataset for visual plant disease detection. In Proc. 7th ACM IKDD CoDS and 25th COMAD, 249–253.</w:t>
      </w:r>
    </w:p>
    <w:p w14:paraId="6A1BE908" w14:textId="77777777" w:rsidR="006E066A" w:rsidRDefault="006E066A">
      <w:pPr>
        <w:pStyle w:val="references"/>
        <w:numPr>
          <w:ilvl w:val="0"/>
          <w:numId w:val="0"/>
        </w:numPr>
        <w:ind w:left="354"/>
      </w:pPr>
    </w:p>
    <w:p w14:paraId="4BC7C3E1" w14:textId="77777777" w:rsidR="006E066A" w:rsidRDefault="006E066A">
      <w:pPr>
        <w:pStyle w:val="references"/>
        <w:numPr>
          <w:ilvl w:val="0"/>
          <w:numId w:val="0"/>
        </w:numPr>
        <w:ind w:left="360" w:hanging="360"/>
      </w:pPr>
    </w:p>
    <w:p w14:paraId="49B25EC3" w14:textId="77777777" w:rsidR="006E066A" w:rsidRDefault="006E066A">
      <w:pPr>
        <w:pStyle w:val="references"/>
        <w:numPr>
          <w:ilvl w:val="0"/>
          <w:numId w:val="0"/>
        </w:numPr>
        <w:spacing w:line="240" w:lineRule="auto"/>
        <w:ind w:left="360" w:hanging="360"/>
        <w:jc w:val="center"/>
        <w:rPr>
          <w:rFonts w:eastAsia="宋体"/>
          <w:b/>
          <w:color w:val="FF0000"/>
          <w:spacing w:val="-1"/>
          <w:sz w:val="20"/>
          <w:szCs w:val="20"/>
          <w:lang w:val="zh-CN" w:eastAsia="zh-CN"/>
        </w:rPr>
        <w:sectPr w:rsidR="006E066A">
          <w:type w:val="continuous"/>
          <w:pgSz w:w="11906" w:h="16838"/>
          <w:pgMar w:top="1080" w:right="907" w:bottom="1440" w:left="907" w:header="720" w:footer="720" w:gutter="0"/>
          <w:cols w:num="2" w:space="360"/>
          <w:docGrid w:linePitch="360"/>
        </w:sectPr>
      </w:pPr>
    </w:p>
    <w:p w14:paraId="5AEA3861" w14:textId="77777777" w:rsidR="006E066A" w:rsidRDefault="006E066A"/>
    <w:sectPr w:rsidR="006E066A">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64056" w14:textId="77777777" w:rsidR="00045402" w:rsidRDefault="00045402">
      <w:r>
        <w:separator/>
      </w:r>
    </w:p>
  </w:endnote>
  <w:endnote w:type="continuationSeparator" w:id="0">
    <w:p w14:paraId="3F185A8E" w14:textId="77777777" w:rsidR="00045402" w:rsidRDefault="00045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85EFF" w14:textId="77777777" w:rsidR="006E066A" w:rsidRDefault="003E6091">
    <w:pPr>
      <w:pStyle w:val="a5"/>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3B559" w14:textId="77777777" w:rsidR="00045402" w:rsidRDefault="00045402">
      <w:r>
        <w:separator/>
      </w:r>
    </w:p>
  </w:footnote>
  <w:footnote w:type="continuationSeparator" w:id="0">
    <w:p w14:paraId="5200149A" w14:textId="77777777" w:rsidR="00045402" w:rsidRDefault="000454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919873050">
    <w:abstractNumId w:val="2"/>
  </w:num>
  <w:num w:numId="2" w16cid:durableId="720136455">
    <w:abstractNumId w:val="1"/>
  </w:num>
  <w:num w:numId="3" w16cid:durableId="1435593334">
    <w:abstractNumId w:val="5"/>
  </w:num>
  <w:num w:numId="4" w16cid:durableId="546913355">
    <w:abstractNumId w:val="0"/>
  </w:num>
  <w:num w:numId="5" w16cid:durableId="1067193853">
    <w:abstractNumId w:val="4"/>
  </w:num>
  <w:num w:numId="6" w16cid:durableId="2127043782">
    <w:abstractNumId w:val="3"/>
  </w:num>
  <w:num w:numId="7" w16cid:durableId="19853065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E69"/>
    <w:rsid w:val="00045402"/>
    <w:rsid w:val="00045620"/>
    <w:rsid w:val="0004781E"/>
    <w:rsid w:val="0008758A"/>
    <w:rsid w:val="000A156C"/>
    <w:rsid w:val="000A60FB"/>
    <w:rsid w:val="000B651F"/>
    <w:rsid w:val="000C1E68"/>
    <w:rsid w:val="000E71FD"/>
    <w:rsid w:val="00140691"/>
    <w:rsid w:val="001A2EFD"/>
    <w:rsid w:val="001A3B3D"/>
    <w:rsid w:val="001B67DC"/>
    <w:rsid w:val="002254A9"/>
    <w:rsid w:val="00233D97"/>
    <w:rsid w:val="002347A2"/>
    <w:rsid w:val="002850E3"/>
    <w:rsid w:val="00354FCF"/>
    <w:rsid w:val="003A19E2"/>
    <w:rsid w:val="003B2B40"/>
    <w:rsid w:val="003B4E04"/>
    <w:rsid w:val="003B6C55"/>
    <w:rsid w:val="003E6091"/>
    <w:rsid w:val="003F5A08"/>
    <w:rsid w:val="00420716"/>
    <w:rsid w:val="004325FB"/>
    <w:rsid w:val="004432BA"/>
    <w:rsid w:val="0044407E"/>
    <w:rsid w:val="00447BB9"/>
    <w:rsid w:val="0046031D"/>
    <w:rsid w:val="004651BB"/>
    <w:rsid w:val="00473AC9"/>
    <w:rsid w:val="004D0EBF"/>
    <w:rsid w:val="004D72B5"/>
    <w:rsid w:val="00551B7F"/>
    <w:rsid w:val="0056610F"/>
    <w:rsid w:val="00575BCA"/>
    <w:rsid w:val="00594A7E"/>
    <w:rsid w:val="005B0344"/>
    <w:rsid w:val="005B520E"/>
    <w:rsid w:val="005E2800"/>
    <w:rsid w:val="00605825"/>
    <w:rsid w:val="00645D22"/>
    <w:rsid w:val="00651A08"/>
    <w:rsid w:val="00654204"/>
    <w:rsid w:val="00670434"/>
    <w:rsid w:val="00695384"/>
    <w:rsid w:val="006A5D82"/>
    <w:rsid w:val="006B6B66"/>
    <w:rsid w:val="006E066A"/>
    <w:rsid w:val="006F6D3D"/>
    <w:rsid w:val="00700049"/>
    <w:rsid w:val="00715BEA"/>
    <w:rsid w:val="00740EEA"/>
    <w:rsid w:val="00794804"/>
    <w:rsid w:val="007B33F1"/>
    <w:rsid w:val="007B6DDA"/>
    <w:rsid w:val="007C0308"/>
    <w:rsid w:val="007C2FF2"/>
    <w:rsid w:val="007D6232"/>
    <w:rsid w:val="007F1F99"/>
    <w:rsid w:val="007F768F"/>
    <w:rsid w:val="0080791D"/>
    <w:rsid w:val="0081320F"/>
    <w:rsid w:val="008147B5"/>
    <w:rsid w:val="00836367"/>
    <w:rsid w:val="00873603"/>
    <w:rsid w:val="008A2C7D"/>
    <w:rsid w:val="008B6524"/>
    <w:rsid w:val="008C4B23"/>
    <w:rsid w:val="008F6E2C"/>
    <w:rsid w:val="009303D9"/>
    <w:rsid w:val="00933C64"/>
    <w:rsid w:val="00972203"/>
    <w:rsid w:val="009F1D79"/>
    <w:rsid w:val="00A059B3"/>
    <w:rsid w:val="00A31B8F"/>
    <w:rsid w:val="00A63806"/>
    <w:rsid w:val="00AE3409"/>
    <w:rsid w:val="00B11A60"/>
    <w:rsid w:val="00B22613"/>
    <w:rsid w:val="00B44A76"/>
    <w:rsid w:val="00B522E5"/>
    <w:rsid w:val="00B768D1"/>
    <w:rsid w:val="00BA1025"/>
    <w:rsid w:val="00BC3420"/>
    <w:rsid w:val="00BD670B"/>
    <w:rsid w:val="00BE7D3C"/>
    <w:rsid w:val="00BF1DB8"/>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4870"/>
    <w:rsid w:val="00E165BC"/>
    <w:rsid w:val="00E61E12"/>
    <w:rsid w:val="00E64F72"/>
    <w:rsid w:val="00E725FA"/>
    <w:rsid w:val="00E7596C"/>
    <w:rsid w:val="00E878F2"/>
    <w:rsid w:val="00E97618"/>
    <w:rsid w:val="00E9790F"/>
    <w:rsid w:val="00ED0149"/>
    <w:rsid w:val="00EF7DE3"/>
    <w:rsid w:val="00F03103"/>
    <w:rsid w:val="00F271DE"/>
    <w:rsid w:val="00F40B36"/>
    <w:rsid w:val="00F627DA"/>
    <w:rsid w:val="00F7288F"/>
    <w:rsid w:val="00F847A6"/>
    <w:rsid w:val="00F9441B"/>
    <w:rsid w:val="00FA3FB4"/>
    <w:rsid w:val="00FA4C32"/>
    <w:rsid w:val="00FE7114"/>
    <w:rsid w:val="1C741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9F0644"/>
  <w15:docId w15:val="{30EF90E3-06F2-4CBA-AC64-29BE234BB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rPr>
      <w:lang w:eastAsia="en-US"/>
    </w:rPr>
  </w:style>
  <w:style w:type="paragraph" w:styleId="1">
    <w:name w:val="heading 1"/>
    <w:basedOn w:val="a"/>
    <w:next w:val="a"/>
    <w:qFormat/>
    <w:pPr>
      <w:keepNext/>
      <w:keepLines/>
      <w:numPr>
        <w:numId w:val="1"/>
      </w:numPr>
      <w:tabs>
        <w:tab w:val="left" w:pos="216"/>
      </w:tabs>
      <w:spacing w:before="160" w:after="80"/>
      <w:ind w:firstLine="0"/>
      <w:outlineLvl w:val="0"/>
    </w:pPr>
    <w:rPr>
      <w:smallCaps/>
    </w:rPr>
  </w:style>
  <w:style w:type="paragraph" w:styleId="2">
    <w:name w:val="heading 2"/>
    <w:basedOn w:val="a"/>
    <w:next w:val="a"/>
    <w:qFormat/>
    <w:pPr>
      <w:keepNext/>
      <w:keepLines/>
      <w:numPr>
        <w:ilvl w:val="1"/>
        <w:numId w:val="1"/>
      </w:numPr>
      <w:tabs>
        <w:tab w:val="clear" w:pos="360"/>
        <w:tab w:val="left" w:pos="288"/>
      </w:tabs>
      <w:spacing w:before="120" w:after="60"/>
      <w:jc w:val="left"/>
      <w:outlineLvl w:val="1"/>
    </w:pPr>
    <w:rPr>
      <w:i/>
      <w:iCs/>
    </w:rPr>
  </w:style>
  <w:style w:type="paragraph" w:styleId="3">
    <w:name w:val="heading 3"/>
    <w:basedOn w:val="a"/>
    <w:next w:val="a"/>
    <w:qFormat/>
    <w:pPr>
      <w:numPr>
        <w:ilvl w:val="2"/>
        <w:numId w:val="1"/>
      </w:numPr>
      <w:spacing w:line="240" w:lineRule="exact"/>
      <w:ind w:firstLine="288"/>
      <w:jc w:val="both"/>
      <w:outlineLvl w:val="2"/>
    </w:pPr>
    <w:rPr>
      <w:i/>
      <w:iCs/>
    </w:rPr>
  </w:style>
  <w:style w:type="paragraph" w:styleId="4">
    <w:name w:val="heading 4"/>
    <w:basedOn w:val="a"/>
    <w:next w:val="a"/>
    <w:qFormat/>
    <w:pPr>
      <w:numPr>
        <w:ilvl w:val="3"/>
        <w:numId w:val="1"/>
      </w:numPr>
      <w:tabs>
        <w:tab w:val="clear" w:pos="630"/>
        <w:tab w:val="left" w:pos="720"/>
      </w:tabs>
      <w:spacing w:before="40" w:after="40"/>
      <w:ind w:firstLine="504"/>
      <w:jc w:val="both"/>
      <w:outlineLvl w:val="3"/>
    </w:pPr>
    <w:rPr>
      <w:i/>
      <w:iCs/>
    </w:rPr>
  </w:style>
  <w:style w:type="paragraph" w:styleId="5">
    <w:name w:val="heading 5"/>
    <w:basedOn w:val="a"/>
    <w:next w:val="a"/>
    <w:qFormat/>
    <w:pPr>
      <w:tabs>
        <w:tab w:val="left" w:pos="360"/>
      </w:tabs>
      <w:spacing w:before="160" w:after="80"/>
      <w:outlineLvl w:val="4"/>
    </w:pPr>
    <w:rPr>
      <w:small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tabs>
        <w:tab w:val="left" w:pos="288"/>
      </w:tabs>
      <w:spacing w:after="120" w:line="228" w:lineRule="auto"/>
      <w:ind w:firstLine="288"/>
      <w:jc w:val="both"/>
    </w:pPr>
    <w:rPr>
      <w:spacing w:val="-1"/>
      <w:lang w:val="zh-CN" w:eastAsia="zh-CN"/>
    </w:rPr>
  </w:style>
  <w:style w:type="paragraph" w:styleId="a5">
    <w:name w:val="footer"/>
    <w:basedOn w:val="a"/>
    <w:link w:val="a6"/>
    <w:pPr>
      <w:tabs>
        <w:tab w:val="center" w:pos="4680"/>
        <w:tab w:val="right" w:pos="9360"/>
      </w:tabs>
    </w:pPr>
  </w:style>
  <w:style w:type="paragraph" w:styleId="a7">
    <w:name w:val="header"/>
    <w:basedOn w:val="a"/>
    <w:link w:val="a8"/>
    <w:qFormat/>
    <w:pPr>
      <w:tabs>
        <w:tab w:val="center" w:pos="4680"/>
        <w:tab w:val="right" w:pos="9360"/>
      </w:tabs>
    </w:pPr>
  </w:style>
  <w:style w:type="table" w:styleId="-1">
    <w:name w:val="Light Grid Accent 1"/>
    <w:basedOn w:val="a1"/>
    <w:uiPriority w:val="62"/>
    <w:rPr>
      <w:rFonts w:asciiTheme="minorHAnsi" w:eastAsiaTheme="minorEastAsia" w:hAnsiTheme="minorHAnsi" w:cstheme="minorBidi"/>
      <w:sz w:val="22"/>
      <w:szCs w:val="22"/>
    </w:rPr>
    <w:tblP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auto"/>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auto"/>
        </w:tcBorders>
      </w:tcPr>
    </w:tblStylePr>
  </w:style>
  <w:style w:type="paragraph" w:customStyle="1" w:styleId="Abstract">
    <w:name w:val="Abstract"/>
    <w:qFormat/>
    <w:pPr>
      <w:spacing w:after="200"/>
      <w:ind w:firstLine="272"/>
      <w:jc w:val="both"/>
    </w:pPr>
    <w:rPr>
      <w:b/>
      <w:bCs/>
      <w:sz w:val="18"/>
      <w:szCs w:val="18"/>
      <w:lang w:eastAsia="en-US"/>
    </w:rPr>
  </w:style>
  <w:style w:type="paragraph" w:customStyle="1" w:styleId="Affiliation">
    <w:name w:val="Affiliation"/>
    <w:qFormat/>
    <w:pPr>
      <w:jc w:val="center"/>
    </w:pPr>
    <w:rPr>
      <w:lang w:eastAsia="en-US"/>
    </w:rPr>
  </w:style>
  <w:style w:type="paragraph" w:customStyle="1" w:styleId="Author">
    <w:name w:val="Author"/>
    <w:qFormat/>
    <w:pPr>
      <w:spacing w:before="360" w:after="40"/>
      <w:jc w:val="center"/>
    </w:pPr>
    <w:rPr>
      <w:sz w:val="22"/>
      <w:szCs w:val="22"/>
      <w:lang w:eastAsia="en-US"/>
    </w:rPr>
  </w:style>
  <w:style w:type="character" w:customStyle="1" w:styleId="a4">
    <w:name w:val="正文文本 字符"/>
    <w:link w:val="a3"/>
    <w:qFormat/>
    <w:rPr>
      <w:spacing w:val="-1"/>
      <w:lang w:val="zh-CN" w:eastAsia="zh-CN"/>
    </w:rPr>
  </w:style>
  <w:style w:type="paragraph" w:customStyle="1" w:styleId="bulletlist">
    <w:name w:val="bullet list"/>
    <w:basedOn w:val="a3"/>
    <w:qFormat/>
    <w:pPr>
      <w:numPr>
        <w:numId w:val="2"/>
      </w:numPr>
      <w:tabs>
        <w:tab w:val="clear" w:pos="648"/>
      </w:tabs>
      <w:ind w:left="576" w:hanging="288"/>
    </w:pPr>
  </w:style>
  <w:style w:type="paragraph" w:customStyle="1" w:styleId="equation">
    <w:name w:val="equation"/>
    <w:basedOn w:val="a"/>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eastAsia="en-US"/>
    </w:rPr>
  </w:style>
  <w:style w:type="paragraph" w:customStyle="1" w:styleId="papersubtitle">
    <w:name w:val="paper subtitle"/>
    <w:qFormat/>
    <w:pPr>
      <w:spacing w:after="120"/>
      <w:jc w:val="center"/>
    </w:pPr>
    <w:rPr>
      <w:rFonts w:eastAsia="MS Mincho"/>
      <w:sz w:val="28"/>
      <w:szCs w:val="28"/>
      <w:lang w:eastAsia="en-US"/>
    </w:rPr>
  </w:style>
  <w:style w:type="paragraph" w:customStyle="1" w:styleId="papertitle">
    <w:name w:val="paper title"/>
    <w:qFormat/>
    <w:pPr>
      <w:spacing w:after="120"/>
      <w:jc w:val="center"/>
    </w:pPr>
    <w:rPr>
      <w:rFonts w:eastAsia="MS Mincho"/>
      <w:sz w:val="48"/>
      <w:szCs w:val="48"/>
      <w:lang w:eastAsia="en-US"/>
    </w:rPr>
  </w:style>
  <w:style w:type="paragraph" w:customStyle="1" w:styleId="references">
    <w:name w:val="references"/>
    <w:pPr>
      <w:numPr>
        <w:numId w:val="5"/>
      </w:numPr>
      <w:spacing w:after="50" w:line="180" w:lineRule="exact"/>
      <w:jc w:val="both"/>
    </w:pPr>
    <w:rPr>
      <w:rFonts w:eastAsia="MS Mincho"/>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qFormat/>
    <w:pPr>
      <w:jc w:val="both"/>
    </w:pPr>
    <w:rPr>
      <w:sz w:val="16"/>
      <w:szCs w:val="16"/>
      <w:lang w:eastAsia="en-US"/>
    </w:rPr>
  </w:style>
  <w:style w:type="paragraph" w:customStyle="1" w:styleId="tablefootnote">
    <w:name w:val="table footnote"/>
    <w:qFormat/>
    <w:pPr>
      <w:numPr>
        <w:numId w:val="6"/>
      </w:numPr>
      <w:spacing w:before="60" w:after="30"/>
      <w:ind w:left="58" w:hanging="29"/>
      <w:jc w:val="right"/>
    </w:pPr>
    <w:rPr>
      <w:sz w:val="12"/>
      <w:szCs w:val="12"/>
      <w:lang w:eastAsia="en-US"/>
    </w:rPr>
  </w:style>
  <w:style w:type="paragraph" w:customStyle="1" w:styleId="tablehead">
    <w:name w:val="table head"/>
    <w:qFormat/>
    <w:pPr>
      <w:numPr>
        <w:numId w:val="7"/>
      </w:numPr>
      <w:spacing w:before="240" w:after="120" w:line="216" w:lineRule="auto"/>
      <w:jc w:val="center"/>
    </w:pPr>
    <w:rPr>
      <w:smallCaps/>
      <w:sz w:val="16"/>
      <w:szCs w:val="16"/>
      <w:lang w:eastAsia="en-US"/>
    </w:rPr>
  </w:style>
  <w:style w:type="paragraph" w:customStyle="1" w:styleId="Keywords">
    <w:name w:val="Keywords"/>
    <w:basedOn w:val="Abstract"/>
    <w:qFormat/>
    <w:pPr>
      <w:spacing w:after="120"/>
      <w:ind w:firstLine="274"/>
    </w:pPr>
    <w:rPr>
      <w:i/>
    </w:rPr>
  </w:style>
  <w:style w:type="character" w:customStyle="1" w:styleId="a8">
    <w:name w:val="页眉 字符"/>
    <w:basedOn w:val="a0"/>
    <w:link w:val="a7"/>
    <w:qFormat/>
  </w:style>
  <w:style w:type="character" w:customStyle="1" w:styleId="a6">
    <w:name w:val="页脚 字符"/>
    <w:basedOn w:val="a0"/>
    <w:link w:val="a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2921</Words>
  <Characters>16143</Characters>
  <Application>Microsoft Office Word</Application>
  <DocSecurity>0</DocSecurity>
  <Lines>461</Lines>
  <Paragraphs>137</Paragraphs>
  <ScaleCrop>false</ScaleCrop>
  <Company>IEEE</Company>
  <LinksUpToDate>false</LinksUpToDate>
  <CharactersWithSpaces>18940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Yuyi Zhu</cp:lastModifiedBy>
  <cp:revision>22</cp:revision>
  <cp:lastPrinted>2026-08-01T06:56:00Z</cp:lastPrinted>
  <dcterms:created xsi:type="dcterms:W3CDTF">2024-07-16T13:42:00Z</dcterms:created>
  <dcterms:modified xsi:type="dcterms:W3CDTF">2026-08-01T06:56:00Z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eyJoZGlkIjoiZDk1OGMxM2I2MDZjMjlhZjc1ZjA0NTVlYTkwZmE5YzAiLCJ1c2VySWQiOiIxMDM3MDc5NTUzIn0=</vt:lpwstr>
  </property>
  <property fmtid="{D5CDD505-2E9C-101B-9397-08002B2CF9AE}" pid="3" name="KSOProductBuildVer">
    <vt:lpwstr>2052-12.1.0.26895</vt:lpwstr>
  </property>
  <property fmtid="{D5CDD505-2E9C-101B-9397-08002B2CF9AE}" pid="4" name="ICV">
    <vt:lpwstr>B71C39D5CBA6468D848D5F625312C425_12</vt:lpwstr>
  </property>
</Properties>
</file>