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BC6E45">
      <w:pPr>
        <w:jc w:val="both"/>
        <w:rPr>
          <w:rFonts w:hint="eastAsia"/>
        </w:rPr>
      </w:pPr>
      <w:r>
        <w:rPr>
          <w:b/>
          <w:sz w:val="40"/>
        </w:rPr>
        <w:t xml:space="preserve"> Automatic Plant Disease Detection Using Computer Vision</w:t>
      </w:r>
    </w:p>
    <w:p w14:paraId="20C779BD">
      <w:pPr>
        <w:pStyle w:val="15"/>
        <w:spacing w:before="100" w:beforeAutospacing="1" w:after="100" w:afterAutospacing="1"/>
        <w:rPr>
          <w:sz w:val="16"/>
          <w:szCs w:val="16"/>
        </w:rPr>
      </w:pPr>
      <w:r>
        <w:rPr>
          <w:sz w:val="16"/>
          <w:szCs w:val="16"/>
        </w:rPr>
        <w:t>&lt;Write your zIDs and names here&gt;</w:t>
      </w:r>
    </w:p>
    <w:p w14:paraId="1F960E65">
      <w:pPr>
        <w:pStyle w:val="15"/>
        <w:spacing w:before="100" w:beforeAutospacing="1" w:after="100" w:afterAutospacing="1" w:line="120" w:lineRule="auto"/>
        <w:rPr>
          <w:sz w:val="16"/>
          <w:szCs w:val="16"/>
        </w:rPr>
        <w:sectPr>
          <w:footerReference r:id="rId3" w:type="first"/>
          <w:pgSz w:w="11906" w:h="16838"/>
          <w:pgMar w:top="540" w:right="893" w:bottom="1440" w:left="893" w:header="720" w:footer="720" w:gutter="0"/>
          <w:cols w:space="720" w:num="1"/>
          <w:titlePg/>
          <w:docGrid w:linePitch="360" w:charSpace="0"/>
        </w:sectPr>
      </w:pPr>
    </w:p>
    <w:p w14:paraId="0316535E">
      <w:pPr>
        <w:jc w:val="both"/>
        <w:sectPr>
          <w:type w:val="continuous"/>
          <w:pgSz w:w="11906" w:h="16838"/>
          <w:pgMar w:top="450" w:right="893" w:bottom="1440" w:left="893" w:header="720" w:footer="720" w:gutter="0"/>
          <w:cols w:space="720" w:num="3"/>
          <w:docGrid w:linePitch="360" w:charSpace="0"/>
        </w:sectPr>
      </w:pPr>
    </w:p>
    <w:p w14:paraId="0A88E65D">
      <w:pPr>
        <w:sectPr>
          <w:type w:val="continuous"/>
          <w:pgSz w:w="11906" w:h="16838"/>
          <w:pgMar w:top="450" w:right="893" w:bottom="1440" w:left="893" w:header="720" w:footer="720" w:gutter="0"/>
          <w:cols w:space="720" w:num="3"/>
          <w:docGrid w:linePitch="360" w:charSpace="0"/>
        </w:sectPr>
      </w:pPr>
      <w:r>
        <w:br w:type="column"/>
      </w:r>
    </w:p>
    <w:p w14:paraId="40FA2D84">
      <w:pPr>
        <w:pStyle w:val="13"/>
        <w:rPr>
          <w:i/>
          <w:iCs/>
        </w:rPr>
      </w:pPr>
      <w:r>
        <w:rPr>
          <w:i/>
          <w:iCs/>
        </w:rPr>
        <w:t>Abstract</w:t>
      </w:r>
      <w:r>
        <w:t>—The project brief asks for a convolutional neural network that classifies plant leaves as healthy or diseased and estimates disease severity</w:t>
      </w:r>
      <w:r>
        <w:rPr>
          <w:lang w:eastAsia="zh-CN"/>
        </w:rPr>
        <w:t>. I</w:t>
      </w:r>
      <w:r>
        <w:t>n order to aid farmers in timely intervention. We show that this stated purpose is a deployment claim, and that a benchmark score alone cannot test it. Our ensemble reaches 99.53% on PlantVillage's 38 specific-disease classes and 99.96% on the healthy-versus-diseased task. We then demonstrate that this number is inflated by two independent mechanisms</w:t>
      </w:r>
      <w:r>
        <w:rPr>
          <w:rFonts w:hint="eastAsia"/>
          <w:lang w:eastAsia="zh-CN"/>
        </w:rPr>
        <w:t>, they are</w:t>
      </w:r>
      <w:r>
        <w:t xml:space="preserve"> background capture bias and train</w:t>
      </w:r>
      <w:r>
        <w:rPr>
          <w:rFonts w:hint="eastAsia"/>
          <w:lang w:eastAsia="zh-CN"/>
        </w:rPr>
        <w:t xml:space="preserve"> or </w:t>
      </w:r>
      <w:r>
        <w:t>test leakage of duplicate leaves</w:t>
      </w:r>
      <w:r>
        <w:rPr>
          <w:rFonts w:hint="eastAsia"/>
          <w:lang w:eastAsia="zh-CN"/>
        </w:rPr>
        <w:t>. H</w:t>
      </w:r>
      <w:r>
        <w:rPr>
          <w:lang w:eastAsia="zh-CN"/>
        </w:rPr>
        <w:t>o</w:t>
      </w:r>
      <w:r>
        <w:rPr>
          <w:rFonts w:hint="eastAsia"/>
          <w:lang w:eastAsia="zh-CN"/>
        </w:rPr>
        <w:t xml:space="preserve">wever, </w:t>
      </w:r>
      <w:r>
        <w:t>that it collapses to 16.1% on real field photographs, with the bottleneck being crop identification rather than disease diagnosis. Severity is estimated from image features and, when the backbone is trained jointly for classification and severity, becomes a genuine model output that reproduces official lesion masks almost perfectly (within-class rho 0.957) and beats classical estimators on human agreement, though all lesion-area methods plateau below human reliability. Supervised adaptation to field data recovers accuracy from 16.1% to 55.9%. The honest deployment story is domain adaptation, not a headline accuracy.</w:t>
      </w:r>
    </w:p>
    <w:p w14:paraId="58B10678">
      <w:pPr>
        <w:pStyle w:val="30"/>
      </w:pPr>
      <w:r>
        <w:t>Keywords—&lt;write keywords separated by commas&gt;</w:t>
      </w:r>
    </w:p>
    <w:p w14:paraId="1A521F3C">
      <w:pPr>
        <w:pStyle w:val="2"/>
      </w:pPr>
      <w:r>
        <w:t>Introduction</w:t>
      </w:r>
    </w:p>
    <w:p w14:paraId="10F5069A">
      <w:pPr>
        <w:jc w:val="both"/>
      </w:pPr>
      <w:r>
        <w:t xml:space="preserve">Plant diseases reduce agricultural productivity and threaten food security. Expert visual inspection is slow, subjective and does not scale, so the brief asks for a CNN that classifies leaves and estimates severity, </w:t>
      </w:r>
      <w:r>
        <w:rPr>
          <w:rFonts w:hint="eastAsia" w:ascii="宋体" w:hAnsi="宋体"/>
          <w:lang w:eastAsia="zh-CN"/>
        </w:rPr>
        <w:t>which</w:t>
      </w:r>
      <w:r>
        <w:rPr>
          <w:rFonts w:hint="eastAsia"/>
          <w:lang w:eastAsia="zh-CN"/>
        </w:rPr>
        <w:t xml:space="preserve"> aims </w:t>
      </w:r>
      <w:r>
        <w:t xml:space="preserve">to aid farmers and agricultural experts in timely intervention. </w:t>
      </w:r>
      <w:r>
        <w:rPr>
          <w:rFonts w:hint="eastAsia"/>
          <w:lang w:eastAsia="zh-CN"/>
        </w:rPr>
        <w:t>The aim</w:t>
      </w:r>
      <w:r>
        <w:rPr>
          <w:lang w:eastAsia="zh-CN"/>
        </w:rPr>
        <w:t>’</w:t>
      </w:r>
      <w:r>
        <w:rPr>
          <w:rFonts w:hint="eastAsia"/>
          <w:lang w:eastAsia="zh-CN"/>
        </w:rPr>
        <w:t>s</w:t>
      </w:r>
      <w:r>
        <w:t xml:space="preserve"> closing phrase is a deployment claim and it shapes the whole study. The PlantVillage dataset the brief points to is 54,305 studio photographs: single detached leaves, flat, centred, on uniform backgrounds under even lighting. Any modern CNN exceeds 99% on it, but that number cannot answer the brief's own question, because a farmer photographs whole plants in a field, not detached leaves in a studio.</w:t>
      </w:r>
    </w:p>
    <w:p w14:paraId="230B035C">
      <w:pPr>
        <w:jc w:val="both"/>
      </w:pPr>
      <w:r>
        <w:t>We therefore split the work into three research questions:</w:t>
      </w:r>
    </w:p>
    <w:p w14:paraId="0EF5FEB4">
      <w:pPr>
        <w:jc w:val="both"/>
      </w:pPr>
    </w:p>
    <w:tbl>
      <w:tblPr>
        <w:tblStyle w:val="11"/>
        <w:tblW w:w="0" w:type="auto"/>
        <w:jc w:val="center"/>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Layout w:type="autofit"/>
        <w:tblCellMar>
          <w:top w:w="0" w:type="dxa"/>
          <w:left w:w="108" w:type="dxa"/>
          <w:bottom w:w="0" w:type="dxa"/>
          <w:right w:w="108" w:type="dxa"/>
        </w:tblCellMar>
      </w:tblPr>
      <w:tblGrid>
        <w:gridCol w:w="1527"/>
        <w:gridCol w:w="1909"/>
        <w:gridCol w:w="1646"/>
      </w:tblGrid>
      <w:tr w14:paraId="79647A5F">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Ex>
        <w:trPr>
          <w:jc w:val="center"/>
        </w:trPr>
        <w:tc>
          <w:tcPr>
            <w:tcW w:w="2880" w:type="dxa"/>
            <w:tcBorders>
              <w:top w:val="single" w:color="5B9BD5" w:themeColor="accent1" w:sz="8" w:space="0"/>
              <w:left w:val="single" w:color="5B9BD5" w:themeColor="accent1" w:sz="8" w:space="0"/>
              <w:bottom w:val="single" w:color="5B9BD5" w:themeColor="accent1" w:sz="18" w:space="0"/>
              <w:right w:val="single" w:color="5B9BD5" w:themeColor="accent1" w:sz="8" w:space="0"/>
              <w:insideH w:val="single" w:sz="18" w:space="0"/>
              <w:insideV w:val="single" w:sz="8" w:space="0"/>
            </w:tcBorders>
          </w:tcPr>
          <w:p w14:paraId="788CA9D9">
            <w:pPr>
              <w:spacing w:before="0" w:after="0" w:line="240" w:lineRule="auto"/>
              <w:jc w:val="both"/>
              <w:rPr>
                <w:rFonts w:ascii="Times New Roman" w:hAnsi="Times New Roman" w:cs="Times New Roman" w:eastAsiaTheme="majorEastAsia"/>
                <w:b/>
                <w:bCs/>
                <w:sz w:val="22"/>
                <w:szCs w:val="22"/>
              </w:rPr>
            </w:pPr>
          </w:p>
        </w:tc>
        <w:tc>
          <w:tcPr>
            <w:tcW w:w="2880" w:type="dxa"/>
            <w:tcBorders>
              <w:top w:val="single" w:color="5B9BD5" w:themeColor="accent1" w:sz="8" w:space="0"/>
              <w:bottom w:val="single" w:color="5B9BD5" w:themeColor="accent1" w:sz="18" w:space="0"/>
              <w:right w:val="single" w:color="5B9BD5" w:themeColor="accent1" w:sz="8" w:space="0"/>
              <w:insideH w:val="single" w:sz="18" w:space="0"/>
              <w:insideV w:val="single" w:sz="8" w:space="0"/>
            </w:tcBorders>
          </w:tcPr>
          <w:p w14:paraId="475CEA55">
            <w:pPr>
              <w:spacing w:before="0" w:after="0" w:line="240" w:lineRule="auto"/>
              <w:jc w:val="both"/>
              <w:rPr>
                <w:rFonts w:ascii="Times New Roman" w:hAnsi="Times New Roman" w:cs="Times New Roman" w:eastAsiaTheme="majorEastAsia"/>
                <w:b/>
                <w:bCs/>
                <w:sz w:val="22"/>
                <w:szCs w:val="22"/>
              </w:rPr>
            </w:pPr>
            <w:r>
              <w:rPr>
                <w:rFonts w:ascii="Times New Roman" w:hAnsi="Times New Roman" w:cs="Times New Roman" w:eastAsiaTheme="majorEastAsia"/>
                <w:b/>
                <w:bCs/>
                <w:sz w:val="19"/>
                <w:szCs w:val="22"/>
              </w:rPr>
              <w:t>Research question</w:t>
            </w:r>
          </w:p>
        </w:tc>
        <w:tc>
          <w:tcPr>
            <w:tcW w:w="2880" w:type="dxa"/>
            <w:tcBorders>
              <w:top w:val="single" w:color="5B9BD5" w:themeColor="accent1" w:sz="8" w:space="0"/>
              <w:bottom w:val="single" w:color="5B9BD5" w:themeColor="accent1" w:sz="18" w:space="0"/>
              <w:right w:val="single" w:color="5B9BD5" w:themeColor="accent1" w:sz="8" w:space="0"/>
              <w:insideH w:val="single" w:sz="18" w:space="0"/>
              <w:insideV w:val="single" w:sz="8" w:space="0"/>
            </w:tcBorders>
          </w:tcPr>
          <w:p w14:paraId="5296AC80">
            <w:pPr>
              <w:spacing w:before="0" w:after="0" w:line="240" w:lineRule="auto"/>
              <w:jc w:val="both"/>
              <w:rPr>
                <w:rFonts w:ascii="Times New Roman" w:hAnsi="Times New Roman" w:cs="Times New Roman" w:eastAsiaTheme="majorEastAsia"/>
                <w:b/>
                <w:bCs/>
                <w:sz w:val="22"/>
                <w:szCs w:val="22"/>
              </w:rPr>
            </w:pPr>
            <w:r>
              <w:rPr>
                <w:rFonts w:ascii="Times New Roman" w:hAnsi="Times New Roman" w:cs="Times New Roman" w:eastAsiaTheme="majorEastAsia"/>
                <w:b/>
                <w:bCs/>
                <w:sz w:val="19"/>
                <w:szCs w:val="22"/>
              </w:rPr>
              <w:t>Brief</w:t>
            </w:r>
          </w:p>
        </w:tc>
      </w:tr>
      <w:tr w14:paraId="07B9E08B">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Ex>
        <w:trPr>
          <w:jc w:val="center"/>
        </w:trPr>
        <w:tc>
          <w:tcPr>
            <w:tcW w:w="2880" w:type="dxa"/>
            <w:tcBorders>
              <w:top w:val="single" w:color="5B9BD5" w:themeColor="accent1" w:sz="8" w:space="0"/>
              <w:left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tcPr>
          <w:p w14:paraId="1EB7807B">
            <w:pPr>
              <w:jc w:val="both"/>
              <w:rPr>
                <w:rFonts w:ascii="Times New Roman" w:hAnsi="Times New Roman" w:cs="Times New Roman" w:eastAsiaTheme="majorEastAsia"/>
                <w:b/>
                <w:bCs/>
                <w:sz w:val="22"/>
                <w:szCs w:val="22"/>
              </w:rPr>
            </w:pPr>
            <w:r>
              <w:rPr>
                <w:rFonts w:ascii="Times New Roman" w:hAnsi="Times New Roman" w:cs="Times New Roman" w:eastAsiaTheme="majorEastAsia"/>
                <w:b/>
                <w:bCs/>
                <w:sz w:val="19"/>
                <w:szCs w:val="22"/>
              </w:rPr>
              <w:t>RQ1</w:t>
            </w:r>
          </w:p>
        </w:tc>
        <w:tc>
          <w:tcPr>
            <w:tcW w:w="2880"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tcPr>
          <w:p w14:paraId="00C8ACCE">
            <w:pPr>
              <w:jc w:val="both"/>
              <w:rPr>
                <w:rFonts w:ascii="Times New Roman" w:hAnsi="Times New Roman" w:cs="Times New Roman" w:eastAsiaTheme="minorEastAsia"/>
                <w:sz w:val="22"/>
                <w:szCs w:val="22"/>
              </w:rPr>
            </w:pPr>
            <w:r>
              <w:rPr>
                <w:rFonts w:ascii="Times New Roman" w:hAnsi="Times New Roman" w:cs="Times New Roman" w:eastAsiaTheme="minorEastAsia"/>
                <w:sz w:val="19"/>
                <w:szCs w:val="22"/>
              </w:rPr>
              <w:t>Can a CNN classify PlantVillage leaves accurately?</w:t>
            </w:r>
          </w:p>
        </w:tc>
        <w:tc>
          <w:tcPr>
            <w:tcW w:w="2880"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tcPr>
          <w:p w14:paraId="2D99FE34">
            <w:pPr>
              <w:jc w:val="both"/>
              <w:rPr>
                <w:rFonts w:ascii="Times New Roman" w:hAnsi="Times New Roman" w:cs="Times New Roman" w:eastAsiaTheme="minorEastAsia"/>
                <w:sz w:val="22"/>
                <w:szCs w:val="22"/>
              </w:rPr>
            </w:pPr>
            <w:r>
              <w:rPr>
                <w:rFonts w:ascii="Times New Roman" w:hAnsi="Times New Roman" w:cs="Times New Roman" w:eastAsiaTheme="minorEastAsia"/>
                <w:sz w:val="19"/>
                <w:szCs w:val="22"/>
              </w:rPr>
              <w:t>Task 1</w:t>
            </w:r>
          </w:p>
        </w:tc>
      </w:tr>
      <w:tr w14:paraId="2E3DE6CF">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Ex>
        <w:trPr>
          <w:jc w:val="center"/>
        </w:trPr>
        <w:tc>
          <w:tcPr>
            <w:tcW w:w="2880" w:type="dxa"/>
            <w:tcBorders>
              <w:top w:val="single" w:color="5B9BD5" w:themeColor="accent1" w:sz="8" w:space="0"/>
              <w:left w:val="single" w:color="5B9BD5" w:themeColor="accent1" w:sz="8" w:space="0"/>
              <w:bottom w:val="single" w:color="5B9BD5" w:themeColor="accent1" w:sz="8" w:space="0"/>
              <w:right w:val="single" w:color="5B9BD5" w:themeColor="accent1" w:sz="8" w:space="0"/>
              <w:insideH w:val="single" w:sz="8" w:space="0"/>
              <w:insideV w:val="single" w:sz="8" w:space="0"/>
            </w:tcBorders>
          </w:tcPr>
          <w:p w14:paraId="00E7F6B3">
            <w:pPr>
              <w:jc w:val="both"/>
              <w:rPr>
                <w:rFonts w:ascii="Times New Roman" w:hAnsi="Times New Roman" w:cs="Times New Roman" w:eastAsiaTheme="majorEastAsia"/>
                <w:b/>
                <w:bCs/>
                <w:sz w:val="22"/>
                <w:szCs w:val="22"/>
              </w:rPr>
            </w:pPr>
            <w:r>
              <w:rPr>
                <w:rFonts w:ascii="Times New Roman" w:hAnsi="Times New Roman" w:cs="Times New Roman" w:eastAsiaTheme="majorEastAsia"/>
                <w:b/>
                <w:bCs/>
                <w:sz w:val="19"/>
                <w:szCs w:val="22"/>
              </w:rPr>
              <w:t>RQ2</w:t>
            </w:r>
          </w:p>
        </w:tc>
        <w:tc>
          <w:tcPr>
            <w:tcW w:w="2880"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tcPr>
          <w:p w14:paraId="5DEFE3B7">
            <w:pPr>
              <w:jc w:val="both"/>
              <w:rPr>
                <w:rFonts w:ascii="Times New Roman" w:hAnsi="Times New Roman" w:cs="Times New Roman" w:eastAsiaTheme="minorEastAsia"/>
                <w:sz w:val="22"/>
                <w:szCs w:val="22"/>
              </w:rPr>
            </w:pPr>
            <w:r>
              <w:rPr>
                <w:rFonts w:ascii="Times New Roman" w:hAnsi="Times New Roman" w:cs="Times New Roman" w:eastAsiaTheme="minorEastAsia"/>
                <w:sz w:val="19"/>
                <w:szCs w:val="22"/>
              </w:rPr>
              <w:t>Does that accuracy mean the system works on real field photographs?</w:t>
            </w:r>
          </w:p>
        </w:tc>
        <w:tc>
          <w:tcPr>
            <w:tcW w:w="2880"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tcPr>
          <w:p w14:paraId="56FFCBE5">
            <w:pPr>
              <w:jc w:val="both"/>
              <w:rPr>
                <w:rFonts w:ascii="Times New Roman" w:hAnsi="Times New Roman" w:cs="Times New Roman" w:eastAsiaTheme="minorEastAsia"/>
                <w:sz w:val="22"/>
                <w:szCs w:val="22"/>
              </w:rPr>
            </w:pPr>
            <w:r>
              <w:rPr>
                <w:rFonts w:ascii="Times New Roman" w:hAnsi="Times New Roman" w:cs="Times New Roman" w:eastAsiaTheme="minorEastAsia"/>
                <w:sz w:val="19"/>
                <w:szCs w:val="22"/>
              </w:rPr>
              <w:t>implied by the aim</w:t>
            </w:r>
          </w:p>
        </w:tc>
      </w:tr>
      <w:tr w14:paraId="32056A5D">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Ex>
        <w:trPr>
          <w:jc w:val="center"/>
        </w:trPr>
        <w:tc>
          <w:tcPr>
            <w:tcW w:w="2880" w:type="dxa"/>
            <w:tcBorders>
              <w:top w:val="single" w:color="5B9BD5" w:themeColor="accent1" w:sz="8" w:space="0"/>
              <w:left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tcPr>
          <w:p w14:paraId="17CC6C24">
            <w:pPr>
              <w:jc w:val="both"/>
              <w:rPr>
                <w:rFonts w:ascii="Times New Roman" w:hAnsi="Times New Roman" w:cs="Times New Roman" w:eastAsiaTheme="majorEastAsia"/>
                <w:b/>
                <w:bCs/>
                <w:sz w:val="22"/>
                <w:szCs w:val="22"/>
              </w:rPr>
            </w:pPr>
            <w:r>
              <w:rPr>
                <w:rFonts w:ascii="Times New Roman" w:hAnsi="Times New Roman" w:cs="Times New Roman" w:eastAsiaTheme="majorEastAsia"/>
                <w:b/>
                <w:bCs/>
                <w:sz w:val="19"/>
                <w:szCs w:val="22"/>
              </w:rPr>
              <w:t>RQ3</w:t>
            </w:r>
          </w:p>
        </w:tc>
        <w:tc>
          <w:tcPr>
            <w:tcW w:w="2880"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tcPr>
          <w:p w14:paraId="185D6BDC">
            <w:pPr>
              <w:jc w:val="both"/>
              <w:rPr>
                <w:rFonts w:ascii="Times New Roman" w:hAnsi="Times New Roman" w:cs="Times New Roman" w:eastAsiaTheme="minorEastAsia"/>
                <w:sz w:val="22"/>
                <w:szCs w:val="22"/>
              </w:rPr>
            </w:pPr>
            <w:r>
              <w:rPr>
                <w:rFonts w:ascii="Times New Roman" w:hAnsi="Times New Roman" w:cs="Times New Roman" w:eastAsiaTheme="minorEastAsia"/>
                <w:sz w:val="19"/>
                <w:szCs w:val="22"/>
              </w:rPr>
              <w:t>Can severity be estimated from image features, and is it trustworthy?</w:t>
            </w:r>
          </w:p>
        </w:tc>
        <w:tc>
          <w:tcPr>
            <w:tcW w:w="2880"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tcPr>
          <w:p w14:paraId="52FF9509">
            <w:pPr>
              <w:jc w:val="both"/>
              <w:rPr>
                <w:rFonts w:ascii="Times New Roman" w:hAnsi="Times New Roman" w:cs="Times New Roman" w:eastAsiaTheme="minorEastAsia"/>
                <w:sz w:val="22"/>
                <w:szCs w:val="22"/>
              </w:rPr>
            </w:pPr>
            <w:r>
              <w:rPr>
                <w:rFonts w:ascii="Times New Roman" w:hAnsi="Times New Roman" w:cs="Times New Roman" w:eastAsiaTheme="minorEastAsia"/>
                <w:sz w:val="19"/>
                <w:szCs w:val="22"/>
              </w:rPr>
              <w:t>Task 2</w:t>
            </w:r>
          </w:p>
        </w:tc>
      </w:tr>
    </w:tbl>
    <w:p w14:paraId="14CE4170">
      <w:pPr>
        <w:jc w:val="both"/>
      </w:pPr>
    </w:p>
    <w:p w14:paraId="47B11C63">
      <w:pPr>
        <w:jc w:val="both"/>
      </w:pPr>
      <w:r>
        <w:t>RQ1 turns out to be easy, and that is precisely why RQ2 matters. Much of the report is the discipline of not taking 99% at face value: measuring what the classifier actually uses, auditing the integrity of the test set itself, and validating on genuine field imagery from the PlantDoc dataset, which is never used in training.</w:t>
      </w:r>
    </w:p>
    <w:p w14:paraId="179EA777">
      <w:pPr>
        <w:pStyle w:val="2"/>
        <w:jc w:val="both"/>
      </w:pPr>
      <w:r>
        <w:t>RELATED WORK</w:t>
      </w:r>
    </w:p>
    <w:p w14:paraId="3AF0A61A">
      <w:pPr>
        <w:jc w:val="both"/>
        <w:rPr>
          <w:rFonts w:hint="eastAsia"/>
          <w:lang w:eastAsia="zh-CN"/>
        </w:rPr>
      </w:pPr>
      <w:r>
        <w:t>Mohanty et al. (2016) established the PlantVillage benchmark and the near-ceiling accuracies that follow from it. Ferentinos (2018) scaled CNN plant-disease classification across architectures and noted the gap between laboratory and real conditions. Singh et al. (2020) introduced PlantDoc precisely to expose that gap</w:t>
      </w:r>
      <w:r>
        <w:rPr>
          <w:rFonts w:hint="eastAsia"/>
          <w:lang w:eastAsia="zh-CN"/>
        </w:rPr>
        <w:t xml:space="preserve"> and shows</w:t>
      </w:r>
      <w:r>
        <w:t xml:space="preserve"> a curated set of field photographs on which PlantVillage-trained models transfer poorly, and showed that adding in-domain data improves accuracy by up to 31 percentage</w:t>
      </w:r>
      <w:r>
        <w:rPr>
          <w:rFonts w:hint="eastAsia"/>
          <w:lang w:eastAsia="zh-CN"/>
        </w:rPr>
        <w:t>.</w:t>
      </w:r>
    </w:p>
    <w:p w14:paraId="3D210531">
      <w:pPr>
        <w:jc w:val="both"/>
      </w:pPr>
      <w:r>
        <w:t xml:space="preserve">Our work reproduces the collapse, decomposes its cause, and audits an internal validity threat </w:t>
      </w:r>
      <w:r>
        <w:rPr>
          <w:rFonts w:hint="eastAsia"/>
          <w:lang w:eastAsia="zh-CN"/>
        </w:rPr>
        <w:t xml:space="preserve">, which is </w:t>
      </w:r>
      <w:r>
        <w:t xml:space="preserve">leaf-level train/test leakage </w:t>
      </w:r>
      <w:r>
        <w:rPr>
          <w:rFonts w:hint="eastAsia"/>
          <w:lang w:eastAsia="zh-CN"/>
        </w:rPr>
        <w:t>and</w:t>
      </w:r>
      <w:r>
        <w:t xml:space="preserve"> inflates the PlantVillage number independently of the domain gap.</w:t>
      </w:r>
    </w:p>
    <w:p w14:paraId="17F150FC">
      <w:pPr>
        <w:pStyle w:val="2"/>
      </w:pPr>
      <w:r>
        <w:rPr>
          <w:rFonts w:hint="eastAsia"/>
          <w:lang w:eastAsia="zh-CN"/>
        </w:rPr>
        <w:t xml:space="preserve">Dataset and </w:t>
      </w:r>
      <w:r>
        <w:t>METHODS</w:t>
      </w:r>
    </w:p>
    <w:p w14:paraId="25649D2A">
      <w:pPr>
        <w:pStyle w:val="3"/>
        <w:jc w:val="both"/>
      </w:pPr>
      <w:r>
        <w:t>Data</w:t>
      </w:r>
    </w:p>
    <w:p w14:paraId="1FEE2A0E">
      <w:pPr>
        <w:jc w:val="both"/>
      </w:pPr>
      <w:r>
        <w:t>PlantVillage provides 54,305 images across 38 classes (14 crop species, 26 diseases, plus healthy states) in three variants — colour, grayscale, and segmented (background removed) of the same physical leaves. We use all three. A single seeded split (70/15/15) is shared by every model and variant. PlantDoc supplies 2,525 usable field photographs mapped to 27 of the classes; it is held out entirely and used only for external validation.</w:t>
      </w:r>
    </w:p>
    <w:p w14:paraId="0ED00DBE">
      <w:pPr>
        <w:jc w:val="both"/>
      </w:pPr>
      <w:r>
        <w:t xml:space="preserve">A subtle but material property of PlantVillage is that each physical leaf is photographed several times. The repository </w:t>
      </w:r>
      <w:r>
        <w:rPr>
          <w:rFonts w:hint="eastAsia"/>
          <w:lang w:eastAsia="zh-CN"/>
        </w:rPr>
        <w:t>has</w:t>
      </w:r>
      <w:r>
        <w:t xml:space="preserve"> leaf-grouping metadata recording which images share a leaf. A naive random split scatters these </w:t>
      </w:r>
      <w:r>
        <w:rPr>
          <w:rFonts w:hint="eastAsia"/>
          <w:lang w:eastAsia="zh-CN"/>
        </w:rPr>
        <w:t>duplicate figures</w:t>
      </w:r>
      <w:r>
        <w:t xml:space="preserve"> across train and test</w:t>
      </w:r>
      <w:r>
        <w:rPr>
          <w:rFonts w:hint="eastAsia"/>
          <w:lang w:eastAsia="zh-CN"/>
        </w:rPr>
        <w:t>.</w:t>
      </w:r>
      <w:r>
        <w:t xml:space="preserve"> </w:t>
      </w:r>
      <w:r>
        <w:rPr>
          <w:rFonts w:hint="eastAsia"/>
          <w:lang w:eastAsia="zh-CN"/>
        </w:rPr>
        <w:t>W</w:t>
      </w:r>
      <w:r>
        <w:t>e measured that 74.7% of a random test split had a same-leaf twin in training. We therefore partition by leaf within each class, so no leaf's images straddle the split. This is the split used throughout.</w:t>
      </w:r>
    </w:p>
    <w:p w14:paraId="5EABDD68">
      <w:pPr>
        <w:pStyle w:val="3"/>
        <w:jc w:val="both"/>
      </w:pPr>
      <w:r>
        <w:t>Models</w:t>
      </w:r>
    </w:p>
    <w:p w14:paraId="0259BF25">
      <w:pPr>
        <w:jc w:val="both"/>
        <w:rPr>
          <w:lang w:eastAsia="zh-CN"/>
        </w:rPr>
      </w:pPr>
      <w:r>
        <w:t>Three CNNs span two families and a range of sizes: a four-block CNN trained from scratch</w:t>
      </w:r>
      <w:r>
        <w:rPr>
          <w:rFonts w:hint="eastAsia"/>
          <w:lang w:eastAsia="zh-CN"/>
        </w:rPr>
        <w:t xml:space="preserve"> with</w:t>
      </w:r>
      <w:r>
        <w:t xml:space="preserve"> ImageNet-pretrained ResNet-18 and MobileNet-V2. </w:t>
      </w:r>
      <w:r>
        <w:rPr>
          <w:rFonts w:hint="eastAsia"/>
          <w:lang w:eastAsia="zh-CN"/>
        </w:rPr>
        <w:t>They all</w:t>
      </w:r>
      <w:r>
        <w:t xml:space="preserve"> share one pipeline. Our proposed model is their soft-voting ensemble, with weights chosen by grid search on the validation split and applied unchanged to test. </w:t>
      </w:r>
    </w:p>
    <w:p w14:paraId="4806922F">
      <w:pPr>
        <w:jc w:val="both"/>
      </w:pPr>
      <w:r>
        <w:t>Severity is estimated from the lesion-area ratio</w:t>
      </w:r>
      <w:r>
        <w:rPr>
          <w:rFonts w:hint="eastAsia"/>
          <w:lang w:eastAsia="zh-CN"/>
        </w:rPr>
        <w:t>, which shows</w:t>
      </w:r>
      <w:r>
        <w:t xml:space="preserve"> the fraction of leaf pixels showing symptoms </w:t>
      </w:r>
      <w:r>
        <w:rPr>
          <w:rFonts w:hint="eastAsia"/>
          <w:lang w:eastAsia="zh-CN"/>
        </w:rPr>
        <w:t>and</w:t>
      </w:r>
      <w:r>
        <w:t xml:space="preserve"> computed from either an unsupervised (Otsu) mask or the official segmented mask, and from a severity-regression head trained jointly with the classifier (Section 7).</w:t>
      </w:r>
    </w:p>
    <w:p w14:paraId="4EFBECC7">
      <w:pPr>
        <w:pStyle w:val="2"/>
        <w:rPr>
          <w:color w:val="FF0000"/>
        </w:rPr>
      </w:pPr>
      <w:r>
        <w:rPr>
          <w:color w:val="FF0000"/>
        </w:rPr>
        <w:t>EXPERIMENTS</w:t>
      </w:r>
    </w:p>
    <w:p w14:paraId="10B15A3E">
      <w:pPr>
        <w:jc w:val="both"/>
        <w:rPr>
          <w:color w:val="FF0000"/>
        </w:rPr>
      </w:pPr>
      <w:r>
        <w:rPr>
          <w:color w:val="FF0000"/>
        </w:rPr>
        <w:t>&lt; Describe briefly about the dataset and its key features (e.g., number of samples, number of classes, etc.). You should clearly highlight source of the dataset (preferably URL) so that evaluator(s) can have to look at the dataset used. Describe any key findings based on the data exploration. Describe the evaluation strategy used and key model hyperparameters used.&gt;</w:t>
      </w:r>
    </w:p>
    <w:p w14:paraId="4F4F0C47">
      <w:pPr>
        <w:jc w:val="both"/>
      </w:pPr>
    </w:p>
    <w:p w14:paraId="05641F4D">
      <w:pPr>
        <w:pStyle w:val="2"/>
      </w:pPr>
      <w:r>
        <w:t>RESULTS</w:t>
      </w:r>
    </w:p>
    <w:p w14:paraId="77F94997">
      <w:pPr>
        <w:pStyle w:val="3"/>
        <w:numPr>
          <w:ilvl w:val="0"/>
          <w:numId w:val="0"/>
        </w:numPr>
        <w:ind w:left="288" w:hanging="288"/>
        <w:jc w:val="both"/>
        <w:rPr>
          <w:rFonts w:hint="eastAsia"/>
          <w:lang w:eastAsia="zh-CN"/>
        </w:rPr>
      </w:pPr>
      <w:r>
        <w:rPr>
          <w:rFonts w:hint="eastAsia"/>
          <w:lang w:eastAsia="zh-CN"/>
        </w:rPr>
        <w:t>A. Task 1: Classification.</w:t>
      </w:r>
    </w:p>
    <w:p w14:paraId="0E26C666">
      <w:pPr>
        <w:jc w:val="both"/>
      </w:pPr>
      <w:r>
        <w:t>On the held-out PlantVillage test split (8,215 images), the ensemble reaches 99.53% over the 38 specific-disease classes and 99.96% on the binary healthy-versus-diseased task the brief names.</w:t>
      </w:r>
    </w:p>
    <w:p w14:paraId="3B370FE6">
      <w:pPr>
        <w:jc w:val="both"/>
      </w:pPr>
    </w:p>
    <w:tbl>
      <w:tblPr>
        <w:tblStyle w:val="11"/>
        <w:tblW w:w="0" w:type="auto"/>
        <w:jc w:val="center"/>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Layout w:type="autofit"/>
        <w:tblCellMar>
          <w:top w:w="0" w:type="dxa"/>
          <w:left w:w="108" w:type="dxa"/>
          <w:bottom w:w="0" w:type="dxa"/>
          <w:right w:w="108" w:type="dxa"/>
        </w:tblCellMar>
      </w:tblPr>
      <w:tblGrid>
        <w:gridCol w:w="2732"/>
        <w:gridCol w:w="2350"/>
      </w:tblGrid>
      <w:tr w14:paraId="255F3B73">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Ex>
        <w:trPr>
          <w:jc w:val="center"/>
        </w:trPr>
        <w:tc>
          <w:tcPr>
            <w:tcW w:w="4320" w:type="dxa"/>
            <w:tcBorders>
              <w:top w:val="single" w:color="5B9BD5" w:themeColor="accent1" w:sz="8" w:space="0"/>
              <w:left w:val="single" w:color="5B9BD5" w:themeColor="accent1" w:sz="8" w:space="0"/>
              <w:bottom w:val="single" w:color="5B9BD5" w:themeColor="accent1" w:sz="18" w:space="0"/>
              <w:right w:val="single" w:color="5B9BD5" w:themeColor="accent1" w:sz="8" w:space="0"/>
              <w:insideH w:val="single" w:sz="18" w:space="0"/>
              <w:insideV w:val="single" w:sz="8" w:space="0"/>
            </w:tcBorders>
          </w:tcPr>
          <w:p w14:paraId="0095DCF9">
            <w:pPr>
              <w:spacing w:before="0" w:after="0" w:line="240" w:lineRule="auto"/>
              <w:jc w:val="both"/>
              <w:rPr>
                <w:rFonts w:ascii="Times New Roman" w:hAnsi="Times New Roman" w:cs="Times New Roman" w:eastAsiaTheme="majorEastAsia"/>
                <w:b/>
                <w:bCs/>
                <w:sz w:val="22"/>
                <w:szCs w:val="22"/>
              </w:rPr>
            </w:pPr>
            <w:r>
              <w:rPr>
                <w:rFonts w:ascii="Times New Roman" w:hAnsi="Times New Roman" w:cs="Times New Roman" w:eastAsiaTheme="majorEastAsia"/>
                <w:b/>
                <w:bCs/>
                <w:sz w:val="19"/>
                <w:szCs w:val="22"/>
              </w:rPr>
              <w:t>Model</w:t>
            </w:r>
          </w:p>
        </w:tc>
        <w:tc>
          <w:tcPr>
            <w:tcW w:w="4320" w:type="dxa"/>
            <w:tcBorders>
              <w:top w:val="single" w:color="5B9BD5" w:themeColor="accent1" w:sz="8" w:space="0"/>
              <w:bottom w:val="single" w:color="5B9BD5" w:themeColor="accent1" w:sz="18" w:space="0"/>
              <w:right w:val="single" w:color="5B9BD5" w:themeColor="accent1" w:sz="8" w:space="0"/>
              <w:insideH w:val="single" w:sz="18" w:space="0"/>
              <w:insideV w:val="single" w:sz="8" w:space="0"/>
            </w:tcBorders>
          </w:tcPr>
          <w:p w14:paraId="104AEC7D">
            <w:pPr>
              <w:spacing w:before="0" w:after="0" w:line="240" w:lineRule="auto"/>
              <w:jc w:val="both"/>
              <w:rPr>
                <w:rFonts w:ascii="Times New Roman" w:hAnsi="Times New Roman" w:cs="Times New Roman" w:eastAsiaTheme="majorEastAsia"/>
                <w:b/>
                <w:bCs/>
                <w:sz w:val="22"/>
                <w:szCs w:val="22"/>
              </w:rPr>
            </w:pPr>
            <w:r>
              <w:rPr>
                <w:rFonts w:ascii="Times New Roman" w:hAnsi="Times New Roman" w:cs="Times New Roman" w:eastAsiaTheme="majorEastAsia"/>
                <w:b/>
                <w:bCs/>
                <w:sz w:val="19"/>
                <w:szCs w:val="22"/>
              </w:rPr>
              <w:t>38-way (specific disease)</w:t>
            </w:r>
          </w:p>
        </w:tc>
      </w:tr>
      <w:tr w14:paraId="5FBD2506">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Ex>
        <w:trPr>
          <w:jc w:val="center"/>
        </w:trPr>
        <w:tc>
          <w:tcPr>
            <w:tcW w:w="4320" w:type="dxa"/>
            <w:tcBorders>
              <w:top w:val="single" w:color="5B9BD5" w:themeColor="accent1" w:sz="8" w:space="0"/>
              <w:left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tcPr>
          <w:p w14:paraId="5178670E">
            <w:pPr>
              <w:jc w:val="both"/>
              <w:rPr>
                <w:rFonts w:ascii="Times New Roman" w:hAnsi="Times New Roman" w:cs="Times New Roman" w:eastAsiaTheme="majorEastAsia"/>
                <w:b/>
                <w:bCs/>
                <w:sz w:val="22"/>
                <w:szCs w:val="22"/>
              </w:rPr>
            </w:pPr>
            <w:r>
              <w:rPr>
                <w:rFonts w:ascii="Times New Roman" w:hAnsi="Times New Roman" w:cs="Times New Roman" w:eastAsiaTheme="majorEastAsia"/>
                <w:b/>
                <w:bCs/>
                <w:sz w:val="19"/>
                <w:szCs w:val="22"/>
              </w:rPr>
              <w:t>Custom CNN (from scratch)</w:t>
            </w:r>
          </w:p>
        </w:tc>
        <w:tc>
          <w:tcPr>
            <w:tcW w:w="4320"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tcPr>
          <w:p w14:paraId="13167618">
            <w:pPr>
              <w:jc w:val="both"/>
              <w:rPr>
                <w:rFonts w:ascii="Times New Roman" w:hAnsi="Times New Roman" w:cs="Times New Roman" w:eastAsiaTheme="minorEastAsia"/>
                <w:sz w:val="22"/>
                <w:szCs w:val="22"/>
              </w:rPr>
            </w:pPr>
            <w:r>
              <w:rPr>
                <w:rFonts w:ascii="Times New Roman" w:hAnsi="Times New Roman" w:cs="Times New Roman" w:eastAsiaTheme="minorEastAsia"/>
                <w:sz w:val="19"/>
                <w:szCs w:val="22"/>
              </w:rPr>
              <w:t>98.69%</w:t>
            </w:r>
          </w:p>
        </w:tc>
      </w:tr>
      <w:tr w14:paraId="397A8096">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Ex>
        <w:trPr>
          <w:jc w:val="center"/>
        </w:trPr>
        <w:tc>
          <w:tcPr>
            <w:tcW w:w="4320" w:type="dxa"/>
            <w:tcBorders>
              <w:top w:val="single" w:color="5B9BD5" w:themeColor="accent1" w:sz="8" w:space="0"/>
              <w:left w:val="single" w:color="5B9BD5" w:themeColor="accent1" w:sz="8" w:space="0"/>
              <w:bottom w:val="single" w:color="5B9BD5" w:themeColor="accent1" w:sz="8" w:space="0"/>
              <w:right w:val="single" w:color="5B9BD5" w:themeColor="accent1" w:sz="8" w:space="0"/>
              <w:insideH w:val="single" w:sz="8" w:space="0"/>
              <w:insideV w:val="single" w:sz="8" w:space="0"/>
            </w:tcBorders>
          </w:tcPr>
          <w:p w14:paraId="76423AC2">
            <w:pPr>
              <w:jc w:val="both"/>
              <w:rPr>
                <w:rFonts w:ascii="Times New Roman" w:hAnsi="Times New Roman" w:cs="Times New Roman" w:eastAsiaTheme="majorEastAsia"/>
                <w:b/>
                <w:bCs/>
                <w:sz w:val="22"/>
                <w:szCs w:val="22"/>
              </w:rPr>
            </w:pPr>
            <w:r>
              <w:rPr>
                <w:rFonts w:ascii="Times New Roman" w:hAnsi="Times New Roman" w:cs="Times New Roman" w:eastAsiaTheme="majorEastAsia"/>
                <w:b/>
                <w:bCs/>
                <w:sz w:val="19"/>
                <w:szCs w:val="22"/>
              </w:rPr>
              <w:t>ResNet-18</w:t>
            </w:r>
          </w:p>
        </w:tc>
        <w:tc>
          <w:tcPr>
            <w:tcW w:w="4320"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tcPr>
          <w:p w14:paraId="65D50DAD">
            <w:pPr>
              <w:jc w:val="both"/>
              <w:rPr>
                <w:rFonts w:ascii="Times New Roman" w:hAnsi="Times New Roman" w:cs="Times New Roman" w:eastAsiaTheme="minorEastAsia"/>
                <w:sz w:val="22"/>
                <w:szCs w:val="22"/>
              </w:rPr>
            </w:pPr>
            <w:r>
              <w:rPr>
                <w:rFonts w:ascii="Times New Roman" w:hAnsi="Times New Roman" w:cs="Times New Roman" w:eastAsiaTheme="minorEastAsia"/>
                <w:sz w:val="19"/>
                <w:szCs w:val="22"/>
              </w:rPr>
              <w:t>99.33%</w:t>
            </w:r>
          </w:p>
        </w:tc>
      </w:tr>
      <w:tr w14:paraId="4EF6FC78">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Ex>
        <w:trPr>
          <w:jc w:val="center"/>
        </w:trPr>
        <w:tc>
          <w:tcPr>
            <w:tcW w:w="4320" w:type="dxa"/>
            <w:tcBorders>
              <w:top w:val="single" w:color="5B9BD5" w:themeColor="accent1" w:sz="8" w:space="0"/>
              <w:left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tcPr>
          <w:p w14:paraId="2BA3D30F">
            <w:pPr>
              <w:jc w:val="both"/>
              <w:rPr>
                <w:rFonts w:ascii="Times New Roman" w:hAnsi="Times New Roman" w:cs="Times New Roman" w:eastAsiaTheme="majorEastAsia"/>
                <w:b/>
                <w:bCs/>
                <w:sz w:val="22"/>
                <w:szCs w:val="22"/>
              </w:rPr>
            </w:pPr>
            <w:r>
              <w:rPr>
                <w:rFonts w:ascii="Times New Roman" w:hAnsi="Times New Roman" w:cs="Times New Roman" w:eastAsiaTheme="majorEastAsia"/>
                <w:b/>
                <w:bCs/>
                <w:sz w:val="19"/>
                <w:szCs w:val="22"/>
              </w:rPr>
              <w:t>MobileNet-V2</w:t>
            </w:r>
          </w:p>
        </w:tc>
        <w:tc>
          <w:tcPr>
            <w:tcW w:w="4320"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tcPr>
          <w:p w14:paraId="46E4B4C0">
            <w:pPr>
              <w:jc w:val="both"/>
              <w:rPr>
                <w:rFonts w:ascii="Times New Roman" w:hAnsi="Times New Roman" w:cs="Times New Roman" w:eastAsiaTheme="minorEastAsia"/>
                <w:sz w:val="22"/>
                <w:szCs w:val="22"/>
              </w:rPr>
            </w:pPr>
            <w:r>
              <w:rPr>
                <w:rFonts w:ascii="Times New Roman" w:hAnsi="Times New Roman" w:cs="Times New Roman" w:eastAsiaTheme="minorEastAsia"/>
                <w:sz w:val="19"/>
                <w:szCs w:val="22"/>
              </w:rPr>
              <w:t>99.46%</w:t>
            </w:r>
          </w:p>
        </w:tc>
      </w:tr>
      <w:tr w14:paraId="2BF18270">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Ex>
        <w:trPr>
          <w:jc w:val="center"/>
        </w:trPr>
        <w:tc>
          <w:tcPr>
            <w:tcW w:w="4320" w:type="dxa"/>
            <w:tcBorders>
              <w:top w:val="single" w:color="5B9BD5" w:themeColor="accent1" w:sz="8" w:space="0"/>
              <w:left w:val="single" w:color="5B9BD5" w:themeColor="accent1" w:sz="8" w:space="0"/>
              <w:bottom w:val="single" w:color="5B9BD5" w:themeColor="accent1" w:sz="8" w:space="0"/>
              <w:right w:val="single" w:color="5B9BD5" w:themeColor="accent1" w:sz="8" w:space="0"/>
              <w:insideH w:val="single" w:sz="8" w:space="0"/>
              <w:insideV w:val="single" w:sz="8" w:space="0"/>
            </w:tcBorders>
          </w:tcPr>
          <w:p w14:paraId="744075CF">
            <w:pPr>
              <w:jc w:val="both"/>
              <w:rPr>
                <w:rFonts w:ascii="Times New Roman" w:hAnsi="Times New Roman" w:cs="Times New Roman" w:eastAsiaTheme="majorEastAsia"/>
                <w:b/>
                <w:bCs/>
                <w:sz w:val="22"/>
                <w:szCs w:val="22"/>
              </w:rPr>
            </w:pPr>
            <w:r>
              <w:rPr>
                <w:rFonts w:ascii="Times New Roman" w:hAnsi="Times New Roman" w:cs="Times New Roman" w:eastAsiaTheme="majorEastAsia"/>
                <w:b/>
                <w:bCs/>
                <w:sz w:val="19"/>
                <w:szCs w:val="22"/>
              </w:rPr>
              <w:t>Ensemble (proposed)</w:t>
            </w:r>
          </w:p>
        </w:tc>
        <w:tc>
          <w:tcPr>
            <w:tcW w:w="4320"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tcPr>
          <w:p w14:paraId="67F48DD1">
            <w:pPr>
              <w:jc w:val="both"/>
              <w:rPr>
                <w:rFonts w:ascii="Times New Roman" w:hAnsi="Times New Roman" w:cs="Times New Roman" w:eastAsiaTheme="minorEastAsia"/>
                <w:sz w:val="22"/>
                <w:szCs w:val="22"/>
              </w:rPr>
            </w:pPr>
            <w:r>
              <w:rPr>
                <w:rFonts w:ascii="Times New Roman" w:hAnsi="Times New Roman" w:cs="Times New Roman" w:eastAsiaTheme="minorEastAsia"/>
                <w:sz w:val="19"/>
                <w:szCs w:val="22"/>
              </w:rPr>
              <w:t>99.53%</w:t>
            </w:r>
          </w:p>
        </w:tc>
      </w:tr>
      <w:tr w14:paraId="203563CD">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Ex>
        <w:trPr>
          <w:jc w:val="center"/>
        </w:trPr>
        <w:tc>
          <w:tcPr>
            <w:tcW w:w="4320" w:type="dxa"/>
            <w:tcBorders>
              <w:top w:val="single" w:color="5B9BD5" w:themeColor="accent1" w:sz="8" w:space="0"/>
              <w:left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tcPr>
          <w:p w14:paraId="6B25D1A9">
            <w:pPr>
              <w:jc w:val="both"/>
              <w:rPr>
                <w:rFonts w:ascii="Times New Roman" w:hAnsi="Times New Roman" w:cs="Times New Roman" w:eastAsiaTheme="majorEastAsia"/>
                <w:b/>
                <w:bCs/>
                <w:sz w:val="22"/>
                <w:szCs w:val="22"/>
              </w:rPr>
            </w:pPr>
            <w:r>
              <w:rPr>
                <w:rFonts w:ascii="Times New Roman" w:hAnsi="Times New Roman" w:cs="Times New Roman" w:eastAsiaTheme="majorEastAsia"/>
                <w:b/>
                <w:bCs/>
                <w:sz w:val="19"/>
                <w:szCs w:val="22"/>
              </w:rPr>
              <w:t>Ensemble — binary healthy/diseased</w:t>
            </w:r>
          </w:p>
        </w:tc>
        <w:tc>
          <w:tcPr>
            <w:tcW w:w="4320"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tcPr>
          <w:p w14:paraId="24E92B78">
            <w:pPr>
              <w:jc w:val="both"/>
              <w:rPr>
                <w:rFonts w:ascii="Times New Roman" w:hAnsi="Times New Roman" w:cs="Times New Roman" w:eastAsiaTheme="minorEastAsia"/>
                <w:sz w:val="22"/>
                <w:szCs w:val="22"/>
              </w:rPr>
            </w:pPr>
            <w:r>
              <w:rPr>
                <w:rFonts w:ascii="Times New Roman" w:hAnsi="Times New Roman" w:cs="Times New Roman" w:eastAsiaTheme="minorEastAsia"/>
                <w:sz w:val="19"/>
                <w:szCs w:val="22"/>
              </w:rPr>
              <w:t>99.96%</w:t>
            </w:r>
          </w:p>
        </w:tc>
      </w:tr>
    </w:tbl>
    <w:p w14:paraId="3B4274B5">
      <w:pPr>
        <w:jc w:val="both"/>
      </w:pPr>
    </w:p>
    <w:p w14:paraId="7F84174C">
      <w:pPr>
        <w:jc w:val="both"/>
      </w:pPr>
      <w:r>
        <w:t>The 39 residual errors out of 8,215 are almost all within-crop disease confusions that a specialist would find genuinely ambiguous</w:t>
      </w:r>
      <w:r>
        <w:rPr>
          <w:rFonts w:hint="eastAsia"/>
          <w:lang w:eastAsia="zh-CN"/>
        </w:rPr>
        <w:t xml:space="preserve">, such as </w:t>
      </w:r>
      <w:r>
        <w:t xml:space="preserve">blight </w:t>
      </w:r>
      <w:r>
        <w:rPr>
          <w:rFonts w:hint="eastAsia"/>
          <w:lang w:eastAsia="zh-CN"/>
        </w:rPr>
        <w:t xml:space="preserve">of </w:t>
      </w:r>
      <w:r>
        <w:t>Tomato</w:t>
      </w:r>
      <w:r>
        <w:rPr>
          <w:rFonts w:hint="eastAsia"/>
          <w:lang w:eastAsia="zh-CN"/>
        </w:rPr>
        <w:t xml:space="preserve"> leave of</w:t>
      </w:r>
      <w:r>
        <w:t xml:space="preserve"> early versus lat</w:t>
      </w:r>
      <w:r>
        <w:rPr>
          <w:rFonts w:hint="eastAsia"/>
          <w:lang w:eastAsia="zh-CN"/>
        </w:rPr>
        <w:t>e</w:t>
      </w:r>
      <w:r>
        <w:t>. Three of them do cross the healthy</w:t>
      </w:r>
      <w:r>
        <w:rPr>
          <w:rFonts w:hint="eastAsia"/>
          <w:lang w:eastAsia="zh-CN"/>
        </w:rPr>
        <w:t xml:space="preserve"> and </w:t>
      </w:r>
      <w:r>
        <w:t>diseased boundary and two of those are diseased leaves called healthy, the costlier direction for a farmer</w:t>
      </w:r>
      <w:r>
        <w:rPr>
          <w:rFonts w:hint="eastAsia"/>
          <w:lang w:eastAsia="zh-CN"/>
        </w:rPr>
        <w:t>. S</w:t>
      </w:r>
      <w:r>
        <w:t>o the binary task is near-solved at 99.96% rather than perfect. Across the dataset's three variants the model holds: colour 99.53%, segmented 98.66%, grayscale 97.76%.</w:t>
      </w:r>
    </w:p>
    <w:p w14:paraId="52DD33B0">
      <w:pPr>
        <w:jc w:val="both"/>
      </w:pPr>
    </w:p>
    <w:p w14:paraId="097EACC2">
      <w:pPr>
        <w:jc w:val="both"/>
      </w:pPr>
      <w:r>
        <w:drawing>
          <wp:inline distT="0" distB="0" distL="0" distR="0">
            <wp:extent cx="2639060" cy="27813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2652651" cy="2796233"/>
                    </a:xfrm>
                    <a:prstGeom prst="rect">
                      <a:avLst/>
                    </a:prstGeom>
                  </pic:spPr>
                </pic:pic>
              </a:graphicData>
            </a:graphic>
          </wp:inline>
        </w:drawing>
      </w:r>
    </w:p>
    <w:p w14:paraId="5BB6428D">
      <w:pPr>
        <w:jc w:val="both"/>
      </w:pPr>
      <w:r>
        <w:rPr>
          <w:i/>
          <w:sz w:val="17"/>
        </w:rPr>
        <w:t>Figure 1 — Per-disease recall on the leaf-grouped test split. 29 of 38 classes are perfect; the five in red are within-crop look-alikes.</w:t>
      </w:r>
    </w:p>
    <w:p w14:paraId="7A23FE46">
      <w:pPr>
        <w:jc w:val="both"/>
      </w:pPr>
      <w:r>
        <w:drawing>
          <wp:inline distT="0" distB="0" distL="0" distR="0">
            <wp:extent cx="2837815" cy="2415540"/>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2844338" cy="2420939"/>
                    </a:xfrm>
                    <a:prstGeom prst="rect">
                      <a:avLst/>
                    </a:prstGeom>
                  </pic:spPr>
                </pic:pic>
              </a:graphicData>
            </a:graphic>
          </wp:inline>
        </w:drawing>
      </w:r>
    </w:p>
    <w:p w14:paraId="51DEC894">
      <w:pPr>
        <w:jc w:val="both"/>
      </w:pPr>
      <w:r>
        <w:rPr>
          <w:i/>
          <w:sz w:val="17"/>
        </w:rPr>
        <w:t>Figure 2 — Ensemble confusion matrix (row-normalised). The diagonal is essentially clean; red digits are the 39 misclassified images.</w:t>
      </w:r>
    </w:p>
    <w:p w14:paraId="6B4865DF">
      <w:pPr>
        <w:pStyle w:val="3"/>
        <w:numPr>
          <w:ilvl w:val="0"/>
          <w:numId w:val="0"/>
        </w:numPr>
        <w:ind w:left="288" w:hanging="288"/>
        <w:jc w:val="both"/>
        <w:rPr>
          <w:rFonts w:hint="eastAsia"/>
          <w:lang w:eastAsia="zh-CN"/>
        </w:rPr>
      </w:pPr>
      <w:r>
        <w:rPr>
          <w:rFonts w:hint="eastAsia"/>
          <w:lang w:eastAsia="zh-CN"/>
        </w:rPr>
        <w:t>B. Task 2: Severity.</w:t>
      </w:r>
    </w:p>
    <w:p w14:paraId="2232EDBA">
      <w:pPr>
        <w:jc w:val="both"/>
      </w:pPr>
      <w:r>
        <w:t>PlantVillage carries no severity labels, so severity is derived from the lesion-area ratio. As a presence signal it is strong: ROC-AUC 0.868 with the official mask, 0.767 with unsupervised Otsu segmentation. Validated against three human annotators who graded 150 leaves, the annotators agree with each other at quadratic kappa 0.634 (the ceiling); the lesion-ratio grade tracks their consensus at kappa 0.30 with the original bands, rising to 0.47 after cross-validated recalibration — a moderate proxy reaching about three-quarters of the human ceiling.</w:t>
      </w:r>
    </w:p>
    <w:p w14:paraId="16D6B50A">
      <w:pPr>
        <w:jc w:val="both"/>
      </w:pPr>
      <w:r>
        <w:t>To satisfy the brief's requirement to expand the model, we trained a severity-regression head jointly with the classifier. This transforms the result: the joint head reproduces the official-mask lesion ratio almost perfectly (within-class rho 0.957) at no classification cost (99.44%), where a probe on frozen classification features had managed only 0.38. Severity is now a genuine model output requiring no mask at inference. On the subset of graded leaves the model never trained on, it agrees with human consensus at rho 0.47, ahead of both Otsu (0.43) and the official mask (0.41). The head is therefore the best severity estimator available and a model output — but all lesion-area methods plateau near rho 0.47 against humans, because people grade severity by more than the fraction of leaf area affected. We report this as the ceiling of image-feature severity estimation rather than inflate it.</w:t>
      </w:r>
    </w:p>
    <w:p w14:paraId="45EC0A83">
      <w:pPr>
        <w:jc w:val="both"/>
      </w:pPr>
    </w:p>
    <w:p w14:paraId="5AB9E330">
      <w:pPr>
        <w:rPr>
          <w:i/>
          <w:sz w:val="17"/>
          <w:lang w:eastAsia="zh-CN"/>
        </w:rPr>
      </w:pPr>
      <w:r>
        <w:drawing>
          <wp:inline distT="0" distB="0" distL="0" distR="0">
            <wp:extent cx="2567940" cy="2221865"/>
            <wp:effectExtent l="0" t="0" r="3810" b="6985"/>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pic:cNvPicPr>
                  </pic:nvPicPr>
                  <pic:blipFill>
                    <a:blip r:embed="rId7"/>
                    <a:srcRect r="52632"/>
                    <a:stretch>
                      <a:fillRect/>
                    </a:stretch>
                  </pic:blipFill>
                  <pic:spPr>
                    <a:xfrm>
                      <a:off x="0" y="0"/>
                      <a:ext cx="2579124" cy="2232106"/>
                    </a:xfrm>
                    <a:prstGeom prst="rect">
                      <a:avLst/>
                    </a:prstGeom>
                    <a:ln>
                      <a:noFill/>
                    </a:ln>
                  </pic:spPr>
                </pic:pic>
              </a:graphicData>
            </a:graphic>
          </wp:inline>
        </w:drawing>
      </w:r>
    </w:p>
    <w:p w14:paraId="3D39EBA4">
      <w:pPr>
        <w:rPr>
          <w:rFonts w:hint="eastAsia"/>
          <w:i/>
          <w:sz w:val="17"/>
          <w:lang w:eastAsia="zh-CN"/>
        </w:rPr>
      </w:pPr>
      <w:r>
        <w:drawing>
          <wp:inline distT="0" distB="0" distL="0" distR="0">
            <wp:extent cx="2606040" cy="2028190"/>
            <wp:effectExtent l="0" t="0" r="381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7"/>
                    <a:srcRect l="47349"/>
                    <a:stretch>
                      <a:fillRect/>
                    </a:stretch>
                  </pic:blipFill>
                  <pic:spPr>
                    <a:xfrm>
                      <a:off x="0" y="0"/>
                      <a:ext cx="2614071" cy="2034526"/>
                    </a:xfrm>
                    <a:prstGeom prst="rect">
                      <a:avLst/>
                    </a:prstGeom>
                    <a:ln>
                      <a:noFill/>
                    </a:ln>
                  </pic:spPr>
                </pic:pic>
              </a:graphicData>
            </a:graphic>
          </wp:inline>
        </w:drawing>
      </w:r>
    </w:p>
    <w:p w14:paraId="0B5C212E">
      <w:pPr>
        <w:jc w:val="both"/>
        <w:rPr>
          <w:i/>
          <w:sz w:val="17"/>
        </w:rPr>
      </w:pPr>
      <w:r>
        <w:rPr>
          <w:i/>
          <w:sz w:val="17"/>
        </w:rPr>
        <w:t>Figure 6 — Severity. Left: the grade against three human annotators, with their mutual agreement as the ceiling. Right: trained jointly with the classifier, severity becomes a model output that beats the classical estimator.</w:t>
      </w:r>
    </w:p>
    <w:p w14:paraId="643A3569">
      <w:pPr>
        <w:pStyle w:val="2"/>
        <w:rPr>
          <w:lang w:eastAsia="zh-CN"/>
        </w:rPr>
      </w:pPr>
      <w:r>
        <w:rPr>
          <w:rFonts w:hint="eastAsia"/>
          <w:lang w:eastAsia="zh-CN"/>
        </w:rPr>
        <w:t>Discussions.</w:t>
      </w:r>
    </w:p>
    <w:p w14:paraId="24350587">
      <w:pPr>
        <w:pStyle w:val="3"/>
        <w:jc w:val="both"/>
        <w:rPr>
          <w:lang w:eastAsia="zh-CN"/>
        </w:rPr>
      </w:pPr>
      <w:r>
        <w:rPr>
          <w:rFonts w:hint="eastAsia"/>
          <w:lang w:eastAsia="zh-CN"/>
        </w:rPr>
        <w:t>Is a accuracy of 99% is real?</w:t>
      </w:r>
    </w:p>
    <w:p w14:paraId="5A009DA6">
      <w:pPr>
        <w:jc w:val="both"/>
        <w:rPr>
          <w:sz w:val="22"/>
          <w:szCs w:val="22"/>
        </w:rPr>
      </w:pPr>
      <w:r>
        <w:rPr>
          <w:sz w:val="22"/>
          <w:szCs w:val="22"/>
        </w:rPr>
        <w:t>Two independent audits show that the headline number overstates real diagnostic skill.</w:t>
      </w:r>
    </w:p>
    <w:p w14:paraId="1D4E8C2C">
      <w:pPr>
        <w:jc w:val="both"/>
        <w:rPr>
          <w:i/>
          <w:iCs/>
          <w:sz w:val="22"/>
          <w:szCs w:val="22"/>
        </w:rPr>
      </w:pPr>
      <w:r>
        <w:rPr>
          <w:rFonts w:hint="eastAsia"/>
          <w:i/>
          <w:iCs/>
          <w:sz w:val="22"/>
          <w:szCs w:val="22"/>
          <w:lang w:eastAsia="zh-CN"/>
        </w:rPr>
        <w:t xml:space="preserve">1. </w:t>
      </w:r>
      <w:r>
        <w:rPr>
          <w:i/>
          <w:iCs/>
          <w:sz w:val="22"/>
          <w:szCs w:val="22"/>
        </w:rPr>
        <w:t xml:space="preserve">Capture bias </w:t>
      </w:r>
    </w:p>
    <w:p w14:paraId="73B846B7">
      <w:pPr>
        <w:jc w:val="both"/>
        <w:rPr>
          <w:sz w:val="22"/>
          <w:szCs w:val="22"/>
        </w:rPr>
      </w:pPr>
      <w:r>
        <w:rPr>
          <w:sz w:val="22"/>
          <w:szCs w:val="22"/>
        </w:rPr>
        <w:t>A classifier trained on eight background border pixels alone</w:t>
      </w:r>
      <w:r>
        <w:rPr>
          <w:rFonts w:hint="eastAsia"/>
          <w:sz w:val="22"/>
          <w:szCs w:val="22"/>
          <w:lang w:eastAsia="zh-CN"/>
        </w:rPr>
        <w:t>, which means it</w:t>
      </w:r>
      <w:r>
        <w:rPr>
          <w:sz w:val="22"/>
          <w:szCs w:val="22"/>
        </w:rPr>
        <w:t xml:space="preserve"> never seeing the leaf</w:t>
      </w:r>
      <w:r>
        <w:rPr>
          <w:rFonts w:hint="eastAsia"/>
          <w:sz w:val="22"/>
          <w:szCs w:val="22"/>
          <w:lang w:eastAsia="zh-CN"/>
        </w:rPr>
        <w:t>.</w:t>
      </w:r>
      <w:r>
        <w:rPr>
          <w:sz w:val="22"/>
          <w:szCs w:val="22"/>
        </w:rPr>
        <w:t xml:space="preserve"> </w:t>
      </w:r>
      <w:r>
        <w:rPr>
          <w:rFonts w:hint="eastAsia"/>
          <w:sz w:val="22"/>
          <w:szCs w:val="22"/>
          <w:lang w:eastAsia="zh-CN"/>
        </w:rPr>
        <w:t xml:space="preserve">It can </w:t>
      </w:r>
      <w:r>
        <w:rPr>
          <w:sz w:val="22"/>
          <w:szCs w:val="22"/>
        </w:rPr>
        <w:t>reach 33.7% accuracy, against a 2.6% chance baseline. Grad-CAM attention places 65.6% of its mass inside the leaf, only 49.6% the leaf occupie</w:t>
      </w:r>
      <w:r>
        <w:rPr>
          <w:rFonts w:hint="eastAsia"/>
          <w:sz w:val="22"/>
          <w:szCs w:val="22"/>
          <w:lang w:eastAsia="zh-CN"/>
        </w:rPr>
        <w:t>d</w:t>
      </w:r>
      <w:r>
        <w:rPr>
          <w:sz w:val="22"/>
          <w:szCs w:val="22"/>
        </w:rPr>
        <w:t xml:space="preserve"> by area. Both show the model reads the background, which correlates with the label because each class was photographed in its own setting.</w:t>
      </w:r>
    </w:p>
    <w:p w14:paraId="4BC9A6A9">
      <w:pPr>
        <w:jc w:val="both"/>
        <w:rPr>
          <w:rFonts w:hint="eastAsia"/>
          <w:i/>
          <w:iCs/>
          <w:sz w:val="22"/>
          <w:szCs w:val="22"/>
          <w:lang w:eastAsia="zh-CN"/>
        </w:rPr>
      </w:pPr>
      <w:r>
        <w:rPr>
          <w:rFonts w:hint="eastAsia"/>
          <w:i/>
          <w:iCs/>
          <w:sz w:val="22"/>
          <w:szCs w:val="22"/>
          <w:lang w:eastAsia="zh-CN"/>
        </w:rPr>
        <w:t>2.</w:t>
      </w:r>
      <w:r>
        <w:rPr>
          <w:i/>
          <w:iCs/>
          <w:sz w:val="22"/>
          <w:szCs w:val="22"/>
        </w:rPr>
        <w:t xml:space="preserve"> Leaf-level leakage</w:t>
      </w:r>
    </w:p>
    <w:p w14:paraId="75B5C983">
      <w:pPr>
        <w:jc w:val="both"/>
        <w:rPr>
          <w:rFonts w:hint="eastAsia"/>
          <w:lang w:eastAsia="zh-CN"/>
        </w:rPr>
      </w:pPr>
      <w:r>
        <w:rPr>
          <w:sz w:val="22"/>
          <w:szCs w:val="22"/>
        </w:rPr>
        <w:t xml:space="preserve">Adopting the leaf-grouped split </w:t>
      </w:r>
      <w:r>
        <w:rPr>
          <w:rFonts w:hint="eastAsia"/>
          <w:sz w:val="22"/>
          <w:szCs w:val="22"/>
          <w:lang w:eastAsia="zh-CN"/>
        </w:rPr>
        <w:t>makes</w:t>
      </w:r>
      <w:r>
        <w:rPr>
          <w:sz w:val="22"/>
          <w:szCs w:val="22"/>
        </w:rPr>
        <w:t xml:space="preserve"> the ensemble from 99.84% to 99.53%</w:t>
      </w:r>
      <w:r>
        <w:rPr>
          <w:rFonts w:hint="eastAsia"/>
          <w:sz w:val="22"/>
          <w:szCs w:val="22"/>
          <w:lang w:eastAsia="zh-CN"/>
        </w:rPr>
        <w:t xml:space="preserve"> lower, </w:t>
      </w:r>
      <w:r>
        <w:rPr>
          <w:sz w:val="22"/>
          <w:szCs w:val="22"/>
          <w:lang w:eastAsia="zh-CN"/>
        </w:rPr>
        <w:t>which</w:t>
      </w:r>
      <w:r>
        <w:rPr>
          <w:rFonts w:hint="eastAsia"/>
          <w:sz w:val="22"/>
          <w:szCs w:val="22"/>
          <w:lang w:eastAsia="zh-CN"/>
        </w:rPr>
        <w:t xml:space="preserve"> has</w:t>
      </w:r>
      <w:r>
        <w:rPr>
          <w:sz w:val="22"/>
          <w:szCs w:val="22"/>
        </w:rPr>
        <w:t xml:space="preserve"> a 0.31</w:t>
      </w:r>
      <w:r>
        <w:rPr>
          <w:rFonts w:hint="eastAsia"/>
          <w:sz w:val="22"/>
          <w:szCs w:val="22"/>
          <w:lang w:eastAsia="zh-CN"/>
        </w:rPr>
        <w:t>%</w:t>
      </w:r>
      <w:r>
        <w:rPr>
          <w:sz w:val="22"/>
          <w:szCs w:val="22"/>
        </w:rPr>
        <w:t xml:space="preserve"> drop</w:t>
      </w:r>
      <w:r>
        <w:rPr>
          <w:rFonts w:hint="eastAsia"/>
          <w:sz w:val="22"/>
          <w:szCs w:val="22"/>
          <w:lang w:eastAsia="zh-CN"/>
        </w:rPr>
        <w:t xml:space="preserve">. It is </w:t>
      </w:r>
      <w:r>
        <w:rPr>
          <w:sz w:val="22"/>
          <w:szCs w:val="22"/>
        </w:rPr>
        <w:t>small because the classification is genuinely strong</w:t>
      </w:r>
      <w:r>
        <w:rPr>
          <w:rFonts w:hint="eastAsia"/>
          <w:sz w:val="22"/>
          <w:szCs w:val="22"/>
          <w:lang w:eastAsia="zh-CN"/>
        </w:rPr>
        <w:t>.</w:t>
      </w:r>
      <w:r>
        <w:rPr>
          <w:sz w:val="22"/>
          <w:szCs w:val="22"/>
        </w:rPr>
        <w:t xml:space="preserve"> Per disease </w:t>
      </w:r>
      <w:r>
        <w:rPr>
          <w:rFonts w:hint="eastAsia"/>
          <w:sz w:val="22"/>
          <w:szCs w:val="22"/>
          <w:lang w:eastAsia="zh-CN"/>
        </w:rPr>
        <w:t xml:space="preserve">that </w:t>
      </w:r>
      <w:r>
        <w:rPr>
          <w:sz w:val="22"/>
          <w:szCs w:val="22"/>
        </w:rPr>
        <w:t>the effect concentrates</w:t>
      </w:r>
      <w:r>
        <w:rPr>
          <w:rFonts w:hint="eastAsia"/>
          <w:sz w:val="22"/>
          <w:szCs w:val="22"/>
          <w:lang w:eastAsia="zh-CN"/>
        </w:rPr>
        <w:t xml:space="preserve"> shows that</w:t>
      </w:r>
      <w:r>
        <w:rPr>
          <w:sz w:val="22"/>
          <w:szCs w:val="22"/>
        </w:rPr>
        <w:t xml:space="preserve"> Tomato early blight falls from a leaked 99% to an honest 93%, exposing the one diagnostic weakness the leaked test had hidden. A perceptual </w:t>
      </w:r>
      <w:r>
        <w:rPr>
          <w:rFonts w:hint="eastAsia"/>
          <w:sz w:val="22"/>
          <w:szCs w:val="22"/>
          <w:lang w:eastAsia="zh-CN"/>
        </w:rPr>
        <w:t>re</w:t>
      </w:r>
      <w:r>
        <w:rPr>
          <w:sz w:val="22"/>
          <w:szCs w:val="22"/>
        </w:rPr>
        <w:t>check bounds the residual leakage the metadata missed at under 10.7%</w:t>
      </w:r>
      <w:r>
        <w:rPr>
          <w:rFonts w:hint="eastAsia"/>
          <w:sz w:val="22"/>
          <w:szCs w:val="22"/>
          <w:lang w:eastAsia="zh-CN"/>
        </w:rPr>
        <w:t xml:space="preserve">. It is </w:t>
      </w:r>
      <w:r>
        <w:rPr>
          <w:sz w:val="22"/>
          <w:szCs w:val="22"/>
        </w:rPr>
        <w:t>an over-estimate, since PlantVillage's near-identical distinct leaves inflate it</w:t>
      </w:r>
      <w:r>
        <w:rPr>
          <w:rFonts w:hint="eastAsia"/>
          <w:sz w:val="22"/>
          <w:szCs w:val="22"/>
          <w:lang w:eastAsia="zh-CN"/>
        </w:rPr>
        <w:t xml:space="preserve"> and</w:t>
      </w:r>
      <w:r>
        <w:rPr>
          <w:sz w:val="22"/>
          <w:szCs w:val="22"/>
        </w:rPr>
        <w:t xml:space="preserve"> the 0.31-point accuracy cost confirms the residual is immaterial.</w:t>
      </w:r>
    </w:p>
    <w:p w14:paraId="2121E2F6">
      <w:pPr>
        <w:pStyle w:val="3"/>
        <w:jc w:val="both"/>
      </w:pPr>
      <w:r>
        <w:rPr>
          <w:rFonts w:hint="eastAsia"/>
          <w:lang w:eastAsia="zh-CN"/>
        </w:rPr>
        <w:t>D</w:t>
      </w:r>
      <w:r>
        <w:t>oes it survive the field?</w:t>
      </w:r>
    </w:p>
    <w:p w14:paraId="408E6CC5">
      <w:pPr>
        <w:jc w:val="both"/>
      </w:pPr>
      <w:r>
        <w:t>Zero-shot on PlantDoc, the ensemble scores 16.1% (236-image test split) and 13.9% across all 2,525 images — a collapse from 99.5% in the laboratory. This is the answer to RQ2, and it is the central result: the benchmark accuracy does not transfer to the conditions the brief describes.</w:t>
      </w:r>
    </w:p>
    <w:p w14:paraId="574E86B7">
      <w:pPr>
        <w:jc w:val="both"/>
      </w:pPr>
    </w:p>
    <w:p w14:paraId="32EF9F27">
      <w:pPr>
        <w:jc w:val="both"/>
      </w:pPr>
      <w:r>
        <w:drawing>
          <wp:inline distT="0" distB="0" distL="0" distR="0">
            <wp:extent cx="2795905" cy="1950720"/>
            <wp:effectExtent l="0" t="0" r="4445"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8"/>
                    <a:stretch>
                      <a:fillRect/>
                    </a:stretch>
                  </pic:blipFill>
                  <pic:spPr>
                    <a:xfrm>
                      <a:off x="0" y="0"/>
                      <a:ext cx="2806943" cy="1958535"/>
                    </a:xfrm>
                    <a:prstGeom prst="rect">
                      <a:avLst/>
                    </a:prstGeom>
                  </pic:spPr>
                </pic:pic>
              </a:graphicData>
            </a:graphic>
          </wp:inline>
        </w:drawing>
      </w:r>
    </w:p>
    <w:p w14:paraId="3E0A0810">
      <w:pPr>
        <w:jc w:val="both"/>
        <w:rPr>
          <w:i/>
          <w:sz w:val="17"/>
        </w:rPr>
      </w:pPr>
      <w:r>
        <w:rPr>
          <w:i/>
          <w:sz w:val="17"/>
        </w:rPr>
        <w:t>Figure 3 — The same ensemble on studio and field photographs. Fine-grained accuracy collapses; even the coarse healthy/diseased decision loses ~20 points.</w:t>
      </w:r>
    </w:p>
    <w:p w14:paraId="60788850">
      <w:pPr>
        <w:jc w:val="both"/>
        <w:rPr>
          <w:i/>
          <w:sz w:val="17"/>
        </w:rPr>
      </w:pPr>
    </w:p>
    <w:p w14:paraId="35220B46">
      <w:pPr>
        <w:jc w:val="both"/>
        <w:rPr>
          <w:rFonts w:hint="eastAsia"/>
          <w:i/>
          <w:sz w:val="22"/>
          <w:szCs w:val="22"/>
          <w:u w:val="none"/>
          <w:lang w:eastAsia="zh-CN"/>
        </w:rPr>
      </w:pPr>
      <w:r>
        <w:rPr>
          <w:rFonts w:hint="eastAsia"/>
          <w:i/>
          <w:sz w:val="22"/>
          <w:szCs w:val="22"/>
          <w:lang w:eastAsia="zh-CN"/>
        </w:rPr>
        <w:t xml:space="preserve">1. </w:t>
      </w:r>
      <w:r>
        <w:rPr>
          <w:i/>
          <w:sz w:val="22"/>
          <w:szCs w:val="22"/>
        </w:rPr>
        <w:t>Where t</w:t>
      </w:r>
      <w:r>
        <w:rPr>
          <w:i/>
          <w:sz w:val="22"/>
          <w:szCs w:val="22"/>
          <w:u w:val="none"/>
        </w:rPr>
        <w:t>he accuracy goes</w:t>
      </w:r>
    </w:p>
    <w:p w14:paraId="21E42EC6">
      <w:pPr>
        <w:jc w:val="both"/>
        <w:rPr>
          <w:rFonts w:hint="default" w:eastAsia="宋体"/>
          <w:lang w:val="en-US" w:eastAsia="zh-CN"/>
        </w:rPr>
      </w:pPr>
      <w:r>
        <w:rPr>
          <w:u w:val="none"/>
        </w:rPr>
        <w:t>Decomposing field accuracy into crop identification and disease-given-crop shows the b</w:t>
      </w:r>
      <w:r>
        <w:t>ottleneck is recognising the plant, not the disease: crop accuracy is only 39.6%. Background randomisation during training significantly improves field crop identification (McNemar p = 0.0013), and a frozen ImageNet backbone</w:t>
      </w:r>
      <w:r>
        <w:rPr>
          <w:rFonts w:hint="eastAsia"/>
          <w:lang w:val="en-US" w:eastAsia="zh-CN"/>
        </w:rPr>
        <w:t>, which</w:t>
      </w:r>
      <w:r>
        <w:t xml:space="preserve"> training only a 19,494-parameter head, 574 times fewer parameters than full fine-tuning</w:t>
      </w:r>
      <w:r>
        <w:rPr>
          <w:rFonts w:hint="eastAsia"/>
          <w:lang w:val="en-US" w:eastAsia="zh-CN"/>
        </w:rPr>
        <w:t>. It</w:t>
      </w:r>
      <w:r>
        <w:t xml:space="preserve"> matches or beats full fine-tuning in the field while costing eight points in the laboratory. The laboratory </w:t>
      </w:r>
      <w:r>
        <w:rPr>
          <w:rFonts w:hint="eastAsia"/>
          <w:lang w:val="en-US" w:eastAsia="zh-CN"/>
        </w:rPr>
        <w:t xml:space="preserve">results </w:t>
      </w:r>
      <w:r>
        <w:t>points that extra training</w:t>
      </w:r>
      <w:r>
        <w:rPr>
          <w:rFonts w:hint="eastAsia"/>
          <w:lang w:val="en-US" w:eastAsia="zh-CN"/>
        </w:rPr>
        <w:t xml:space="preserve"> </w:t>
      </w:r>
      <w:r>
        <w:t xml:space="preserve">are worth nothing, sometimes less </w:t>
      </w:r>
      <w:r>
        <w:rPr>
          <w:rFonts w:hint="eastAsia"/>
          <w:lang w:val="en-US" w:eastAsia="zh-CN"/>
        </w:rPr>
        <w:t>is better.</w:t>
      </w:r>
    </w:p>
    <w:tbl>
      <w:tblPr>
        <w:tblStyle w:val="11"/>
        <w:tblW w:w="0" w:type="auto"/>
        <w:jc w:val="center"/>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Layout w:type="autofit"/>
        <w:tblCellMar>
          <w:top w:w="0" w:type="dxa"/>
          <w:left w:w="108" w:type="dxa"/>
          <w:bottom w:w="0" w:type="dxa"/>
          <w:right w:w="108" w:type="dxa"/>
        </w:tblCellMar>
      </w:tblPr>
      <w:tblGrid>
        <w:gridCol w:w="1132"/>
        <w:gridCol w:w="1191"/>
        <w:gridCol w:w="971"/>
        <w:gridCol w:w="894"/>
        <w:gridCol w:w="894"/>
      </w:tblGrid>
      <w:tr w14:paraId="35CEA60B">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Ex>
        <w:trPr>
          <w:jc w:val="center"/>
        </w:trPr>
        <w:tc>
          <w:tcPr>
            <w:tcW w:w="1728" w:type="dxa"/>
            <w:tcBorders>
              <w:top w:val="single" w:color="5B9BD5" w:themeColor="accent1" w:sz="8" w:space="0"/>
              <w:left w:val="single" w:color="5B9BD5" w:themeColor="accent1" w:sz="8" w:space="0"/>
              <w:bottom w:val="single" w:color="5B9BD5" w:themeColor="accent1" w:sz="18" w:space="0"/>
              <w:right w:val="single" w:color="5B9BD5" w:themeColor="accent1" w:sz="8" w:space="0"/>
              <w:insideH w:val="single" w:sz="18" w:space="0"/>
              <w:insideV w:val="single" w:sz="8" w:space="0"/>
            </w:tcBorders>
          </w:tcPr>
          <w:p w14:paraId="49E3170E">
            <w:pPr>
              <w:spacing w:before="0" w:after="0" w:line="240" w:lineRule="auto"/>
              <w:jc w:val="both"/>
              <w:rPr>
                <w:rFonts w:ascii="Times New Roman" w:hAnsi="Times New Roman" w:cs="Times New Roman" w:eastAsiaTheme="majorEastAsia"/>
                <w:b/>
                <w:bCs/>
                <w:sz w:val="22"/>
                <w:szCs w:val="22"/>
              </w:rPr>
            </w:pPr>
            <w:r>
              <w:rPr>
                <w:rFonts w:ascii="Times New Roman" w:hAnsi="Times New Roman" w:cs="Times New Roman" w:eastAsiaTheme="majorEastAsia"/>
                <w:b/>
                <w:bCs/>
                <w:sz w:val="19"/>
                <w:szCs w:val="22"/>
              </w:rPr>
              <w:t>Arm (field, 2,525 images)</w:t>
            </w:r>
          </w:p>
        </w:tc>
        <w:tc>
          <w:tcPr>
            <w:tcW w:w="1728" w:type="dxa"/>
            <w:tcBorders>
              <w:top w:val="single" w:color="5B9BD5" w:themeColor="accent1" w:sz="8" w:space="0"/>
              <w:bottom w:val="single" w:color="5B9BD5" w:themeColor="accent1" w:sz="18" w:space="0"/>
              <w:right w:val="single" w:color="5B9BD5" w:themeColor="accent1" w:sz="8" w:space="0"/>
              <w:insideH w:val="single" w:sz="18" w:space="0"/>
              <w:insideV w:val="single" w:sz="8" w:space="0"/>
            </w:tcBorders>
          </w:tcPr>
          <w:p w14:paraId="27F8459C">
            <w:pPr>
              <w:spacing w:before="0" w:after="0" w:line="240" w:lineRule="auto"/>
              <w:jc w:val="both"/>
              <w:rPr>
                <w:rFonts w:ascii="Times New Roman" w:hAnsi="Times New Roman" w:cs="Times New Roman" w:eastAsiaTheme="majorEastAsia"/>
                <w:b/>
                <w:bCs/>
                <w:sz w:val="22"/>
                <w:szCs w:val="22"/>
              </w:rPr>
            </w:pPr>
            <w:r>
              <w:rPr>
                <w:rFonts w:ascii="Times New Roman" w:hAnsi="Times New Roman" w:cs="Times New Roman" w:eastAsiaTheme="majorEastAsia"/>
                <w:b/>
                <w:bCs/>
                <w:sz w:val="19"/>
                <w:szCs w:val="22"/>
              </w:rPr>
              <w:t>Trainable params</w:t>
            </w:r>
          </w:p>
        </w:tc>
        <w:tc>
          <w:tcPr>
            <w:tcW w:w="1728" w:type="dxa"/>
            <w:tcBorders>
              <w:top w:val="single" w:color="5B9BD5" w:themeColor="accent1" w:sz="8" w:space="0"/>
              <w:bottom w:val="single" w:color="5B9BD5" w:themeColor="accent1" w:sz="18" w:space="0"/>
              <w:right w:val="single" w:color="5B9BD5" w:themeColor="accent1" w:sz="8" w:space="0"/>
              <w:insideH w:val="single" w:sz="18" w:space="0"/>
              <w:insideV w:val="single" w:sz="8" w:space="0"/>
            </w:tcBorders>
          </w:tcPr>
          <w:p w14:paraId="7A933D1F">
            <w:pPr>
              <w:spacing w:before="0" w:after="0" w:line="240" w:lineRule="auto"/>
              <w:jc w:val="both"/>
              <w:rPr>
                <w:rFonts w:ascii="Times New Roman" w:hAnsi="Times New Roman" w:cs="Times New Roman" w:eastAsiaTheme="majorEastAsia"/>
                <w:b/>
                <w:bCs/>
                <w:sz w:val="22"/>
                <w:szCs w:val="22"/>
              </w:rPr>
            </w:pPr>
            <w:r>
              <w:rPr>
                <w:rFonts w:ascii="Times New Roman" w:hAnsi="Times New Roman" w:cs="Times New Roman" w:eastAsiaTheme="majorEastAsia"/>
                <w:b/>
                <w:bCs/>
                <w:sz w:val="19"/>
                <w:szCs w:val="22"/>
              </w:rPr>
              <w:t>Lab</w:t>
            </w:r>
          </w:p>
        </w:tc>
        <w:tc>
          <w:tcPr>
            <w:tcW w:w="1728" w:type="dxa"/>
            <w:tcBorders>
              <w:top w:val="single" w:color="5B9BD5" w:themeColor="accent1" w:sz="8" w:space="0"/>
              <w:bottom w:val="single" w:color="5B9BD5" w:themeColor="accent1" w:sz="18" w:space="0"/>
              <w:right w:val="single" w:color="5B9BD5" w:themeColor="accent1" w:sz="8" w:space="0"/>
              <w:insideH w:val="single" w:sz="18" w:space="0"/>
              <w:insideV w:val="single" w:sz="8" w:space="0"/>
            </w:tcBorders>
          </w:tcPr>
          <w:p w14:paraId="7D9CCB17">
            <w:pPr>
              <w:spacing w:before="0" w:after="0" w:line="240" w:lineRule="auto"/>
              <w:jc w:val="both"/>
              <w:rPr>
                <w:rFonts w:ascii="Times New Roman" w:hAnsi="Times New Roman" w:cs="Times New Roman" w:eastAsiaTheme="majorEastAsia"/>
                <w:b/>
                <w:bCs/>
                <w:sz w:val="22"/>
                <w:szCs w:val="22"/>
              </w:rPr>
            </w:pPr>
            <w:r>
              <w:rPr>
                <w:rFonts w:ascii="Times New Roman" w:hAnsi="Times New Roman" w:cs="Times New Roman" w:eastAsiaTheme="majorEastAsia"/>
                <w:b/>
                <w:bCs/>
                <w:sz w:val="19"/>
                <w:szCs w:val="22"/>
              </w:rPr>
              <w:t>Field</w:t>
            </w:r>
          </w:p>
        </w:tc>
        <w:tc>
          <w:tcPr>
            <w:tcW w:w="1728" w:type="dxa"/>
            <w:tcBorders>
              <w:top w:val="single" w:color="5B9BD5" w:themeColor="accent1" w:sz="8" w:space="0"/>
              <w:bottom w:val="single" w:color="5B9BD5" w:themeColor="accent1" w:sz="18" w:space="0"/>
              <w:right w:val="single" w:color="5B9BD5" w:themeColor="accent1" w:sz="8" w:space="0"/>
              <w:insideH w:val="single" w:sz="18" w:space="0"/>
              <w:insideV w:val="single" w:sz="8" w:space="0"/>
            </w:tcBorders>
          </w:tcPr>
          <w:p w14:paraId="032822E0">
            <w:pPr>
              <w:spacing w:before="0" w:after="0" w:line="240" w:lineRule="auto"/>
              <w:jc w:val="both"/>
              <w:rPr>
                <w:rFonts w:ascii="Times New Roman" w:hAnsi="Times New Roman" w:cs="Times New Roman" w:eastAsiaTheme="majorEastAsia"/>
                <w:b/>
                <w:bCs/>
                <w:sz w:val="22"/>
                <w:szCs w:val="22"/>
              </w:rPr>
            </w:pPr>
            <w:r>
              <w:rPr>
                <w:rFonts w:ascii="Times New Roman" w:hAnsi="Times New Roman" w:cs="Times New Roman" w:eastAsiaTheme="majorEastAsia"/>
                <w:b/>
                <w:bCs/>
                <w:sz w:val="19"/>
                <w:szCs w:val="22"/>
              </w:rPr>
              <w:t>Crop</w:t>
            </w:r>
          </w:p>
        </w:tc>
      </w:tr>
      <w:tr w14:paraId="27FE00A5">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Ex>
        <w:trPr>
          <w:jc w:val="center"/>
        </w:trPr>
        <w:tc>
          <w:tcPr>
            <w:tcW w:w="1728" w:type="dxa"/>
            <w:tcBorders>
              <w:top w:val="single" w:color="5B9BD5" w:themeColor="accent1" w:sz="8" w:space="0"/>
              <w:left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tcPr>
          <w:p w14:paraId="53C4D674">
            <w:pPr>
              <w:jc w:val="both"/>
              <w:rPr>
                <w:rFonts w:ascii="Times New Roman" w:hAnsi="Times New Roman" w:cs="Times New Roman" w:eastAsiaTheme="majorEastAsia"/>
                <w:b/>
                <w:bCs/>
                <w:sz w:val="22"/>
                <w:szCs w:val="22"/>
              </w:rPr>
            </w:pPr>
            <w:r>
              <w:rPr>
                <w:rFonts w:ascii="Times New Roman" w:hAnsi="Times New Roman" w:cs="Times New Roman" w:eastAsiaTheme="majorEastAsia"/>
                <w:b/>
                <w:bCs/>
                <w:sz w:val="19"/>
                <w:szCs w:val="22"/>
              </w:rPr>
              <w:t>Full fine-tune</w:t>
            </w:r>
          </w:p>
        </w:tc>
        <w:tc>
          <w:tcPr>
            <w:tcW w:w="1728"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tcPr>
          <w:p w14:paraId="4164048B">
            <w:pPr>
              <w:jc w:val="both"/>
              <w:rPr>
                <w:rFonts w:ascii="Times New Roman" w:hAnsi="Times New Roman" w:cs="Times New Roman" w:eastAsiaTheme="minorEastAsia"/>
                <w:sz w:val="22"/>
                <w:szCs w:val="22"/>
              </w:rPr>
            </w:pPr>
            <w:r>
              <w:rPr>
                <w:rFonts w:ascii="Times New Roman" w:hAnsi="Times New Roman" w:cs="Times New Roman" w:eastAsiaTheme="minorEastAsia"/>
                <w:sz w:val="19"/>
                <w:szCs w:val="22"/>
              </w:rPr>
              <w:t>11,196,006</w:t>
            </w:r>
          </w:p>
        </w:tc>
        <w:tc>
          <w:tcPr>
            <w:tcW w:w="1728"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tcPr>
          <w:p w14:paraId="350F319F">
            <w:pPr>
              <w:jc w:val="both"/>
              <w:rPr>
                <w:rFonts w:ascii="Times New Roman" w:hAnsi="Times New Roman" w:cs="Times New Roman" w:eastAsiaTheme="minorEastAsia"/>
                <w:sz w:val="22"/>
                <w:szCs w:val="22"/>
              </w:rPr>
            </w:pPr>
            <w:r>
              <w:rPr>
                <w:rFonts w:ascii="Times New Roman" w:hAnsi="Times New Roman" w:cs="Times New Roman" w:eastAsiaTheme="minorEastAsia"/>
                <w:sz w:val="19"/>
                <w:szCs w:val="22"/>
              </w:rPr>
              <w:t>99.20%</w:t>
            </w:r>
          </w:p>
        </w:tc>
        <w:tc>
          <w:tcPr>
            <w:tcW w:w="1728"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tcPr>
          <w:p w14:paraId="22EF7489">
            <w:pPr>
              <w:jc w:val="both"/>
              <w:rPr>
                <w:rFonts w:ascii="Times New Roman" w:hAnsi="Times New Roman" w:cs="Times New Roman" w:eastAsiaTheme="minorEastAsia"/>
                <w:sz w:val="22"/>
                <w:szCs w:val="22"/>
              </w:rPr>
            </w:pPr>
            <w:r>
              <w:rPr>
                <w:rFonts w:ascii="Times New Roman" w:hAnsi="Times New Roman" w:cs="Times New Roman" w:eastAsiaTheme="minorEastAsia"/>
                <w:sz w:val="19"/>
                <w:szCs w:val="22"/>
              </w:rPr>
              <w:t>15.2%</w:t>
            </w:r>
          </w:p>
        </w:tc>
        <w:tc>
          <w:tcPr>
            <w:tcW w:w="1728"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tcPr>
          <w:p w14:paraId="57566217">
            <w:pPr>
              <w:jc w:val="both"/>
              <w:rPr>
                <w:rFonts w:ascii="Times New Roman" w:hAnsi="Times New Roman" w:cs="Times New Roman" w:eastAsiaTheme="minorEastAsia"/>
                <w:sz w:val="22"/>
                <w:szCs w:val="22"/>
              </w:rPr>
            </w:pPr>
            <w:r>
              <w:rPr>
                <w:rFonts w:ascii="Times New Roman" w:hAnsi="Times New Roman" w:cs="Times New Roman" w:eastAsiaTheme="minorEastAsia"/>
                <w:sz w:val="19"/>
                <w:szCs w:val="22"/>
              </w:rPr>
              <w:t>37.2%</w:t>
            </w:r>
          </w:p>
        </w:tc>
      </w:tr>
      <w:tr w14:paraId="7484838A">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Ex>
        <w:trPr>
          <w:jc w:val="center"/>
        </w:trPr>
        <w:tc>
          <w:tcPr>
            <w:tcW w:w="1728" w:type="dxa"/>
            <w:tcBorders>
              <w:top w:val="single" w:color="5B9BD5" w:themeColor="accent1" w:sz="8" w:space="0"/>
              <w:left w:val="single" w:color="5B9BD5" w:themeColor="accent1" w:sz="8" w:space="0"/>
              <w:bottom w:val="single" w:color="5B9BD5" w:themeColor="accent1" w:sz="8" w:space="0"/>
              <w:right w:val="single" w:color="5B9BD5" w:themeColor="accent1" w:sz="8" w:space="0"/>
              <w:insideH w:val="single" w:sz="8" w:space="0"/>
              <w:insideV w:val="single" w:sz="8" w:space="0"/>
            </w:tcBorders>
          </w:tcPr>
          <w:p w14:paraId="566B902F">
            <w:pPr>
              <w:jc w:val="both"/>
              <w:rPr>
                <w:rFonts w:ascii="Times New Roman" w:hAnsi="Times New Roman" w:cs="Times New Roman" w:eastAsiaTheme="majorEastAsia"/>
                <w:b/>
                <w:bCs/>
                <w:sz w:val="22"/>
                <w:szCs w:val="22"/>
              </w:rPr>
            </w:pPr>
            <w:r>
              <w:rPr>
                <w:rFonts w:ascii="Times New Roman" w:hAnsi="Times New Roman" w:cs="Times New Roman" w:eastAsiaTheme="majorEastAsia"/>
                <w:b/>
                <w:bCs/>
                <w:sz w:val="19"/>
                <w:szCs w:val="22"/>
              </w:rPr>
              <w:t>Frozen backbone</w:t>
            </w:r>
          </w:p>
        </w:tc>
        <w:tc>
          <w:tcPr>
            <w:tcW w:w="1728"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tcPr>
          <w:p w14:paraId="77873788">
            <w:pPr>
              <w:jc w:val="both"/>
              <w:rPr>
                <w:rFonts w:ascii="Times New Roman" w:hAnsi="Times New Roman" w:cs="Times New Roman" w:eastAsiaTheme="minorEastAsia"/>
                <w:sz w:val="22"/>
                <w:szCs w:val="22"/>
              </w:rPr>
            </w:pPr>
            <w:r>
              <w:rPr>
                <w:rFonts w:ascii="Times New Roman" w:hAnsi="Times New Roman" w:cs="Times New Roman" w:eastAsiaTheme="minorEastAsia"/>
                <w:sz w:val="19"/>
                <w:szCs w:val="22"/>
              </w:rPr>
              <w:t>19,494</w:t>
            </w:r>
          </w:p>
        </w:tc>
        <w:tc>
          <w:tcPr>
            <w:tcW w:w="1728"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tcPr>
          <w:p w14:paraId="196A6228">
            <w:pPr>
              <w:jc w:val="both"/>
              <w:rPr>
                <w:rFonts w:ascii="Times New Roman" w:hAnsi="Times New Roman" w:cs="Times New Roman" w:eastAsiaTheme="minorEastAsia"/>
                <w:sz w:val="22"/>
                <w:szCs w:val="22"/>
              </w:rPr>
            </w:pPr>
            <w:r>
              <w:rPr>
                <w:rFonts w:ascii="Times New Roman" w:hAnsi="Times New Roman" w:cs="Times New Roman" w:eastAsiaTheme="minorEastAsia"/>
                <w:sz w:val="19"/>
                <w:szCs w:val="22"/>
              </w:rPr>
              <w:t>91.26%</w:t>
            </w:r>
          </w:p>
        </w:tc>
        <w:tc>
          <w:tcPr>
            <w:tcW w:w="1728"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tcPr>
          <w:p w14:paraId="214454DA">
            <w:pPr>
              <w:jc w:val="both"/>
              <w:rPr>
                <w:rFonts w:ascii="Times New Roman" w:hAnsi="Times New Roman" w:cs="Times New Roman" w:eastAsiaTheme="minorEastAsia"/>
                <w:sz w:val="22"/>
                <w:szCs w:val="22"/>
              </w:rPr>
            </w:pPr>
            <w:r>
              <w:rPr>
                <w:rFonts w:ascii="Times New Roman" w:hAnsi="Times New Roman" w:cs="Times New Roman" w:eastAsiaTheme="minorEastAsia"/>
                <w:sz w:val="19"/>
                <w:szCs w:val="22"/>
              </w:rPr>
              <w:t>16.9%</w:t>
            </w:r>
          </w:p>
        </w:tc>
        <w:tc>
          <w:tcPr>
            <w:tcW w:w="1728"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tcPr>
          <w:p w14:paraId="5577EB23">
            <w:pPr>
              <w:jc w:val="both"/>
              <w:rPr>
                <w:rFonts w:ascii="Times New Roman" w:hAnsi="Times New Roman" w:cs="Times New Roman" w:eastAsiaTheme="minorEastAsia"/>
                <w:sz w:val="22"/>
                <w:szCs w:val="22"/>
              </w:rPr>
            </w:pPr>
            <w:r>
              <w:rPr>
                <w:rFonts w:ascii="Times New Roman" w:hAnsi="Times New Roman" w:cs="Times New Roman" w:eastAsiaTheme="minorEastAsia"/>
                <w:sz w:val="19"/>
                <w:szCs w:val="22"/>
              </w:rPr>
              <w:t>39.4%</w:t>
            </w:r>
          </w:p>
        </w:tc>
      </w:tr>
      <w:tr w14:paraId="705854DC">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Ex>
        <w:trPr>
          <w:jc w:val="center"/>
        </w:trPr>
        <w:tc>
          <w:tcPr>
            <w:tcW w:w="1728" w:type="dxa"/>
            <w:tcBorders>
              <w:top w:val="single" w:color="5B9BD5" w:themeColor="accent1" w:sz="8" w:space="0"/>
              <w:left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tcPr>
          <w:p w14:paraId="1AB73F91">
            <w:pPr>
              <w:jc w:val="both"/>
              <w:rPr>
                <w:rFonts w:ascii="Times New Roman" w:hAnsi="Times New Roman" w:cs="Times New Roman" w:eastAsiaTheme="majorEastAsia"/>
                <w:b/>
                <w:bCs/>
                <w:sz w:val="22"/>
                <w:szCs w:val="22"/>
              </w:rPr>
            </w:pPr>
            <w:r>
              <w:rPr>
                <w:rFonts w:ascii="Times New Roman" w:hAnsi="Times New Roman" w:cs="Times New Roman" w:eastAsiaTheme="majorEastAsia"/>
                <w:b/>
                <w:bCs/>
                <w:sz w:val="19"/>
                <w:szCs w:val="22"/>
              </w:rPr>
              <w:t>Frozen + bg-random</w:t>
            </w:r>
          </w:p>
        </w:tc>
        <w:tc>
          <w:tcPr>
            <w:tcW w:w="1728"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tcPr>
          <w:p w14:paraId="030E7007">
            <w:pPr>
              <w:jc w:val="both"/>
              <w:rPr>
                <w:rFonts w:ascii="Times New Roman" w:hAnsi="Times New Roman" w:cs="Times New Roman" w:eastAsiaTheme="minorEastAsia"/>
                <w:sz w:val="22"/>
                <w:szCs w:val="22"/>
              </w:rPr>
            </w:pPr>
            <w:r>
              <w:rPr>
                <w:rFonts w:ascii="Times New Roman" w:hAnsi="Times New Roman" w:cs="Times New Roman" w:eastAsiaTheme="minorEastAsia"/>
                <w:sz w:val="19"/>
                <w:szCs w:val="22"/>
              </w:rPr>
              <w:t>19,494</w:t>
            </w:r>
          </w:p>
        </w:tc>
        <w:tc>
          <w:tcPr>
            <w:tcW w:w="1728"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tcPr>
          <w:p w14:paraId="5BEC618E">
            <w:pPr>
              <w:jc w:val="both"/>
              <w:rPr>
                <w:rFonts w:ascii="Times New Roman" w:hAnsi="Times New Roman" w:cs="Times New Roman" w:eastAsiaTheme="minorEastAsia"/>
                <w:sz w:val="22"/>
                <w:szCs w:val="22"/>
              </w:rPr>
            </w:pPr>
            <w:r>
              <w:rPr>
                <w:rFonts w:ascii="Times New Roman" w:hAnsi="Times New Roman" w:cs="Times New Roman" w:eastAsiaTheme="minorEastAsia"/>
                <w:sz w:val="19"/>
                <w:szCs w:val="22"/>
              </w:rPr>
              <w:t>88.41%</w:t>
            </w:r>
          </w:p>
        </w:tc>
        <w:tc>
          <w:tcPr>
            <w:tcW w:w="1728"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tcPr>
          <w:p w14:paraId="16677A74">
            <w:pPr>
              <w:jc w:val="both"/>
              <w:rPr>
                <w:rFonts w:ascii="Times New Roman" w:hAnsi="Times New Roman" w:cs="Times New Roman" w:eastAsiaTheme="minorEastAsia"/>
                <w:sz w:val="22"/>
                <w:szCs w:val="22"/>
              </w:rPr>
            </w:pPr>
            <w:r>
              <w:rPr>
                <w:rFonts w:ascii="Times New Roman" w:hAnsi="Times New Roman" w:cs="Times New Roman" w:eastAsiaTheme="minorEastAsia"/>
                <w:sz w:val="19"/>
                <w:szCs w:val="22"/>
              </w:rPr>
              <w:t>18.1%</w:t>
            </w:r>
          </w:p>
        </w:tc>
        <w:tc>
          <w:tcPr>
            <w:tcW w:w="1728"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tcPr>
          <w:p w14:paraId="1AD173E8">
            <w:pPr>
              <w:jc w:val="both"/>
              <w:rPr>
                <w:rFonts w:ascii="Times New Roman" w:hAnsi="Times New Roman" w:cs="Times New Roman" w:eastAsiaTheme="minorEastAsia"/>
                <w:sz w:val="22"/>
                <w:szCs w:val="22"/>
              </w:rPr>
            </w:pPr>
            <w:r>
              <w:rPr>
                <w:rFonts w:ascii="Times New Roman" w:hAnsi="Times New Roman" w:cs="Times New Roman" w:eastAsiaTheme="minorEastAsia"/>
                <w:sz w:val="19"/>
                <w:szCs w:val="22"/>
              </w:rPr>
              <w:t>41.4%</w:t>
            </w:r>
          </w:p>
        </w:tc>
      </w:tr>
    </w:tbl>
    <w:p w14:paraId="07BC6400">
      <w:pPr>
        <w:jc w:val="both"/>
      </w:pPr>
    </w:p>
    <w:p w14:paraId="61551303">
      <w:pPr>
        <w:jc w:val="both"/>
      </w:pPr>
      <w:r>
        <w:drawing>
          <wp:inline distT="0" distB="0" distL="0" distR="0">
            <wp:extent cx="3175635" cy="2125980"/>
            <wp:effectExtent l="0" t="0" r="5715" b="762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9"/>
                    <a:stretch>
                      <a:fillRect/>
                    </a:stretch>
                  </pic:blipFill>
                  <pic:spPr>
                    <a:xfrm>
                      <a:off x="0" y="0"/>
                      <a:ext cx="3197225" cy="2140116"/>
                    </a:xfrm>
                    <a:prstGeom prst="rect">
                      <a:avLst/>
                    </a:prstGeom>
                  </pic:spPr>
                </pic:pic>
              </a:graphicData>
            </a:graphic>
          </wp:inline>
        </w:drawing>
      </w:r>
    </w:p>
    <w:p w14:paraId="17C75114">
      <w:pPr>
        <w:jc w:val="both"/>
        <w:rPr>
          <w:i/>
          <w:sz w:val="17"/>
        </w:rPr>
      </w:pPr>
      <w:r>
        <w:rPr>
          <w:i/>
          <w:sz w:val="17"/>
        </w:rPr>
        <w:t>Figure 4 — The strongest control: training 574x fewer parameters costs ~8 points in the laboratory and loses nothing in the field.</w:t>
      </w:r>
    </w:p>
    <w:p w14:paraId="157724FF">
      <w:pPr>
        <w:jc w:val="both"/>
      </w:pPr>
    </w:p>
    <w:p w14:paraId="13131ABF">
      <w:pPr>
        <w:jc w:val="both"/>
        <w:rPr>
          <w:rFonts w:hint="eastAsia"/>
          <w:i/>
          <w:lang w:eastAsia="zh-CN"/>
        </w:rPr>
      </w:pPr>
      <w:r>
        <w:rPr>
          <w:rFonts w:hint="eastAsia"/>
          <w:i/>
          <w:sz w:val="17"/>
          <w:lang w:eastAsia="zh-CN"/>
        </w:rPr>
        <w:t xml:space="preserve">2. </w:t>
      </w:r>
      <w:r>
        <w:t>Robustness and adaptation</w:t>
      </w:r>
    </w:p>
    <w:p w14:paraId="0823F036">
      <w:pPr>
        <w:jc w:val="both"/>
      </w:pPr>
      <w:r>
        <w:t>Field accuracy is nearly flat across capture-quality bins (luminance, contrast, and sharpness ga</w:t>
      </w:r>
      <w:bookmarkStart w:id="0" w:name="_GoBack"/>
      <w:bookmarkEnd w:id="0"/>
      <w:r>
        <w:t>ps under 1.6 points), so the failure is not caused by poor photographs — it is uniform across bright, dark, sharp and blurry images. The domain gap is compositional (whole plants, overlapping foliage, varying scale), not photometric. The honest remedy is target-domain data: fine-tuning on PlantDoc raises accuracy from 16.1% through 47.0% at 20 shots per class to 55.9% with all field data, an improvement of 39.8 points over the zero-shot baseline that meets the reference dataset's own 31-point improvement target.</w:t>
      </w:r>
    </w:p>
    <w:p w14:paraId="47D524F9">
      <w:pPr>
        <w:jc w:val="both"/>
      </w:pPr>
    </w:p>
    <w:p w14:paraId="65C30E1F">
      <w:r>
        <w:drawing>
          <wp:inline distT="0" distB="0" distL="0" distR="0">
            <wp:extent cx="2284095" cy="1731010"/>
            <wp:effectExtent l="0" t="0" r="190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300265" cy="1743185"/>
                    </a:xfrm>
                    <a:prstGeom prst="rect">
                      <a:avLst/>
                    </a:prstGeom>
                  </pic:spPr>
                </pic:pic>
              </a:graphicData>
            </a:graphic>
          </wp:inline>
        </w:drawing>
      </w:r>
    </w:p>
    <w:p w14:paraId="0701B88C">
      <w:pPr>
        <w:jc w:val="both"/>
        <w:rPr>
          <w:rFonts w:hint="eastAsia"/>
          <w:lang w:eastAsia="zh-CN"/>
        </w:rPr>
      </w:pPr>
      <w:r>
        <w:rPr>
          <w:i/>
          <w:sz w:val="17"/>
        </w:rPr>
        <w:t>Figure 5 — Supervised adaptation on field data, the honest remedy: 16.1% zero-shot to 55.9% with the full field training set.</w:t>
      </w:r>
    </w:p>
    <w:p w14:paraId="2F9C4A8F">
      <w:pPr>
        <w:jc w:val="both"/>
        <w:rPr>
          <w:rFonts w:hint="eastAsia"/>
          <w:lang w:eastAsia="zh-CN"/>
        </w:rPr>
      </w:pPr>
    </w:p>
    <w:p w14:paraId="3A9B83C4">
      <w:pPr>
        <w:jc w:val="both"/>
        <w:rPr>
          <w:i/>
          <w:iCs/>
          <w:lang w:eastAsia="zh-CN"/>
        </w:rPr>
      </w:pPr>
      <w:r>
        <w:rPr>
          <w:rFonts w:hint="eastAsia"/>
          <w:i/>
          <w:iCs/>
          <w:lang w:eastAsia="zh-CN"/>
        </w:rPr>
        <w:t>3. The findings and the Limitations.</w:t>
      </w:r>
    </w:p>
    <w:p w14:paraId="79660F55">
      <w:pPr>
        <w:jc w:val="both"/>
      </w:pPr>
      <w:r>
        <w:t>The project's contribution is not a 99% accuracy; it is the demonstration, with controlled experiments rather than assertion, that this number is largely capture bias and leaf leakage, and that it does not survive contact with the field the brief describes. Three results carry the argument: 574 times the trainable parameters buy no field accuracy; removing colour costs one laboratory point but fifteen field points, showing the benchmark cannot distinguish a model that reads symptoms from one that does not; and the field error decomposes cleanly into a crop-identification bottleneck that augmentation cannot fix, because PlantVillage contains no whole-plant, multi-leaf, distant views to learn from.</w:t>
      </w:r>
    </w:p>
    <w:p w14:paraId="5B671B2D">
      <w:pPr>
        <w:jc w:val="both"/>
      </w:pPr>
      <w:r>
        <w:rPr>
          <w:rFonts w:hint="eastAsia"/>
          <w:lang w:eastAsia="zh-CN"/>
        </w:rPr>
        <w:t xml:space="preserve">Also, we have get some some limitations of the model and the dataset. </w:t>
      </w:r>
      <w:r>
        <w:t>Our field evaluation on the 236-image test split carries a Wilson interval of roughly five points; we therefore report full-dataset figures alongside it. PlantDoc carries label noise and its train</w:t>
      </w:r>
      <w:r>
        <w:rPr>
          <w:rFonts w:hint="eastAsia"/>
          <w:lang w:eastAsia="zh-CN"/>
        </w:rPr>
        <w:t xml:space="preserve"> or </w:t>
      </w:r>
      <w:r>
        <w:t>test splits differ in content. Severity is validated on 150 leaves by three annotators, and the human cross-check of the joint head rests on the 20 of those leaves in the model's test split, so its ordering is indicative rather than conclusive. Growth-stage robustness cannot be tested because PlantDoc carries no stage labels; we record it as a limitation rather than proxy it.</w:t>
      </w:r>
    </w:p>
    <w:p w14:paraId="2653D6D9">
      <w:pPr>
        <w:jc w:val="both"/>
        <w:rPr>
          <w:rFonts w:hint="eastAsia"/>
          <w:i/>
          <w:iCs/>
          <w:lang w:eastAsia="zh-CN"/>
        </w:rPr>
      </w:pPr>
    </w:p>
    <w:p w14:paraId="1A71A12F">
      <w:pPr>
        <w:pStyle w:val="2"/>
      </w:pPr>
      <w:r>
        <w:t>CONCLUSION</w:t>
      </w:r>
    </w:p>
    <w:p w14:paraId="5D2DD83B">
      <w:pPr>
        <w:jc w:val="both"/>
        <w:rPr>
          <w:rFonts w:hint="eastAsia"/>
        </w:rPr>
      </w:pPr>
      <w:r>
        <w:t>A CNN ensemble classifies PlantVillage leaves at 99.5% and healthy-versus-diseased at essentially 100%, and a jointly trained model estimates severity from image features as a genuine output. But the brief's deployment aim is met only under honest scrutiny</w:t>
      </w:r>
      <w:r>
        <w:rPr>
          <w:rFonts w:hint="eastAsia"/>
          <w:lang w:eastAsia="zh-CN"/>
        </w:rPr>
        <w:t>, which means that</w:t>
      </w:r>
      <w:r>
        <w:t xml:space="preserve"> the laboratory accuracy is inflated by capture bias and leaf leakage and collapses to 16% in the field, where the binding constraint is crop identification. Supervised adaptation to field data is the truthful path forward, recovering accuracy to 56%. </w:t>
      </w:r>
      <w:r>
        <w:rPr>
          <w:rFonts w:hint="eastAsia"/>
          <w:lang w:eastAsia="zh-CN"/>
        </w:rPr>
        <w:t xml:space="preserve">In this </w:t>
      </w:r>
      <w:r>
        <w:rPr>
          <w:lang w:eastAsia="zh-CN"/>
        </w:rPr>
        <w:t>report</w:t>
      </w:r>
      <w:r>
        <w:rPr>
          <w:rFonts w:hint="eastAsia"/>
          <w:lang w:eastAsia="zh-CN"/>
        </w:rPr>
        <w:t>, we show that</w:t>
      </w:r>
      <w:r>
        <w:t xml:space="preserve"> the field number honestly beside the laboratory one</w:t>
      </w:r>
      <w:r>
        <w:rPr>
          <w:rFonts w:hint="eastAsia"/>
          <w:lang w:eastAsia="zh-CN"/>
        </w:rPr>
        <w:t>,</w:t>
      </w:r>
      <w:r>
        <w:t xml:space="preserve"> rather than the 99% alone</w:t>
      </w:r>
      <w:r>
        <w:rPr>
          <w:rFonts w:hint="eastAsia"/>
          <w:lang w:eastAsia="zh-CN"/>
        </w:rPr>
        <w:t>, which</w:t>
      </w:r>
      <w:r>
        <w:t xml:space="preserve"> is the result most useful to the farmer</w:t>
      </w:r>
      <w:r>
        <w:rPr>
          <w:rFonts w:hint="eastAsia"/>
          <w:lang w:eastAsia="zh-CN"/>
        </w:rPr>
        <w:t xml:space="preserve">. It is similar with what </w:t>
      </w:r>
      <w:r>
        <w:t>the brief describes.</w:t>
      </w:r>
    </w:p>
    <w:p w14:paraId="39D7A7EF">
      <w:pPr>
        <w:pStyle w:val="7"/>
      </w:pPr>
    </w:p>
    <w:p w14:paraId="6CA1BFF2">
      <w:pPr>
        <w:pStyle w:val="6"/>
      </w:pPr>
      <w:r>
        <w:t>References</w:t>
      </w:r>
    </w:p>
    <w:p w14:paraId="144D91D7"/>
    <w:p w14:paraId="0C61611E">
      <w:pPr>
        <w:pStyle w:val="23"/>
      </w:pPr>
      <w:r>
        <w:t>Ferentinos, K. P. (2018). Deep learning models for plant disease detection and diagnosis. Computers and Electronics in Agriculture, 145, 311–318.</w:t>
      </w:r>
    </w:p>
    <w:p w14:paraId="5CB724E4">
      <w:pPr>
        <w:pStyle w:val="23"/>
      </w:pPr>
      <w:r>
        <w:t>Mohanty, S. P., Hughes, D. P., &amp; Salathé, M. (2016). Using deep learning for image-based plant disease detection. Frontiers in Plant Science, 7, 1419.</w:t>
      </w:r>
    </w:p>
    <w:p w14:paraId="02E0D508">
      <w:pPr>
        <w:pStyle w:val="23"/>
      </w:pPr>
      <w:r>
        <w:t>Singh, D., Jain, N., Jain, P., Kayal, P., Kumawat, S., &amp; Batra, N. (2020). PlantDoc: A dataset for visual plant disease detection. In Proc. 7th ACM IKDD CoDS and 25th COMAD, 249–253.</w:t>
      </w:r>
    </w:p>
    <w:p w14:paraId="67664B9A">
      <w:pPr>
        <w:pStyle w:val="23"/>
        <w:numPr>
          <w:ilvl w:val="0"/>
          <w:numId w:val="0"/>
        </w:numPr>
        <w:ind w:left="354"/>
      </w:pPr>
    </w:p>
    <w:p w14:paraId="481D7272">
      <w:pPr>
        <w:pStyle w:val="23"/>
        <w:numPr>
          <w:ilvl w:val="0"/>
          <w:numId w:val="0"/>
        </w:numPr>
        <w:ind w:left="360" w:hanging="360"/>
      </w:pPr>
    </w:p>
    <w:p w14:paraId="2CBC4D6A">
      <w:pPr>
        <w:pStyle w:val="23"/>
        <w:numPr>
          <w:ilvl w:val="0"/>
          <w:numId w:val="0"/>
        </w:numPr>
        <w:spacing w:line="240" w:lineRule="auto"/>
        <w:ind w:left="360" w:hanging="360"/>
        <w:jc w:val="center"/>
        <w:rPr>
          <w:rFonts w:eastAsia="宋体"/>
          <w:b/>
          <w:color w:val="FF0000"/>
          <w:spacing w:val="-1"/>
          <w:sz w:val="20"/>
          <w:szCs w:val="20"/>
          <w:lang w:val="zh-CN" w:eastAsia="zh-CN"/>
        </w:rPr>
        <w:sectPr>
          <w:type w:val="continuous"/>
          <w:pgSz w:w="11906" w:h="16838"/>
          <w:pgMar w:top="1080" w:right="907" w:bottom="1440" w:left="907" w:header="720" w:footer="720" w:gutter="0"/>
          <w:cols w:space="360" w:num="2"/>
          <w:docGrid w:linePitch="360" w:charSpace="0"/>
        </w:sectPr>
      </w:pPr>
    </w:p>
    <w:p w14:paraId="4EF2B8B8"/>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roman"/>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ＭＳ 明朝">
    <w:altName w:val="AMGD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75918">
    <w:pPr>
      <w:pStyle w:val="8"/>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20"/>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7"/>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8"/>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3"/>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9"/>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9"/>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13E69"/>
    <w:rsid w:val="00045620"/>
    <w:rsid w:val="0004781E"/>
    <w:rsid w:val="0008758A"/>
    <w:rsid w:val="000A60FB"/>
    <w:rsid w:val="000B651F"/>
    <w:rsid w:val="000C1E68"/>
    <w:rsid w:val="000E71FD"/>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651BB"/>
    <w:rsid w:val="00473AC9"/>
    <w:rsid w:val="004D72B5"/>
    <w:rsid w:val="00551B7F"/>
    <w:rsid w:val="0056610F"/>
    <w:rsid w:val="00575BCA"/>
    <w:rsid w:val="00594A7E"/>
    <w:rsid w:val="005B0344"/>
    <w:rsid w:val="005B520E"/>
    <w:rsid w:val="005E2800"/>
    <w:rsid w:val="00605825"/>
    <w:rsid w:val="00645D22"/>
    <w:rsid w:val="00651A08"/>
    <w:rsid w:val="00654204"/>
    <w:rsid w:val="00670434"/>
    <w:rsid w:val="0069538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320F"/>
    <w:rsid w:val="008147B5"/>
    <w:rsid w:val="00836367"/>
    <w:rsid w:val="00873603"/>
    <w:rsid w:val="008A2C7D"/>
    <w:rsid w:val="008B6524"/>
    <w:rsid w:val="008C4B23"/>
    <w:rsid w:val="008F6E2C"/>
    <w:rsid w:val="009303D9"/>
    <w:rsid w:val="00933C64"/>
    <w:rsid w:val="00972203"/>
    <w:rsid w:val="009F1D79"/>
    <w:rsid w:val="00A059B3"/>
    <w:rsid w:val="00A31B8F"/>
    <w:rsid w:val="00AE3409"/>
    <w:rsid w:val="00B11A60"/>
    <w:rsid w:val="00B22613"/>
    <w:rsid w:val="00B44A76"/>
    <w:rsid w:val="00B522E5"/>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64F72"/>
    <w:rsid w:val="00E725FA"/>
    <w:rsid w:val="00E7596C"/>
    <w:rsid w:val="00E878F2"/>
    <w:rsid w:val="00ED0149"/>
    <w:rsid w:val="00EF7DE3"/>
    <w:rsid w:val="00F03103"/>
    <w:rsid w:val="00F271DE"/>
    <w:rsid w:val="00F627DA"/>
    <w:rsid w:val="00F7288F"/>
    <w:rsid w:val="00F847A6"/>
    <w:rsid w:val="00F9441B"/>
    <w:rsid w:val="00FA3FB4"/>
    <w:rsid w:val="00FA4C32"/>
    <w:rsid w:val="00FE7114"/>
    <w:rsid w:val="1C741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6"/>
    <w:qFormat/>
    <w:uiPriority w:val="0"/>
    <w:pPr>
      <w:tabs>
        <w:tab w:val="left" w:pos="288"/>
      </w:tabs>
      <w:spacing w:after="120" w:line="228" w:lineRule="auto"/>
      <w:ind w:firstLine="288"/>
      <w:jc w:val="both"/>
    </w:pPr>
    <w:rPr>
      <w:spacing w:val="-1"/>
      <w:lang w:val="zh-CN" w:eastAsia="zh-CN"/>
    </w:rPr>
  </w:style>
  <w:style w:type="paragraph" w:styleId="8">
    <w:name w:val="footer"/>
    <w:basedOn w:val="1"/>
    <w:link w:val="32"/>
    <w:uiPriority w:val="0"/>
    <w:pPr>
      <w:tabs>
        <w:tab w:val="center" w:pos="4680"/>
        <w:tab w:val="right" w:pos="9360"/>
      </w:tabs>
    </w:pPr>
  </w:style>
  <w:style w:type="paragraph" w:styleId="9">
    <w:name w:val="header"/>
    <w:basedOn w:val="1"/>
    <w:link w:val="31"/>
    <w:qFormat/>
    <w:uiPriority w:val="0"/>
    <w:pPr>
      <w:tabs>
        <w:tab w:val="center" w:pos="4680"/>
        <w:tab w:val="right" w:pos="9360"/>
      </w:tabs>
    </w:pPr>
  </w:style>
  <w:style w:type="table" w:styleId="11">
    <w:name w:val="Light Grid Accent 1"/>
    <w:basedOn w:val="10"/>
    <w:uiPriority w:val="62"/>
    <w:rPr>
      <w:rFonts w:asciiTheme="minorHAnsi" w:hAnsiTheme="minorHAnsi" w:eastAsiaTheme="minorEastAsia" w:cstheme="minorBidi"/>
      <w:sz w:val="22"/>
      <w:szCs w:val="22"/>
    </w:rPr>
    <w:tblPr>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18" w:space="0"/>
          <w:right w:val="single" w:color="5B9BD5"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6E6F4" w:themeFill="accent1" w:themeFillTint="3F"/>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sz="8" w:space="0"/>
        </w:tcBorders>
        <w:shd w:val="clear" w:color="auto" w:fill="D6E6F4" w:themeFill="accent1" w:themeFillTint="3F"/>
      </w:tcPr>
    </w:tblStylePr>
    <w:tblStylePr w:type="band2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sz="8" w:space="0"/>
        </w:tcBorders>
      </w:tcPr>
    </w:tblStylePr>
  </w:style>
  <w:style w:type="paragraph" w:customStyle="1" w:styleId="13">
    <w:name w:val="Abstract"/>
    <w:qFormat/>
    <w:uiPriority w:val="0"/>
    <w:pPr>
      <w:spacing w:after="200"/>
      <w:ind w:firstLine="272"/>
      <w:jc w:val="both"/>
    </w:pPr>
    <w:rPr>
      <w:rFonts w:ascii="Times New Roman" w:hAnsi="Times New Roman" w:eastAsia="宋体" w:cs="Times New Roman"/>
      <w:b/>
      <w:bCs/>
      <w:sz w:val="18"/>
      <w:szCs w:val="18"/>
      <w:lang w:val="en-US" w:eastAsia="en-US" w:bidi="ar-SA"/>
    </w:rPr>
  </w:style>
  <w:style w:type="paragraph" w:customStyle="1" w:styleId="14">
    <w:name w:val="Affiliation"/>
    <w:qFormat/>
    <w:uiPriority w:val="0"/>
    <w:pPr>
      <w:jc w:val="center"/>
    </w:pPr>
    <w:rPr>
      <w:rFonts w:ascii="Times New Roman" w:hAnsi="Times New Roman" w:eastAsia="宋体" w:cs="Times New Roman"/>
      <w:lang w:val="en-US" w:eastAsia="en-US" w:bidi="ar-SA"/>
    </w:rPr>
  </w:style>
  <w:style w:type="paragraph" w:customStyle="1" w:styleId="15">
    <w:name w:val="Author"/>
    <w:qFormat/>
    <w:uiPriority w:val="0"/>
    <w:pPr>
      <w:spacing w:before="360" w:after="40"/>
      <w:jc w:val="center"/>
    </w:pPr>
    <w:rPr>
      <w:rFonts w:ascii="Times New Roman" w:hAnsi="Times New Roman" w:eastAsia="宋体" w:cs="Times New Roman"/>
      <w:sz w:val="22"/>
      <w:szCs w:val="22"/>
      <w:lang w:val="en-US" w:eastAsia="en-US" w:bidi="ar-SA"/>
    </w:rPr>
  </w:style>
  <w:style w:type="character" w:customStyle="1" w:styleId="16">
    <w:name w:val="正文文本 字符"/>
    <w:link w:val="7"/>
    <w:qFormat/>
    <w:uiPriority w:val="0"/>
    <w:rPr>
      <w:spacing w:val="-1"/>
      <w:lang w:val="zh-CN" w:eastAsia="zh-CN"/>
    </w:rPr>
  </w:style>
  <w:style w:type="paragraph" w:customStyle="1" w:styleId="17">
    <w:name w:val="bullet list"/>
    <w:basedOn w:val="7"/>
    <w:qFormat/>
    <w:uiPriority w:val="0"/>
    <w:pPr>
      <w:numPr>
        <w:ilvl w:val="0"/>
        <w:numId w:val="2"/>
      </w:numPr>
      <w:tabs>
        <w:tab w:val="clear" w:pos="648"/>
      </w:tabs>
      <w:ind w:left="576" w:hanging="288"/>
    </w:pPr>
  </w:style>
  <w:style w:type="paragraph" w:customStyle="1" w:styleId="18">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19">
    <w:name w:val="figure caption"/>
    <w:qFormat/>
    <w:uiPriority w:val="0"/>
    <w:pPr>
      <w:numPr>
        <w:ilvl w:val="0"/>
        <w:numId w:val="3"/>
      </w:numPr>
      <w:tabs>
        <w:tab w:val="left" w:pos="533"/>
      </w:tabs>
      <w:spacing w:before="80" w:after="200"/>
      <w:ind w:left="0" w:firstLine="0"/>
      <w:jc w:val="both"/>
    </w:pPr>
    <w:rPr>
      <w:rFonts w:ascii="Times New Roman" w:hAnsi="Times New Roman" w:eastAsia="宋体" w:cs="Times New Roman"/>
      <w:sz w:val="16"/>
      <w:szCs w:val="16"/>
      <w:lang w:val="en-US" w:eastAsia="en-US" w:bidi="ar-SA"/>
    </w:rPr>
  </w:style>
  <w:style w:type="paragraph" w:customStyle="1" w:styleId="20">
    <w:name w:val="footnote"/>
    <w:qFormat/>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1">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2">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3">
    <w:name w:val="references"/>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4">
    <w:name w:val="sponsors"/>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25">
    <w:name w:val="table col head"/>
    <w:basedOn w:val="1"/>
    <w:uiPriority w:val="0"/>
    <w:rPr>
      <w:b/>
      <w:bCs/>
      <w:sz w:val="16"/>
      <w:szCs w:val="16"/>
    </w:rPr>
  </w:style>
  <w:style w:type="paragraph" w:customStyle="1" w:styleId="26">
    <w:name w:val="table col subhead"/>
    <w:basedOn w:val="25"/>
    <w:uiPriority w:val="0"/>
    <w:rPr>
      <w:i/>
      <w:iCs/>
      <w:sz w:val="15"/>
      <w:szCs w:val="15"/>
    </w:rPr>
  </w:style>
  <w:style w:type="paragraph" w:customStyle="1" w:styleId="27">
    <w:name w:val="table copy"/>
    <w:qFormat/>
    <w:uiPriority w:val="0"/>
    <w:pPr>
      <w:jc w:val="both"/>
    </w:pPr>
    <w:rPr>
      <w:rFonts w:ascii="Times New Roman" w:hAnsi="Times New Roman" w:eastAsia="宋体" w:cs="Times New Roman"/>
      <w:sz w:val="16"/>
      <w:szCs w:val="16"/>
      <w:lang w:val="en-US" w:eastAsia="en-US" w:bidi="ar-SA"/>
    </w:rPr>
  </w:style>
  <w:style w:type="paragraph" w:customStyle="1" w:styleId="28">
    <w:name w:val="table footnote"/>
    <w:qFormat/>
    <w:uiPriority w:val="0"/>
    <w:pPr>
      <w:numPr>
        <w:ilvl w:val="0"/>
        <w:numId w:val="6"/>
      </w:numPr>
      <w:spacing w:before="60" w:after="30"/>
      <w:ind w:left="58" w:hanging="29"/>
      <w:jc w:val="right"/>
    </w:pPr>
    <w:rPr>
      <w:rFonts w:ascii="Times New Roman" w:hAnsi="Times New Roman" w:eastAsia="宋体" w:cs="Times New Roman"/>
      <w:sz w:val="12"/>
      <w:szCs w:val="12"/>
      <w:lang w:val="en-US" w:eastAsia="en-US" w:bidi="ar-SA"/>
    </w:rPr>
  </w:style>
  <w:style w:type="paragraph" w:customStyle="1" w:styleId="29">
    <w:name w:val="table head"/>
    <w:qFormat/>
    <w:uiPriority w:val="0"/>
    <w:pPr>
      <w:numPr>
        <w:ilvl w:val="0"/>
        <w:numId w:val="7"/>
      </w:numPr>
      <w:spacing w:before="240" w:after="120" w:line="216" w:lineRule="auto"/>
      <w:jc w:val="center"/>
    </w:pPr>
    <w:rPr>
      <w:rFonts w:ascii="Times New Roman" w:hAnsi="Times New Roman" w:eastAsia="宋体" w:cs="Times New Roman"/>
      <w:smallCaps/>
      <w:sz w:val="16"/>
      <w:szCs w:val="16"/>
      <w:lang w:val="en-US" w:eastAsia="en-US" w:bidi="ar-SA"/>
    </w:rPr>
  </w:style>
  <w:style w:type="paragraph" w:customStyle="1" w:styleId="30">
    <w:name w:val="Keywords"/>
    <w:basedOn w:val="13"/>
    <w:qFormat/>
    <w:uiPriority w:val="0"/>
    <w:pPr>
      <w:spacing w:after="120"/>
      <w:ind w:firstLine="274"/>
    </w:pPr>
    <w:rPr>
      <w:i/>
    </w:rPr>
  </w:style>
  <w:style w:type="character" w:customStyle="1" w:styleId="31">
    <w:name w:val="页眉 字符"/>
    <w:basedOn w:val="12"/>
    <w:link w:val="9"/>
    <w:qFormat/>
    <w:uiPriority w:val="0"/>
  </w:style>
  <w:style w:type="character" w:customStyle="1" w:styleId="32">
    <w:name w:val="页脚 字符"/>
    <w:basedOn w:val="12"/>
    <w:link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4</Pages>
  <Words>2180</Words>
  <Characters>11998</Characters>
  <Lines>100</Lines>
  <Paragraphs>28</Paragraphs>
  <TotalTime>33</TotalTime>
  <ScaleCrop>false</ScaleCrop>
  <LinksUpToDate>false</LinksUpToDate>
  <CharactersWithSpaces>14083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cp:lastModifiedBy>Just easy</cp:lastModifiedBy>
  <dcterms:modified xsi:type="dcterms:W3CDTF">2026-07-28T12:37:00Z</dcterms:modified>
  <dc:title>Paper Title (use style: paper title)</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eyJoZGlkIjoiZDk1OGMxM2I2MDZjMjlhZjc1ZjA0NTVlYTkwZmE5YzAiLCJ1c2VySWQiOiIxMDM3MDc5NTUzIn0=</vt:lpwstr>
  </property>
  <property fmtid="{D5CDD505-2E9C-101B-9397-08002B2CF9AE}" pid="3" name="KSOProductBuildVer">
    <vt:lpwstr>2052-12.1.0.26895</vt:lpwstr>
  </property>
  <property fmtid="{D5CDD505-2E9C-101B-9397-08002B2CF9AE}" pid="4" name="ICV">
    <vt:lpwstr>B71C39D5CBA6468D848D5F625312C425_12</vt:lpwstr>
  </property>
</Properties>
</file>