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Lionel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Charges Fournisseurs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Nandrianina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Nandrianina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PFOI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30/06/14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04-12-2014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2014-12-04T13:21:36+01:00</dcterms:created>
  <dcterms:modified xsi:type="dcterms:W3CDTF">2014-12-04T13:21:36+01:00</dcterms:modified>
  <dc:title/>
  <dc:description/>
  <dc:subject/>
  <cp:keywords/>
  <cp:category/>
</cp:coreProperties>
</file>