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Environnement de contrôle 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Trésorerie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Synthèse risque système d'information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Système d'information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Environnement de Contrôle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Synthèses risques recettes</w:t>
            </w:r>
          </w:p>
        </w:tc>
      </w:tr>
      <w:tr>
        <w:tc>
          <w:tcPr>
            <w:tcW w:w="3000" w:type="dxa"/>
          </w:tcPr>
          <w:p>
            <w:r>
              <w:t xml:space="preserve">Njaratiana RAMASITERA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dépenses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Charges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RI</w:t>
            </w:r>
          </w:p>
        </w:tc>
        <w:tc>
          <w:tcPr>
            <w:tcW w:w="6000" w:type="dxa"/>
          </w:tcPr>
          <w:p>
            <w:r>
              <w:t xml:space="preserve">Initiation à la mission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RF</w:t>
            </w:r>
          </w:p>
        </w:tc>
        <w:tc>
          <w:tcPr>
            <w:tcW w:w="6000" w:type="dxa"/>
          </w:tcPr>
          <w:p>
            <w:r>
              <w:t xml:space="preserve">Finalisation mission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Débiteurs et créditeurs divers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Fonds propres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Impôts et taxes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Trésorerie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Paie et Personnel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Emprunts et dettes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Stocks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financières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Immobilisations incorporelles et corporelles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Produits Clients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 Synthèses risques Ventes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Ventes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Achats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Immobilisations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Immobilisations</w:t>
            </w:r>
          </w:p>
        </w:tc>
      </w:tr>
      <w:tr>
        <w:tc>
          <w:tcPr>
            <w:tcW w:w="3000" w:type="dxa"/>
          </w:tcPr>
          <w:p>
            <w:r>
              <w:t xml:space="preserve">Ando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Achats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Paie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Cotrôles Paie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Stocks</w:t>
            </w:r>
          </w:p>
        </w:tc>
      </w:tr>
      <w:tr>
        <w:tc>
          <w:tcPr>
            <w:tcW w:w="3000" w:type="dxa"/>
          </w:tcPr>
          <w:p>
            <w:r>
              <w:t xml:space="preserve">Nandrianina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Contrôles Stocks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PECHE ET FROID OCEAN INDIEN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30/06/2014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14-04-2015</w:t>
          </w:r>
        </w:p>
      </w:tc>
    </w:tr>
    <w:tr>
      <w:tc>
        <w:tcPr>
          <w:tcW w:w="4500" w:type="dxa"/>
        </w:tcPr>
        <w:p>
          <w:r>
            <w:t xml:space="preserve">Superviseur: Elie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2015-04-14T08:36:03+02:00</dcterms:created>
  <dcterms:modified xsi:type="dcterms:W3CDTF">2015-04-14T08:36:03+02:00</dcterms:modified>
  <dc:title/>
  <dc:description/>
  <dc:subject/>
  <cp:keywords/>
  <cp:category/>
</cp:coreProperties>
</file>