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Header"/>
        <w:rPr>
          <w:rFonts w:ascii="Times New Roman" w:hAnsi="Times New Roman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trHeight w:val="1229"/>
          <w:jc w:val="center"/>
        </w:trPr>
        <w:tc>
          <w:tcPr>
            <w:tcW w:w="10270" w:type="dxa"/>
          </w:tcPr>
          <w:p w:rsidR="00DE35B6" w:rsidRPr="00FB2AEE" w:rsidRDefault="00C2273E" w:rsidP="00B76738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8pt;margin-top:.2pt;width:159pt;height:60.75pt;z-index:251660288">
                  <v:textbox>
                    <w:txbxContent>
                      <w:p w:rsidR="00B76738" w:rsidRPr="00DE35B6" w:rsidRDefault="00B76738" w:rsidP="00DE35B6">
                        <w:r w:rsidRPr="00DE35B6">
                          <w:t>NIVEAU DE RISQUE</w:t>
                        </w:r>
                      </w:p>
                      <w:p w:rsidR="00B76738" w:rsidRPr="00DE35B6" w:rsidRDefault="00B76738" w:rsidP="00DE35B6">
                        <w:r w:rsidRPr="00DE35B6">
                          <w:t>Faible / Moyen / Elevé</w:t>
                        </w:r>
                      </w:p>
                      <w:p w:rsidR="00B76738" w:rsidRDefault="00B76738" w:rsidP="00DE35B6"/>
                    </w:txbxContent>
                  </v:textbox>
                </v:shape>
              </w:pict>
            </w:r>
            <w:r w:rsidR="00DE35B6" w:rsidRPr="00FB2AEE">
              <w:rPr>
                <w:rFonts w:ascii="Times New Roman" w:hAnsi="Times New Roman"/>
                <w:b/>
              </w:rPr>
              <w:t>CONCLUSIONS :</w:t>
            </w: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  <w:p w:rsidR="00DE35B6" w:rsidRPr="00FB2AEE" w:rsidRDefault="00DE35B6" w:rsidP="00B76738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4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19"/>
        <w:gridCol w:w="673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19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67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tcBorders>
              <w:top w:val="nil"/>
            </w:tcBorders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enregistrées sur des pièces de caisse standard et </w:t>
            </w:r>
            <w:proofErr w:type="spellStart"/>
            <w:r w:rsidRPr="00FB2AEE">
              <w:rPr>
                <w:rFonts w:ascii="Times New Roman" w:hAnsi="Times New Roman"/>
              </w:rPr>
              <w:t>prénumérotées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019" w:type="dxa"/>
            <w:tcBorders>
              <w:top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673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97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"/>
        <w:gridCol w:w="3906"/>
        <w:gridCol w:w="697"/>
        <w:gridCol w:w="872"/>
        <w:gridCol w:w="872"/>
        <w:gridCol w:w="1927"/>
        <w:gridCol w:w="860"/>
      </w:tblGrid>
      <w:tr w:rsidR="00DE35B6" w:rsidTr="00DE35B6">
        <w:trPr>
          <w:cantSplit/>
          <w:trHeight w:val="553"/>
          <w:jc w:val="center"/>
        </w:trPr>
        <w:tc>
          <w:tcPr>
            <w:tcW w:w="448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927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D97BF8" w:rsidTr="00DE35B6">
        <w:trPr>
          <w:trHeight w:val="577"/>
          <w:jc w:val="center"/>
        </w:trPr>
        <w:tc>
          <w:tcPr>
            <w:tcW w:w="581" w:type="dxa"/>
            <w:tcBorders>
              <w:top w:val="nil"/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3906" w:type="dxa"/>
            <w:tcBorders>
              <w:top w:val="nil"/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</w:t>
            </w:r>
            <w:proofErr w:type="gramStart"/>
            <w:r w:rsidRPr="00FB2AEE">
              <w:rPr>
                <w:rFonts w:ascii="Times New Roman" w:hAnsi="Times New Roman"/>
              </w:rPr>
              <w:t>... ,</w:t>
            </w:r>
            <w:proofErr w:type="gramEnd"/>
            <w:r w:rsidRPr="00FB2AEE">
              <w:rPr>
                <w:rFonts w:ascii="Times New Roman" w:hAnsi="Times New Roman"/>
              </w:rPr>
              <w:t xml:space="preserve">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d'établir des reçus </w:t>
            </w:r>
            <w:proofErr w:type="spellStart"/>
            <w:r w:rsidRPr="00FB2AEE">
              <w:rPr>
                <w:rFonts w:ascii="Times New Roman" w:hAnsi="Times New Roman"/>
              </w:rPr>
              <w:t>prénumérotés</w:t>
            </w:r>
            <w:proofErr w:type="spellEnd"/>
            <w:r w:rsidRPr="00FB2AEE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577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97BF8" w:rsidTr="00DE35B6">
        <w:trPr>
          <w:trHeight w:val="565"/>
          <w:jc w:val="center"/>
        </w:trPr>
        <w:tc>
          <w:tcPr>
            <w:tcW w:w="581" w:type="dxa"/>
            <w:tcBorders>
              <w:righ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3906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60" w:type="dxa"/>
            <w:shd w:val="clear" w:color="auto" w:fill="auto"/>
          </w:tcPr>
          <w:p w:rsidR="00D97BF8" w:rsidRPr="00FB2AEE" w:rsidRDefault="00D97BF8" w:rsidP="00D97BF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0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16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260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trHeight w:val="64"/>
          <w:jc w:val="center"/>
        </w:trPr>
        <w:tc>
          <w:tcPr>
            <w:tcW w:w="581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6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927" w:type="dxa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60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   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E35B6">
        <w:t xml:space="preserve">/46   .                              </w:t>
      </w:r>
      <w:r w:rsidRPr="00DE35B6">
        <w:br w:type="page"/>
      </w:r>
      <w:r w:rsidRPr="00DE35B6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5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7"/>
        <w:gridCol w:w="885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77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zxz</w:t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 xml:space="preserve">Les effets </w:t>
            </w:r>
            <w:proofErr w:type="gramStart"/>
            <w:r w:rsidRPr="00FB2AEE">
              <w:rPr>
                <w:rFonts w:ascii="Times New Roman" w:hAnsi="Times New Roman"/>
              </w:rPr>
              <w:t>retournées</w:t>
            </w:r>
            <w:proofErr w:type="gramEnd"/>
            <w:r w:rsidRPr="00FB2AEE">
              <w:rPr>
                <w:rFonts w:ascii="Times New Roman" w:hAnsi="Times New Roman"/>
              </w:rPr>
              <w:t xml:space="preserve">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immédiatement </w:t>
            </w:r>
            <w:proofErr w:type="spellStart"/>
            <w:r w:rsidRPr="00FB2AEE">
              <w:rPr>
                <w:rFonts w:ascii="Times New Roman" w:hAnsi="Times New Roman"/>
              </w:rPr>
              <w:t>redébités</w:t>
            </w:r>
            <w:proofErr w:type="spellEnd"/>
            <w:r w:rsidRPr="00FB2AEE">
              <w:rPr>
                <w:rFonts w:ascii="Times New Roman" w:hAnsi="Times New Roman"/>
              </w:rPr>
              <w:t xml:space="preserve">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92162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85" w:type="dxa"/>
            <w:shd w:val="clear" w:color="auto" w:fill="auto"/>
          </w:tcPr>
          <w:p w:rsidR="00D92162" w:rsidRPr="00FB2AEE" w:rsidRDefault="00D92162" w:rsidP="00D9216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77" w:type="dxa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 xml:space="preserve">Faible / Moyen / Elevé </w:t>
      </w:r>
      <w:r w:rsidRPr="00DE35B6"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E35B6">
        <w:t>/15   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</w:t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7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178"/>
        <w:gridCol w:w="798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178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vv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vvvv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dfd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ind w:right="231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fdfdf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fdfd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fdfdf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 xml:space="preserve">autorisés par une personne </w:t>
            </w:r>
            <w:proofErr w:type="spellStart"/>
            <w:r w:rsidRPr="00FB2AEE">
              <w:rPr>
                <w:rFonts w:ascii="Times New Roman" w:hAnsi="Times New Roman"/>
              </w:rPr>
              <w:t>indé-pendante</w:t>
            </w:r>
            <w:proofErr w:type="spellEnd"/>
            <w:r w:rsidRPr="00FB2AEE">
              <w:rPr>
                <w:rFonts w:ascii="Times New Roman" w:hAnsi="Times New Roman"/>
              </w:rPr>
              <w:t> 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fdfd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dfdfd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671E1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80" w:type="dxa"/>
            <w:tcBorders>
              <w:left w:val="nil"/>
            </w:tcBorders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671E1" w:rsidRPr="00FB2AEE" w:rsidRDefault="00B212F7" w:rsidP="003671E1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fdfdf</w:t>
            </w:r>
          </w:p>
        </w:tc>
        <w:tc>
          <w:tcPr>
            <w:tcW w:w="798" w:type="dxa"/>
            <w:shd w:val="clear" w:color="auto" w:fill="auto"/>
          </w:tcPr>
          <w:p w:rsidR="003671E1" w:rsidRPr="00FB2AEE" w:rsidRDefault="003671E1" w:rsidP="003671E1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F19CE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  <w:shd w:val="clear" w:color="auto" w:fill="auto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  <w:tcBorders>
              <w:top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BF19CE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7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798" w:type="dxa"/>
          </w:tcPr>
          <w:p w:rsidR="00BF19CE" w:rsidRPr="00FB2AEE" w:rsidRDefault="00BF19CE" w:rsidP="00BF19CE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>Faible / Moyen / Elevé</w:t>
      </w:r>
      <w:r w:rsidRPr="00DE35B6">
        <w:tab/>
      </w: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Pr="00DE35B6">
        <w:t>/14   .</w:t>
      </w: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Header"/>
        <w:rPr>
          <w:rFonts w:ascii="Times New Roman" w:hAnsi="Times New Roman"/>
          <w:sz w:val="12"/>
        </w:rPr>
      </w:pPr>
    </w:p>
    <w:tbl>
      <w:tblPr>
        <w:tblW w:w="93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  <w:gridCol w:w="815"/>
      </w:tblGrid>
      <w:tr w:rsidR="00DE35B6" w:rsidTr="00DE35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DE35B6" w:rsidRPr="00FB2AEE" w:rsidRDefault="00DE35B6" w:rsidP="00B76738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FB2AEE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000000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5" w:type="dxa"/>
            <w:tcBorders>
              <w:top w:val="nil"/>
            </w:tcBorders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76220D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5" w:type="dxa"/>
            <w:shd w:val="clear" w:color="auto" w:fill="auto"/>
          </w:tcPr>
          <w:p w:rsidR="0076220D" w:rsidRPr="00FB2AEE" w:rsidRDefault="0076220D" w:rsidP="0076220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DE35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  <w:tcBorders>
              <w:top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E35B6" w:rsidTr="00B7673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735" w:type="dxa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DE35B6" w:rsidRPr="00FB2AEE" w:rsidRDefault="00DE35B6" w:rsidP="00B76738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Header"/>
      </w:pPr>
    </w:p>
    <w:p w:rsidR="00DE35B6" w:rsidRDefault="00DE35B6" w:rsidP="00DE35B6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DE35B6" w:rsidRPr="00DE35B6" w:rsidRDefault="00DE35B6" w:rsidP="00DE35B6">
      <w:r w:rsidRPr="00DE35B6">
        <w:t>Faible / Moyen / Elevé</w:t>
      </w:r>
      <w:r w:rsidRPr="00DE35B6">
        <w:tab/>
      </w:r>
      <w:r>
        <w:t xml:space="preserve">                                                                 </w:t>
      </w:r>
      <w:r>
        <w:tab/>
      </w:r>
      <w:r>
        <w:tab/>
        <w:t xml:space="preserve">                               </w:t>
      </w:r>
      <w:r w:rsidRPr="00DE35B6">
        <w:t>/10</w:t>
      </w: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                        </w:t>
      </w: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Header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/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>SYNTHESE</w:t>
            </w:r>
          </w:p>
        </w:tc>
      </w:tr>
      <w:tr w:rsidR="00DE35B6" w:rsidRPr="009E3CB9" w:rsidTr="0076220D">
        <w:trPr>
          <w:trHeight w:val="682"/>
        </w:trPr>
        <w:tc>
          <w:tcPr>
            <w:tcW w:w="10116" w:type="dxa"/>
            <w:gridSpan w:val="4"/>
            <w:shd w:val="clear" w:color="auto" w:fill="92D050"/>
          </w:tcPr>
          <w:p w:rsidR="00DE35B6" w:rsidRPr="00DE35B6" w:rsidRDefault="00DE35B6" w:rsidP="00DE35B6"/>
          <w:p w:rsidR="00DE35B6" w:rsidRPr="00DE35B6" w:rsidRDefault="0076220D" w:rsidP="00DE35B6">
            <w:r>
              <w:t/>
            </w:r>
          </w:p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  <w:p w:rsidR="00DE35B6" w:rsidRPr="00DE35B6" w:rsidRDefault="00DE35B6" w:rsidP="00DE35B6"/>
        </w:tc>
      </w:tr>
    </w:tbl>
    <w:p w:rsidR="00DE35B6" w:rsidRPr="009E3CB9" w:rsidRDefault="00DE35B6" w:rsidP="00DE35B6">
      <w:pPr>
        <w:pStyle w:val="Header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default" r:id="rId7"/>
      <w:footerReference w:type="default" r:id="rId8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73E" w:rsidRDefault="00C2273E" w:rsidP="00247F28">
      <w:pPr>
        <w:pStyle w:val="Header"/>
      </w:pPr>
      <w:r>
        <w:separator/>
      </w:r>
    </w:p>
  </w:endnote>
  <w:endnote w:type="continuationSeparator" w:id="0">
    <w:p w:rsidR="00C2273E" w:rsidRDefault="00C2273E" w:rsidP="00247F2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738" w:rsidRDefault="00C2273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B76738" w:rsidP="00B76738">
    <w:pPr>
      <w:pStyle w:val="Footer"/>
      <w:tabs>
        <w:tab w:val="clear" w:pos="4819"/>
        <w:tab w:val="clear" w:pos="9071"/>
      </w:tabs>
      <w:ind w:left="3545" w:right="625"/>
      <w:jc w:val="center"/>
    </w:pPr>
    <w:r>
      <w:rPr>
        <w:i/>
      </w:rPr>
      <w:t>E</w:t>
    </w:r>
    <w:r w:rsidRPr="002C5E75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0EE7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73E" w:rsidRDefault="00C2273E" w:rsidP="00247F28">
      <w:pPr>
        <w:pStyle w:val="Header"/>
      </w:pPr>
      <w:r>
        <w:separator/>
      </w:r>
    </w:p>
  </w:footnote>
  <w:footnote w:type="continuationSeparator" w:id="0">
    <w:p w:rsidR="00C2273E" w:rsidRDefault="00C2273E" w:rsidP="00247F2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87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B76738" w:rsidP="00B76738">
          <w:pPr>
            <w:rPr>
              <w:rFonts w:ascii="Times New Roman" w:hAnsi="Times New Roman"/>
              <w:b/>
            </w:rPr>
          </w:pPr>
          <w:r w:rsidRPr="00CF2125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CF2125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7010D0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Heading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010D0">
            <w:rPr>
              <w:b/>
              <w:color w:val="FFC000"/>
            </w:rPr>
            <w:t>auditeur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B76738" w:rsidRPr="00F349F2" w:rsidRDefault="00C2273E" w:rsidP="00B7673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85pt;height:39.4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6738" w:rsidRDefault="00B76738" w:rsidP="00B7673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00EE7">
            <w:rPr>
              <w:noProof/>
            </w:rPr>
            <w:t>9</w:t>
          </w:r>
          <w:r>
            <w:fldChar w:fldCharType="end"/>
          </w:r>
          <w:r>
            <w:t>/</w:t>
          </w:r>
          <w:fldSimple w:instr=" NUMPAGES  \* MERGEFORMAT ">
            <w:r w:rsidR="00300EE7">
              <w:rPr>
                <w:noProof/>
              </w:rPr>
              <w:t>9</w:t>
            </w:r>
          </w:fldSimple>
        </w:p>
      </w:tc>
    </w:tr>
    <w:tr w:rsidR="00B76738" w:rsidTr="00B76738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84C63">
            <w:rPr>
              <w:b/>
              <w:color w:val="FF0000"/>
            </w:rPr>
            <w:t>superviseur</w:t>
          </w:r>
        </w:p>
      </w:tc>
      <w:tc>
        <w:tcPr>
          <w:tcW w:w="18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B76738" w:rsidRPr="00F349F2" w:rsidRDefault="00B76738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Default="00B76738" w:rsidP="00B76738">
          <w:pPr>
            <w:ind w:left="79"/>
            <w:jc w:val="center"/>
            <w:rPr>
              <w:b/>
            </w:rPr>
          </w:pPr>
        </w:p>
      </w:tc>
      <w:tc>
        <w:tcPr>
          <w:tcW w:w="1633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color w:val="FFC000"/>
              <w:sz w:val="24"/>
              <w:szCs w:val="24"/>
            </w:rPr>
          </w:pPr>
          <w:r w:rsidRPr="007010D0">
            <w:rPr>
              <w:color w:val="FFC000"/>
              <w:sz w:val="24"/>
              <w:szCs w:val="24"/>
            </w:rPr>
            <w:t>25/09/12</w:t>
          </w:r>
        </w:p>
      </w:tc>
    </w:tr>
  </w:tbl>
  <w:p w:rsidR="00B76738" w:rsidRDefault="00B76738" w:rsidP="00B76738">
    <w:pPr>
      <w:pStyle w:val="Header"/>
      <w:rPr>
        <w:sz w:val="8"/>
      </w:rPr>
    </w:pPr>
  </w:p>
  <w:p w:rsidR="00B76738" w:rsidRPr="007C1FDB" w:rsidRDefault="00B76738" w:rsidP="00B76738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35B6"/>
    <w:rsid w:val="000322EF"/>
    <w:rsid w:val="000905A4"/>
    <w:rsid w:val="00160C5B"/>
    <w:rsid w:val="002114A4"/>
    <w:rsid w:val="00247F28"/>
    <w:rsid w:val="00300EE7"/>
    <w:rsid w:val="003671E1"/>
    <w:rsid w:val="005465DD"/>
    <w:rsid w:val="005B4871"/>
    <w:rsid w:val="0076220D"/>
    <w:rsid w:val="0082042B"/>
    <w:rsid w:val="00970DF9"/>
    <w:rsid w:val="00B07F8F"/>
    <w:rsid w:val="00B212F7"/>
    <w:rsid w:val="00B76738"/>
    <w:rsid w:val="00BF19CE"/>
    <w:rsid w:val="00C2273E"/>
    <w:rsid w:val="00D56D38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98724AD-FF93-4B16-AC5C-3D111A2A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E35B6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DE35B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DE35B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DE35B6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DE35B6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DE35B6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Quote">
    <w:name w:val="Quote"/>
    <w:basedOn w:val="Normal"/>
    <w:link w:val="QuoteCh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DE35B6"/>
    <w:rPr>
      <w:b/>
    </w:rPr>
  </w:style>
  <w:style w:type="character" w:customStyle="1" w:styleId="BodyTextChar">
    <w:name w:val="Body Text Char"/>
    <w:basedOn w:val="DefaultParagraphFont"/>
    <w:link w:val="BodyText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DE35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DE35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FollowedHyperlink">
    <w:name w:val="FollowedHyperlink"/>
    <w:rsid w:val="00DE35B6"/>
    <w:rPr>
      <w:color w:val="800080"/>
      <w:u w:val="single"/>
    </w:rPr>
  </w:style>
  <w:style w:type="paragraph" w:styleId="BodyText2">
    <w:name w:val="Body Text 2"/>
    <w:basedOn w:val="Normal"/>
    <w:link w:val="BodyText2Ch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DE35B6"/>
  </w:style>
  <w:style w:type="table" w:styleId="TableGrid">
    <w:name w:val="Table Grid"/>
    <w:basedOn w:val="Table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18</cp:revision>
  <dcterms:created xsi:type="dcterms:W3CDTF">2014-05-30T13:52:00Z</dcterms:created>
  <dcterms:modified xsi:type="dcterms:W3CDTF">2015-02-26T08:36:00Z</dcterms:modified>
</cp:coreProperties>
</file>