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trHeight w:val="1229"/>
          <w:jc w:val="center"/>
        </w:trPr>
        <w:tc>
          <w:tcPr>
            <w:tcW w:w="10270" w:type="dxa"/>
          </w:tcPr>
          <w:p w:rsidR="00DE35B6" w:rsidRPr="00FB2AEE" w:rsidRDefault="001A02B7" w:rsidP="00B76738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8pt;margin-top:.2pt;width:159pt;height:60.75pt;z-index:251660288">
                  <v:textbox>
                    <w:txbxContent>
                      <w:p w:rsidR="00B76738" w:rsidRPr="00DE35B6" w:rsidRDefault="00B76738" w:rsidP="00DE35B6">
                        <w:r w:rsidRPr="00DE35B6">
                          <w:t>NIVEAU DE RISQUE</w:t>
                        </w:r>
                      </w:p>
                      <w:p w:rsidR="00B76738" w:rsidRPr="00DE35B6" w:rsidRDefault="0002475A" w:rsidP="00DE35B6">
                        <w:r>
                          <w:t/>
                        </w:r>
                      </w:p>
                      <w:p w:rsidR="00B76738" w:rsidRDefault="00B76738" w:rsidP="00DE35B6"/>
                    </w:txbxContent>
                  </v:textbox>
                </v:shape>
              </w:pict>
            </w:r>
            <w:r w:rsidR="00DE35B6" w:rsidRPr="00FB2AEE">
              <w:rPr>
                <w:rFonts w:ascii="Times New Roman" w:hAnsi="Times New Roman"/>
                <w:b/>
              </w:rPr>
              <w:t>CONCLUSIONS :</w:t>
            </w: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19"/>
        <w:gridCol w:w="673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réceptionniste/secretariat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dont la traçabilité : secretariat - trésorier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avis de crédit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jour le jour 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DAF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état de rapprochement créances clients (tableau)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enregistrées sur des pièces de caisse standard et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sur pièces de caisses prénumérotées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signature du caissier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et caissier : avec paraphes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et Caissier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DAF-DG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88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"/>
        <w:gridCol w:w="3906"/>
        <w:gridCol w:w="697"/>
        <w:gridCol w:w="872"/>
        <w:gridCol w:w="1927"/>
        <w:gridCol w:w="860"/>
      </w:tblGrid>
      <w:tr w:rsidR="004F1C9B" w:rsidTr="004F1C9B">
        <w:trPr>
          <w:cantSplit/>
          <w:trHeight w:val="553"/>
          <w:jc w:val="center"/>
        </w:trPr>
        <w:tc>
          <w:tcPr>
            <w:tcW w:w="448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927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top w:val="nil"/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3906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livreurs... ,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d'établir des reçus prénumérotés ?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 la société et après à la banque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65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état récapitulatif journalier et rapproché par Caissier et DAF 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60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6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02475A" w:rsidP="00DE35B6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48/48</w:t>
      </w:r>
      <w:r w:rsidR="00DE35B6" w:rsidRPr="00DE35B6">
        <w:t xml:space="preserve">   .                              </w:t>
      </w:r>
      <w:r w:rsidR="00DE35B6" w:rsidRPr="00DE35B6">
        <w:br w:type="page"/>
      </w:r>
      <w:r w:rsidR="00DE35B6"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6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7"/>
        <w:gridCol w:w="885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77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Soumise par l'autorisation du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DG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 avec accord du DG par rapport aux PJ de la banque (relevé/ avis de paiement)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DAF selon le relevé bancaire 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les opérations effectuées 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retournées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immédiatement redébités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vérification DAF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 vérificateur selon l'organigramme 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E35B6">
        <w:t>/15   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8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78"/>
        <w:gridCol w:w="798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2178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sous contrôle DAF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DAF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ind w:right="231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les états de rapprochement : par DAF avant signature de validation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autorisés par une personne indé-pendante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 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le cas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avis de la bq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02475A" w:rsidP="00DE35B6"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E35B6" w:rsidRPr="00DE35B6">
        <w:t>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4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  <w:gridCol w:w="815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DG et DAF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 et DAF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 uniquement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 ET DAF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selon un tableau de réévaluation des créances et dettes en devises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Default="0002475A" w:rsidP="00DE35B6">
      <w:pPr>
        <w:pStyle w:val="Header"/>
        <w:rPr>
          <w:rFonts w:ascii="Arial" w:hAnsi="Arial" w:cs="Arial"/>
          <w:b/>
          <w:shd w:val="clear" w:color="auto" w:fill="92D050"/>
        </w:rPr>
      </w:pPr>
      <w:r>
        <w:t xml:space="preserve">                     </w:t>
      </w:r>
      <w:r>
        <w:tab/>
      </w:r>
      <w:r>
        <w:t xml:space="preserve">  </w:t>
      </w:r>
      <w:r w:rsidR="00DE35B6"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ras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>SYNTHESE</w:t>
            </w:r>
          </w:p>
        </w:tc>
      </w:tr>
      <w:tr w:rsidR="00DE35B6" w:rsidRPr="009E3CB9" w:rsidTr="0076220D">
        <w:trPr>
          <w:trHeight w:val="682"/>
        </w:trPr>
        <w:tc>
          <w:tcPr>
            <w:tcW w:w="10116" w:type="dxa"/>
            <w:gridSpan w:val="4"/>
            <w:shd w:val="clear" w:color="auto" w:fill="92D050"/>
          </w:tcPr>
          <w:p w:rsidR="00DE35B6" w:rsidRPr="00DE35B6" w:rsidRDefault="00DE35B6" w:rsidP="00DE35B6"/>
          <w:p w:rsidR="00DE35B6" w:rsidRPr="00DE35B6" w:rsidRDefault="0076220D" w:rsidP="00DE35B6">
            <w:r>
              <w:t/>
            </w:r>
          </w:p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</w:tbl>
    <w:p w:rsidR="00DE35B6" w:rsidRPr="009E3CB9" w:rsidRDefault="00DE35B6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2B7" w:rsidRDefault="001A02B7" w:rsidP="00247F28">
      <w:pPr>
        <w:pStyle w:val="Header"/>
      </w:pPr>
      <w:r>
        <w:separator/>
      </w:r>
    </w:p>
  </w:endnote>
  <w:endnote w:type="continuationSeparator" w:id="0">
    <w:p w:rsidR="001A02B7" w:rsidRDefault="001A02B7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1A02B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475A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2B7" w:rsidRDefault="001A02B7" w:rsidP="00247F28">
      <w:pPr>
        <w:pStyle w:val="Header"/>
      </w:pPr>
      <w:r>
        <w:separator/>
      </w:r>
    </w:p>
  </w:footnote>
  <w:footnote w:type="continuationSeparator" w:id="0">
    <w:p w:rsidR="001A02B7" w:rsidRDefault="001A02B7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87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7010D0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010D0">
            <w:rPr>
              <w:b/>
              <w:color w:val="FFC000"/>
            </w:rPr>
            <w:t>auditeur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B76738" w:rsidRPr="00F349F2" w:rsidRDefault="001A02B7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6738" w:rsidRDefault="00B76738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2475A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02475A">
              <w:rPr>
                <w:noProof/>
              </w:rPr>
              <w:t>9</w:t>
            </w:r>
          </w:fldSimple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84C63">
            <w:rPr>
              <w:b/>
              <w:color w:val="FF0000"/>
            </w:rPr>
            <w:t>superviseur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Default="00B76738" w:rsidP="00B76738">
          <w:pPr>
            <w:ind w:left="79"/>
            <w:jc w:val="center"/>
            <w:rPr>
              <w:b/>
            </w:rPr>
          </w:pPr>
        </w:p>
      </w:tc>
      <w:tc>
        <w:tcPr>
          <w:tcW w:w="1633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color w:val="FFC000"/>
              <w:sz w:val="24"/>
              <w:szCs w:val="24"/>
            </w:rPr>
          </w:pPr>
          <w:r w:rsidRPr="007010D0">
            <w:rPr>
              <w:color w:val="FFC000"/>
              <w:sz w:val="24"/>
              <w:szCs w:val="24"/>
            </w:rPr>
            <w:t>25/09/12</w:t>
          </w:r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475A"/>
    <w:rsid w:val="000322EF"/>
    <w:rsid w:val="000905A4"/>
    <w:rsid w:val="00160C5B"/>
    <w:rsid w:val="001A02B7"/>
    <w:rsid w:val="002114A4"/>
    <w:rsid w:val="002445DE"/>
    <w:rsid w:val="00247F28"/>
    <w:rsid w:val="00300EE7"/>
    <w:rsid w:val="003671E1"/>
    <w:rsid w:val="004F1C9B"/>
    <w:rsid w:val="005465DD"/>
    <w:rsid w:val="005B4871"/>
    <w:rsid w:val="0076220D"/>
    <w:rsid w:val="0082042B"/>
    <w:rsid w:val="00970DF9"/>
    <w:rsid w:val="00B07F8F"/>
    <w:rsid w:val="00B212F7"/>
    <w:rsid w:val="00B76738"/>
    <w:rsid w:val="00BF19CE"/>
    <w:rsid w:val="00C2273E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21</cp:revision>
  <dcterms:created xsi:type="dcterms:W3CDTF">2014-05-30T13:52:00Z</dcterms:created>
  <dcterms:modified xsi:type="dcterms:W3CDTF">2015-02-27T11:24:00Z</dcterms:modified>
</cp:coreProperties>
</file>