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Header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>Aucune tâche incompatible.</w:t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informatique, les rapports d’anomalies font-ils 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Header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Aucune tâche incompatible.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Non utilisation dune fiche de stocks par articles pour les produits finis et les produits cabossés
- Etablissement à tort de la situation des stocks flottants à partir dun rapprochement entre les factures reçues et « bons de réception » établis. Par ailleurs, non suivi des commandes en cours pouvant constituées des stocks flottants selon le transfert de propriété prescrit dans le
contrat tel que : FOB, CIF, FAS .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2A" w:rsidRPr="002F4D49" w:rsidRDefault="0028542A" w:rsidP="002F4D49">
      <w:pPr>
        <w:pStyle w:val="Header"/>
      </w:pPr>
      <w:r>
        <w:separator/>
      </w:r>
    </w:p>
  </w:endnote>
  <w:end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28542A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842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2A" w:rsidRPr="002F4D49" w:rsidRDefault="0028542A" w:rsidP="002F4D49">
      <w:pPr>
        <w:pStyle w:val="Header"/>
      </w:pPr>
      <w:r>
        <w:separator/>
      </w:r>
    </w:p>
  </w:footnote>
  <w:foot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28542A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A0842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A084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28-04-2015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E0A57"/>
    <w:rsid w:val="00D1554C"/>
    <w:rsid w:val="00D40109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  <w:style w:type="table" w:styleId="TableGrid">
    <w:name w:val="Table Grid"/>
    <w:basedOn w:val="Table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23</cp:revision>
  <dcterms:created xsi:type="dcterms:W3CDTF">2014-05-30T12:53:00Z</dcterms:created>
  <dcterms:modified xsi:type="dcterms:W3CDTF">2015-04-20T10:52:00Z</dcterms:modified>
</cp:coreProperties>
</file>