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Ando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rPr>
          <w:rFonts w:ascii="Times New Roman" w:hAnsi="Times New Roman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0"/>
        <w:gridCol w:w="6300"/>
        <w:gridCol w:w="41"/>
      </w:tblGrid>
      <w:tr w:rsidR="001A2B6C" w:rsidTr="00256243">
        <w:trPr>
          <w:cantSplit/>
          <w:jc w:val="center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3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Head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Responsable production,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Direction du site (Diego), SG Groupe THOG,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Header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Gestionnaire de Stock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Header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Direction du site (Diego), SG Groupe THOG,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SG Groupe THOG,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Responsable production, Service conditionnement, Service Qualité, Gestionnaire de Stock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7D5558" w:rsidP="00082D67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75pt;margin-top:.25pt;width:159pt;height:32.25pt;z-index:251660288">
                  <v:textbox style="mso-next-textbox:#_x0000_s1026">
                    <w:txbxContent>
                      <w:p w:rsidR="00485FF4" w:rsidRDefault="00082D67" w:rsidP="00485FF4">
                        <w:pPr>
                          <w:pStyle w:val="Header"/>
                          <w:ind w:right="120"/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082D67" w:rsidRPr="00A05C66" w:rsidRDefault="00485FF4" w:rsidP="00485FF4">
                        <w:pPr>
                          <w:pStyle w:val="Header"/>
                          <w:ind w:right="120"/>
                        </w:pPr>
                        <w:r>
                          <w:t/>
                        </w:r>
                        <w:r w:rsidR="00082D67" w:rsidRPr="00A05C66">
                          <w:t xml:space="preserve">                            </w:t>
                        </w:r>
                      </w:p>
                    </w:txbxContent>
                  </v:textbox>
                </v:shape>
              </w:pict>
            </w:r>
            <w:r w:rsidR="001A2B6C" w:rsidRPr="00D95FD5">
              <w:rPr>
                <w:rFonts w:ascii="Arial" w:hAnsi="Arial" w:cs="Arial"/>
                <w:b/>
              </w:rPr>
              <w:t>CONCLUSIONS :</w:t>
            </w:r>
          </w:p>
          <w:p w:rsidR="001A2B6C" w:rsidRPr="00D95FD5" w:rsidRDefault="001A2B6C" w:rsidP="00072DD1">
            <w:pPr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014"/>
        <w:gridCol w:w="680"/>
        <w:gridCol w:w="851"/>
        <w:gridCol w:w="1848"/>
        <w:gridCol w:w="854"/>
      </w:tblGrid>
      <w:tr w:rsidR="00886902" w:rsidTr="00B37E3B">
        <w:trPr>
          <w:cantSplit/>
          <w:jc w:val="center"/>
        </w:trPr>
        <w:tc>
          <w:tcPr>
            <w:tcW w:w="45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1845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886902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4" w:type="dxa"/>
            <w:tcBorders>
              <w:top w:val="nil"/>
            </w:tcBorders>
            <w:shd w:val="clear" w:color="auto" w:fill="auto"/>
          </w:tcPr>
          <w:p w:rsidR="00886902" w:rsidRPr="00080FA7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Isolé et fermé à clé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 car PFOI est une société sous régime de zone et E/ses franches; la commande est déjà passée à l'avance (un an avant) en Europe par la Direction du Groupe THOG et la production est en fonction de cette commande.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 car PFOI est une société sous régime de zone et E/ses franches; la commande est déjà passée à l'avance (un an avant) en Europe par la Direction du Groupe THOG et la production est en fonction de cette commande.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Traité au niveau du groupe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livraison est-il rapproché des numéros de factures pour s'assurer qu'il sont tous facturés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Déjà traité au niveau de la Direction du groupe et avec des travaux de rapprochement par la Direction du site/DAF/Chef compta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Aucun bon de retour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livraison sans facture et les 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Aucun bon de retour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quantités reçues sont-elles rapprochées des quantités facturées </w:t>
            </w:r>
            <w:r w:rsidRPr="00D95FD5">
              <w:rPr>
                <w:rFonts w:ascii="Arial" w:hAnsi="Arial" w:cs="Arial"/>
              </w:rPr>
              <w:lastRenderedPageBreak/>
              <w:t>pour éviter les facturations partielles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485FF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485FF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4014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4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667D90" w:rsidRDefault="00667D90" w:rsidP="001A2B6C">
      <w:pPr>
        <w:pStyle w:val="Header"/>
        <w:rPr>
          <w:rFonts w:ascii="Arial" w:hAnsi="Arial" w:cs="Arial"/>
        </w:rPr>
      </w:pPr>
    </w:p>
    <w:tbl>
      <w:tblPr>
        <w:tblW w:w="86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920"/>
        <w:gridCol w:w="814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9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Selon état de rapprochement intragroupe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886902" w:rsidRPr="002E695F" w:rsidRDefault="00886902" w:rsidP="000068A6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485FF4">
        <w:trPr>
          <w:trHeight w:val="75"/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1A2B6C" w:rsidRPr="009F2D11" w:rsidRDefault="001A2B6C" w:rsidP="008D1447">
      <w:pPr>
        <w:pStyle w:val="Header"/>
      </w:pPr>
    </w:p>
    <w:p w:rsidR="001A2B6C" w:rsidRDefault="00485FF4" w:rsidP="001A2B6C">
      <w:pPr>
        <w:pStyle w:val="Header"/>
        <w:rPr>
          <w:rFonts w:ascii="Arial" w:hAnsi="Arial" w:cs="Arial"/>
          <w:sz w:val="12"/>
        </w:rPr>
      </w:pPr>
      <w:r>
        <w:t xml:space="preserve">                    </w:t>
      </w:r>
      <w:r w:rsidRPr="00485FF4">
        <w:rPr>
          <w:b/>
        </w:rPr>
        <w:t>NIVEAU DE RISQUE :</w:t>
      </w:r>
      <w:r>
        <w:t xml:space="preserve"> </w:t>
      </w:r>
      <w:r>
        <w:tab/>
        <w:t/>
      </w:r>
      <w:r w:rsidR="001A2B6C">
        <w:rPr>
          <w:rFonts w:ascii="Arial" w:hAnsi="Arial" w:cs="Arial"/>
        </w:rPr>
        <w:br w:type="page"/>
      </w:r>
      <w:r w:rsidR="001A2B6C">
        <w:rPr>
          <w:rFonts w:ascii="Arial" w:hAnsi="Arial" w:cs="Arial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8"/>
        <w:gridCol w:w="672"/>
        <w:gridCol w:w="851"/>
        <w:gridCol w:w="1858"/>
        <w:gridCol w:w="814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Commande déjà traité au niveau du groupe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886902" w:rsidRPr="00811EEB" w:rsidRDefault="00886902" w:rsidP="00C961E5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opérations diverses sur le journal des ventes et les comptes clients doivent-elles être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  <w:right w:val="single" w:sz="4" w:space="0" w:color="auto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680" w:type="dxa"/>
            <w:gridSpan w:val="2"/>
            <w:tcBorders>
              <w:left w:val="single" w:sz="4" w:space="0" w:color="auto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85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 Direction</w:t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5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948"/>
        <w:gridCol w:w="743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886902" w:rsidRPr="00811EEB" w:rsidRDefault="00886902" w:rsidP="00C961E5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 niveau Direction Groupe</w:t>
            </w: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F8415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trHeight w:val="87"/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Pr="007E1030">
        <w:t xml:space="preserve">  </w:t>
      </w:r>
      <w:r w:rsidR="00372BC7">
        <w:t xml:space="preserve">   faible</w:t>
      </w:r>
      <w:r w:rsidR="00372BC7">
        <w:tab/>
        <w:t>41/41</w:t>
      </w:r>
      <w:r>
        <w:rPr>
          <w:rFonts w:ascii="Arial" w:hAnsi="Arial" w:cs="Arial"/>
          <w:b/>
          <w:shd w:val="clear" w:color="auto" w:fill="92D050"/>
        </w:rPr>
        <w:t xml:space="preserve">  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62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58"/>
        <w:gridCol w:w="859"/>
      </w:tblGrid>
      <w:tr w:rsidR="00886902" w:rsidTr="00886902">
        <w:trPr>
          <w:cantSplit/>
          <w:trHeight w:val="534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23652A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9" w:type="dxa"/>
            <w:tcBorders>
              <w:top w:val="nil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Comme auparavant : déjà traité au niveau du groupe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0 % à l'exportation. 
20% pour les ventes locales (inférieurs à 0,06% )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A tous niveaux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Cas des clients douteux (soit 3 %)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signalés aux intervenants dans le processus de vente pour éviter des expéditions qui ne pourront pas être encaissées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Au niveau du groupe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trHeight w:val="434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23652A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23652A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</w:tcBorders>
            <w:shd w:val="clear" w:color="auto" w:fill="92D050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8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948"/>
        <w:gridCol w:w="956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956" w:type="dxa"/>
            <w:tcBorders>
              <w:top w:val="nil"/>
            </w:tcBorders>
            <w:shd w:val="clear" w:color="auto" w:fill="auto"/>
          </w:tcPr>
          <w:p w:rsidR="00886902" w:rsidRPr="00834D49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Selon le cours mondial et au niveau du groupe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NON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Cas inexistant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Au niveau Direction du Groupe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Par Direction Groupe (SG) et Direction du site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Les créances douteuses sont provisionnées à 100% 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Direction du groupe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trHeight w:val="75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15.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Lorsque des ventes sont effectuées en devises étrangères :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56" w:type="dxa"/>
            <w:vMerge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trHeight w:val="677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/>
            <w:shd w:val="clear" w:color="auto" w:fill="auto"/>
          </w:tcPr>
          <w:p w:rsidR="00886902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  <w:p w:rsidR="00886902" w:rsidRPr="00D95FD5" w:rsidRDefault="00886902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194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DE101D" w:rsidRDefault="00DE101D" w:rsidP="001A2B6C">
      <w:pPr>
        <w:pStyle w:val="Header"/>
        <w:rPr>
          <w:rFonts w:ascii="Arial" w:hAnsi="Arial" w:cs="Arial"/>
          <w:sz w:val="12"/>
        </w:rPr>
      </w:pPr>
    </w:p>
    <w:tbl>
      <w:tblPr>
        <w:tblpPr w:leftFromText="141" w:rightFromText="141" w:vertAnchor="text" w:tblpX="5278" w:tblpY="-1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</w:tblGrid>
      <w:tr w:rsidR="00DE101D" w:rsidTr="00DE101D">
        <w:tc>
          <w:tcPr>
            <w:tcW w:w="4605" w:type="dxa"/>
            <w:tcBorders>
              <w:top w:val="nil"/>
              <w:left w:val="nil"/>
              <w:right w:val="nil"/>
            </w:tcBorders>
          </w:tcPr>
          <w:p w:rsidR="00DE101D" w:rsidRDefault="00DE101D" w:rsidP="00DE101D">
            <w:pPr>
              <w:pStyle w:val="Header"/>
              <w:rPr>
                <w:rFonts w:ascii="Arial" w:hAnsi="Arial" w:cs="Arial"/>
                <w:sz w:val="12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RISQUE </w:t>
      </w:r>
      <w:r w:rsidR="00372BC7">
        <w:t xml:space="preserve">   faible</w:t>
      </w:r>
      <w:r w:rsidR="00372BC7">
        <w:tab/>
        <w:t>85/86</w:t>
      </w:r>
      <w:r>
        <w:rPr>
          <w:rFonts w:ascii="Arial" w:hAnsi="Arial" w:cs="Arial"/>
          <w:b/>
          <w:shd w:val="clear" w:color="auto" w:fill="92D050"/>
        </w:rPr>
        <w:t xml:space="preserve">                             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9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231"/>
        <w:gridCol w:w="790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223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90" w:type="dxa"/>
            <w:tcBorders>
              <w:top w:val="nil"/>
            </w:tcBorders>
            <w:shd w:val="clear" w:color="auto" w:fill="auto"/>
          </w:tcPr>
          <w:p w:rsidR="00886902" w:rsidRPr="00FF0EAD" w:rsidRDefault="00886902" w:rsidP="00082D67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Cas inexistant</w:t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Déjà traité inter-groupe</w:t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trHeight w:val="737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5C5AF0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23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trHeight w:val="33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top w:val="single" w:sz="4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</w:rPr>
      </w:pPr>
    </w:p>
    <w:p w:rsidR="001A2B6C" w:rsidRPr="00E15219" w:rsidRDefault="001A2B6C" w:rsidP="001A2B6C">
      <w:pPr>
        <w:pStyle w:val="Header"/>
        <w:ind w:right="120"/>
      </w:pPr>
      <w:r>
        <w:rPr>
          <w:rFonts w:ascii="Arial" w:hAnsi="Arial" w:cs="Arial"/>
          <w:b/>
        </w:rPr>
        <w:t xml:space="preserve">NIVEAU DE </w:t>
      </w:r>
      <w:r w:rsidRPr="00E15219">
        <w:t>RISQUE</w:t>
      </w:r>
      <w:r w:rsidR="00372BC7">
        <w:t> : faible</w:t>
      </w:r>
      <w:r w:rsidR="00372BC7">
        <w:tab/>
        <w:t>12/12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9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71"/>
        <w:gridCol w:w="969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 / NON</w:t>
            </w:r>
          </w:p>
        </w:tc>
        <w:tc>
          <w:tcPr>
            <w:tcW w:w="20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69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886902" w:rsidTr="00886902">
        <w:trPr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Dans le logiciel sage saari ligne 100.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FF0EAD" w:rsidRDefault="00886902" w:rsidP="00AF12ED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Par DAF et Chef compta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A partir des informations fournies au sein de la Direction du groupe avec rapprochement par DAF et Chef compta.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Au niveau du groupe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oui, les réclamations des clients sont-elles soumises à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Pr="00335C67" w:rsidRDefault="001A2B6C" w:rsidP="001A2B6C">
      <w:pPr>
        <w:pStyle w:val="Header"/>
        <w:spacing w:after="1800"/>
        <w:ind w:right="-1321"/>
      </w:pPr>
      <w:r>
        <w:rPr>
          <w:rFonts w:ascii="Arial" w:hAnsi="Arial" w:cs="Arial"/>
          <w:b/>
        </w:rPr>
        <w:t xml:space="preserve">NIVEAU DE RISQUE </w:t>
      </w:r>
      <w:r w:rsidRPr="00335C67">
        <w:t xml:space="preserve"> </w:t>
      </w:r>
      <w:r w:rsidR="00372BC7">
        <w:t xml:space="preserve"> faible</w:t>
      </w:r>
      <w:r w:rsidR="00372BC7">
        <w:tab/>
        <w:t>28/28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41/41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 remarque significative à relever.</w:t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85/86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 point significatif à relever.</w:t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Respect du cut-off : RAS
Principe d'indépendances des exercices : RAS</w:t>
            </w:r>
          </w:p>
        </w:tc>
      </w:tr>
      <w:tr w:rsidR="000C089D" w:rsidRPr="000E6655" w:rsidTr="00360F64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28/28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</w:tr>
      <w:tr w:rsidR="001A2B6C" w:rsidRPr="000E6655" w:rsidTr="000A2E60"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1A2B6C" w:rsidRPr="000E6655" w:rsidTr="000A2E60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1A2B6C" w:rsidRPr="000A2E60" w:rsidRDefault="001A2B6C" w:rsidP="000A2E60"/>
          <w:p w:rsidR="001A2B6C" w:rsidRPr="000A2E60" w:rsidRDefault="000C089D" w:rsidP="000A2E60">
            <w:r>
              <w:t/>
            </w:r>
          </w:p>
          <w:p w:rsidR="001A2B6C" w:rsidRPr="000A2E60" w:rsidRDefault="001A2B6C" w:rsidP="000A2E60"/>
          <w:p w:rsidR="001A2B6C" w:rsidRPr="000A2E60" w:rsidRDefault="001A2B6C" w:rsidP="000A2E60"/>
          <w:p w:rsidR="001A2B6C" w:rsidRPr="000A2E60" w:rsidRDefault="001A2B6C" w:rsidP="000A2E60"/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1A2B6C" w:rsidRPr="00DA6783" w:rsidRDefault="001A2B6C" w:rsidP="001A2B6C">
      <w:pPr>
        <w:pStyle w:val="Header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558" w:rsidRDefault="007D5558" w:rsidP="00B375AF">
      <w:r>
        <w:separator/>
      </w:r>
    </w:p>
  </w:endnote>
  <w:endnote w:type="continuationSeparator" w:id="0">
    <w:p w:rsidR="007D5558" w:rsidRDefault="007D5558" w:rsidP="00B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3D" w:rsidRDefault="004122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D67" w:rsidRDefault="00082D67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082D67" w:rsidRDefault="007D5558" w:rsidP="00082D67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" o:allowoverlap="f">
          <v:imagedata r:id="rId1" o:title=""/>
        </v:shape>
      </w:pict>
    </w:r>
    <w:r w:rsidR="00082D67">
      <w:tab/>
    </w:r>
    <w:r w:rsidR="00082D67">
      <w:tab/>
    </w:r>
    <w:r w:rsidR="00082D67">
      <w:tab/>
    </w:r>
    <w:r w:rsidR="00082D67">
      <w:tab/>
    </w:r>
    <w:r w:rsidR="00082D67">
      <w:tab/>
    </w:r>
    <w:r w:rsidR="00082D67">
      <w:rPr>
        <w:i/>
      </w:rPr>
      <w:t>E</w:t>
    </w:r>
    <w:r w:rsidR="00082D67" w:rsidRPr="00A939AE">
      <w:rPr>
        <w:i/>
      </w:rPr>
      <w:t>valuation des procédures</w:t>
    </w:r>
    <w:r w:rsidR="00082D67">
      <w:tab/>
    </w:r>
    <w:r w:rsidR="00082D67">
      <w:tab/>
    </w:r>
    <w:r w:rsidR="00082D67">
      <w:tab/>
    </w:r>
    <w:r w:rsidR="00082D67">
      <w:tab/>
      <w:t xml:space="preserve">Page </w:t>
    </w:r>
    <w:r w:rsidR="00082D67">
      <w:rPr>
        <w:rStyle w:val="PageNumber"/>
      </w:rPr>
      <w:fldChar w:fldCharType="begin"/>
    </w:r>
    <w:r w:rsidR="00082D67">
      <w:rPr>
        <w:rStyle w:val="PageNumber"/>
      </w:rPr>
      <w:instrText xml:space="preserve"> PAGE </w:instrText>
    </w:r>
    <w:r w:rsidR="00082D67">
      <w:rPr>
        <w:rStyle w:val="PageNumber"/>
      </w:rPr>
      <w:fldChar w:fldCharType="separate"/>
    </w:r>
    <w:r w:rsidR="0085202A">
      <w:rPr>
        <w:rStyle w:val="PageNumber"/>
        <w:noProof/>
      </w:rPr>
      <w:t>1</w:t>
    </w:r>
    <w:r w:rsidR="00082D67">
      <w:rPr>
        <w:rStyle w:val="PageNumber"/>
      </w:rPr>
      <w:fldChar w:fldCharType="end"/>
    </w:r>
    <w:r w:rsidR="00082D67">
      <w:rPr>
        <w:rStyle w:val="PageNumber"/>
      </w:rPr>
      <w:t>/10</w:t>
    </w:r>
    <w:r w:rsidR="00082D67">
      <w:tab/>
    </w:r>
    <w:r w:rsidR="00082D67">
      <w:tab/>
    </w:r>
  </w:p>
  <w:p w:rsidR="00082D67" w:rsidRDefault="00082D67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3D" w:rsidRDefault="004122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558" w:rsidRDefault="007D5558" w:rsidP="00B375AF">
      <w:r>
        <w:separator/>
      </w:r>
    </w:p>
  </w:footnote>
  <w:footnote w:type="continuationSeparator" w:id="0">
    <w:p w:rsidR="007D5558" w:rsidRDefault="007D5558" w:rsidP="00B37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3D" w:rsidRDefault="004122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D67" w:rsidRPr="005C2C13" w:rsidRDefault="00082D67" w:rsidP="00082D67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8"/>
      <w:gridCol w:w="4536"/>
      <w:gridCol w:w="1562"/>
      <w:gridCol w:w="1083"/>
    </w:tblGrid>
    <w:tr w:rsidR="00082D67" w:rsidTr="00082D67">
      <w:trPr>
        <w:cantSplit/>
        <w:trHeight w:val="260"/>
        <w:jc w:val="center"/>
      </w:trPr>
      <w:tc>
        <w:tcPr>
          <w:tcW w:w="309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82D67" w:rsidRDefault="00082D67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082D67" w:rsidRPr="00F349F2" w:rsidRDefault="007D5558" w:rsidP="00082D67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082D67">
            <w:rPr>
              <w:rFonts w:ascii="Times New Roman" w:hAnsi="Times New Roman"/>
              <w:b/>
            </w:rPr>
            <w:t xml:space="preserve">QUESTIONNAIRE CONTRÔLE INTERNE </w:t>
          </w:r>
          <w:r w:rsidR="00082D67" w:rsidRPr="00A939AE">
            <w:rPr>
              <w:rFonts w:ascii="Times New Roman" w:hAnsi="Times New Roman"/>
              <w:b/>
              <w:sz w:val="28"/>
              <w:szCs w:val="28"/>
            </w:rPr>
            <w:t>VENTES</w:t>
          </w:r>
          <w:r w:rsidR="00082D67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82D67" w:rsidRDefault="00082D67" w:rsidP="00082D67">
          <w:pPr>
            <w:ind w:left="65" w:right="60"/>
            <w:jc w:val="center"/>
          </w:pPr>
          <w:r>
            <w:t>CODE</w:t>
          </w:r>
        </w:p>
      </w:tc>
    </w:tr>
    <w:tr w:rsidR="00082D67" w:rsidTr="00082D67">
      <w:trPr>
        <w:cantSplit/>
        <w:trHeight w:val="510"/>
        <w:jc w:val="center"/>
      </w:trPr>
      <w:tc>
        <w:tcPr>
          <w:tcW w:w="309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82D67" w:rsidRPr="00A939AE" w:rsidRDefault="0041223D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082D67" w:rsidRDefault="00082D67" w:rsidP="00082D67">
          <w:pPr>
            <w:pStyle w:val="Heading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82D67" w:rsidRPr="00BD4CD7" w:rsidRDefault="00082D67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082D67" w:rsidTr="00082D6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82D67" w:rsidRDefault="00082D67" w:rsidP="0041223D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41223D" w:rsidRPr="00291E68">
            <w:rPr>
              <w:rFonts w:ascii="Calibri" w:hAnsi="Calibri" w:cs="Calibri"/>
              <w:b/>
              <w:bCs/>
              <w:u w:val="single"/>
            </w:rPr>
            <w:t>Ando</w:t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082D67" w:rsidRPr="00F349F2" w:rsidRDefault="00082D67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082D67" w:rsidRPr="00F349F2" w:rsidRDefault="007D5558" w:rsidP="00082D67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082D67" w:rsidRDefault="00082D67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082D67" w:rsidRDefault="00082D67" w:rsidP="00082D67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5202A">
            <w:rPr>
              <w:noProof/>
            </w:rPr>
            <w:t>1</w:t>
          </w:r>
          <w:r>
            <w:fldChar w:fldCharType="end"/>
          </w:r>
          <w:r>
            <w:t>/</w:t>
          </w:r>
          <w:r w:rsidR="007D5558">
            <w:fldChar w:fldCharType="begin"/>
          </w:r>
          <w:r w:rsidR="007D5558">
            <w:instrText xml:space="preserve"> NUMPAGES  \* MERGEFORMAT </w:instrText>
          </w:r>
          <w:r w:rsidR="007D5558">
            <w:fldChar w:fldCharType="separate"/>
          </w:r>
          <w:r w:rsidR="0085202A">
            <w:rPr>
              <w:noProof/>
            </w:rPr>
            <w:t>4</w:t>
          </w:r>
          <w:r w:rsidR="007D5558">
            <w:rPr>
              <w:noProof/>
            </w:rPr>
            <w:fldChar w:fldCharType="end"/>
          </w:r>
        </w:p>
      </w:tc>
    </w:tr>
    <w:tr w:rsidR="00082D67" w:rsidTr="00082D6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82D67" w:rsidRDefault="00082D67" w:rsidP="0041223D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41223D" w:rsidRPr="00291E68">
            <w:rPr>
              <w:rFonts w:ascii="Calibri" w:hAnsi="Calibri" w:cs="Calibri"/>
              <w:b/>
              <w:bCs/>
              <w:u w:val="single"/>
            </w:rPr>
            <w:t/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082D67" w:rsidRPr="00F349F2" w:rsidRDefault="00082D67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082D67" w:rsidRDefault="00082D67" w:rsidP="00082D67">
          <w:pPr>
            <w:ind w:left="79"/>
            <w:jc w:val="center"/>
            <w:rPr>
              <w:b/>
            </w:rPr>
          </w:pPr>
        </w:p>
      </w:tc>
      <w:tc>
        <w:tcPr>
          <w:tcW w:w="156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082D67" w:rsidRDefault="00082D67" w:rsidP="00082D67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082D67" w:rsidRPr="00212085" w:rsidRDefault="0085202A" w:rsidP="00082D67">
          <w:pPr>
            <w:ind w:right="60"/>
            <w:jc w:val="center"/>
            <w:rPr>
              <w:color w:val="000000" w:themeColor="text1"/>
              <w:sz w:val="18"/>
            </w:rPr>
          </w:pPr>
          <w:r>
            <w:t>15-04-2015</w:t>
          </w:r>
          <w:bookmarkStart w:id="0" w:name="_GoBack"/>
          <w:bookmarkEnd w:id="0"/>
        </w:p>
      </w:tc>
    </w:tr>
  </w:tbl>
  <w:p w:rsidR="00082D67" w:rsidRDefault="00082D67" w:rsidP="00082D67">
    <w:pPr>
      <w:pStyle w:val="Header"/>
      <w:rPr>
        <w:sz w:val="8"/>
      </w:rPr>
    </w:pPr>
  </w:p>
  <w:p w:rsidR="00082D67" w:rsidRPr="00B25FF5" w:rsidRDefault="00082D67" w:rsidP="00082D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3D" w:rsidRDefault="004122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B6C"/>
    <w:rsid w:val="000068A6"/>
    <w:rsid w:val="00072DD1"/>
    <w:rsid w:val="00082D67"/>
    <w:rsid w:val="000A2E60"/>
    <w:rsid w:val="000C089D"/>
    <w:rsid w:val="000F54F3"/>
    <w:rsid w:val="00144F5B"/>
    <w:rsid w:val="0014510F"/>
    <w:rsid w:val="001A2B6C"/>
    <w:rsid w:val="001B61E8"/>
    <w:rsid w:val="001D379E"/>
    <w:rsid w:val="001E284D"/>
    <w:rsid w:val="00212085"/>
    <w:rsid w:val="0023652A"/>
    <w:rsid w:val="00256243"/>
    <w:rsid w:val="00256A81"/>
    <w:rsid w:val="00286EA6"/>
    <w:rsid w:val="002C0F77"/>
    <w:rsid w:val="00335C67"/>
    <w:rsid w:val="0033604E"/>
    <w:rsid w:val="00372BC7"/>
    <w:rsid w:val="0041223D"/>
    <w:rsid w:val="00485FF4"/>
    <w:rsid w:val="004929C5"/>
    <w:rsid w:val="00495C96"/>
    <w:rsid w:val="004A0363"/>
    <w:rsid w:val="004F5FB3"/>
    <w:rsid w:val="004F67CB"/>
    <w:rsid w:val="005B0213"/>
    <w:rsid w:val="005C5AF0"/>
    <w:rsid w:val="006053BF"/>
    <w:rsid w:val="00667D90"/>
    <w:rsid w:val="006A4FEB"/>
    <w:rsid w:val="006C0076"/>
    <w:rsid w:val="006F1646"/>
    <w:rsid w:val="007D5558"/>
    <w:rsid w:val="007E1030"/>
    <w:rsid w:val="007E34E7"/>
    <w:rsid w:val="0085202A"/>
    <w:rsid w:val="00886902"/>
    <w:rsid w:val="008B3326"/>
    <w:rsid w:val="008D1447"/>
    <w:rsid w:val="008F6460"/>
    <w:rsid w:val="00926173"/>
    <w:rsid w:val="009C367A"/>
    <w:rsid w:val="009F2D11"/>
    <w:rsid w:val="009F368A"/>
    <w:rsid w:val="00A05C66"/>
    <w:rsid w:val="00A47A0E"/>
    <w:rsid w:val="00A47E15"/>
    <w:rsid w:val="00A60255"/>
    <w:rsid w:val="00AA2D4D"/>
    <w:rsid w:val="00AF12ED"/>
    <w:rsid w:val="00B375AF"/>
    <w:rsid w:val="00B37E3B"/>
    <w:rsid w:val="00B5396F"/>
    <w:rsid w:val="00BA7388"/>
    <w:rsid w:val="00BC6D58"/>
    <w:rsid w:val="00BD2D22"/>
    <w:rsid w:val="00C219C6"/>
    <w:rsid w:val="00C961E5"/>
    <w:rsid w:val="00D177EA"/>
    <w:rsid w:val="00D80BCC"/>
    <w:rsid w:val="00DE101D"/>
    <w:rsid w:val="00E15219"/>
    <w:rsid w:val="00EA1B9C"/>
    <w:rsid w:val="00EB0B21"/>
    <w:rsid w:val="00F05AC4"/>
    <w:rsid w:val="00F606BA"/>
    <w:rsid w:val="00F67DE6"/>
    <w:rsid w:val="00F84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341AE2-C2FD-4BDA-BAFB-A5C86031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A2B6C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1A2B6C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1A2B6C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1A2B6C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1A2B6C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1A2B6C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Quote">
    <w:name w:val="Quote"/>
    <w:basedOn w:val="Normal"/>
    <w:link w:val="QuoteCh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1A2B6C"/>
    <w:rPr>
      <w:b/>
    </w:rPr>
  </w:style>
  <w:style w:type="character" w:customStyle="1" w:styleId="BodyTextChar">
    <w:name w:val="Body Text Char"/>
    <w:basedOn w:val="DefaultParagraphFont"/>
    <w:link w:val="BodyText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1A2B6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1A2B6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FollowedHyperlink">
    <w:name w:val="FollowedHyperlink"/>
    <w:rsid w:val="001A2B6C"/>
    <w:rPr>
      <w:color w:val="800080"/>
      <w:u w:val="single"/>
    </w:rPr>
  </w:style>
  <w:style w:type="paragraph" w:styleId="BodyText2">
    <w:name w:val="Body Text 2"/>
    <w:basedOn w:val="Normal"/>
    <w:link w:val="BodyText2Ch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1A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56</cp:revision>
  <dcterms:created xsi:type="dcterms:W3CDTF">2014-05-30T11:45:00Z</dcterms:created>
  <dcterms:modified xsi:type="dcterms:W3CDTF">2015-04-15T12:59:00Z</dcterms:modified>
</cp:coreProperties>
</file>