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Niveau de risque : moyen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d'une incompatibilité de tâches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11-02-2015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