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CC00" w14:textId="0BBF21B5" w:rsidR="008A2B94" w:rsidRDefault="00000000">
      <w:pPr>
        <w:pStyle w:val="Title"/>
      </w:pPr>
      <w:r>
        <w:t>GFS Proposal Estimation Workflow</w:t>
      </w:r>
    </w:p>
    <w:p w14:paraId="55616F31" w14:textId="073B1DBF" w:rsidR="00E56237" w:rsidRPr="00E56237" w:rsidRDefault="00E56237" w:rsidP="00E56237">
      <w:pPr>
        <w:spacing w:after="120"/>
        <w:rPr>
          <w:b/>
          <w:bCs/>
          <w:i/>
          <w:iCs/>
          <w:sz w:val="20"/>
          <w:szCs w:val="20"/>
        </w:rPr>
      </w:pPr>
      <w:r w:rsidRPr="00E56237">
        <w:rPr>
          <w:b/>
          <w:bCs/>
          <w:i/>
          <w:iCs/>
          <w:sz w:val="20"/>
          <w:szCs w:val="20"/>
        </w:rPr>
        <w:t>Draft for Review</w:t>
      </w:r>
    </w:p>
    <w:p w14:paraId="0FCDC35B" w14:textId="66BBF813" w:rsidR="00E56237" w:rsidRPr="00E56237" w:rsidRDefault="00E56237" w:rsidP="00E56237">
      <w:pPr>
        <w:spacing w:after="120"/>
        <w:rPr>
          <w:b/>
          <w:bCs/>
          <w:i/>
          <w:iCs/>
          <w:sz w:val="20"/>
          <w:szCs w:val="20"/>
        </w:rPr>
      </w:pPr>
      <w:r w:rsidRPr="00E56237">
        <w:rPr>
          <w:b/>
          <w:bCs/>
          <w:i/>
          <w:iCs/>
          <w:sz w:val="20"/>
          <w:szCs w:val="20"/>
        </w:rPr>
        <w:t>Draft Date: 23 Apr 2026</w:t>
      </w:r>
    </w:p>
    <w:p w14:paraId="2500FBAF" w14:textId="77777777" w:rsidR="008A2B94" w:rsidRDefault="00000000">
      <w:pPr>
        <w:pStyle w:val="Heading1"/>
      </w:pPr>
      <w:r>
        <w:t>1. Current Workflow Overview (As-Is)</w:t>
      </w:r>
    </w:p>
    <w:p w14:paraId="31C440B1" w14:textId="77777777" w:rsidR="008A2B94" w:rsidRDefault="00000000">
      <w:r>
        <w:t xml:space="preserve">GFS proposal preparation involves consolidating information from multiple sources including web forms, emails, drawings, and estimator-client discussions. </w:t>
      </w:r>
      <w:r>
        <w:br/>
      </w:r>
      <w:r>
        <w:br/>
        <w:t>The estimator reviews all inputs, interprets requirements, determines system configuration, and prepares a proposal using an Excel-based estimation workbook. The final proposal is generated as a PDF document.</w:t>
      </w:r>
      <w:r>
        <w:br/>
      </w:r>
      <w:r>
        <w:br/>
        <w:t>While the process is effective, it requires significant manual effort, interpretation, and experience-based decision-making.</w:t>
      </w:r>
    </w:p>
    <w:p w14:paraId="50F29127" w14:textId="77777777" w:rsidR="008A2B94" w:rsidRDefault="00000000">
      <w:pPr>
        <w:pStyle w:val="Heading1"/>
      </w:pPr>
      <w:r>
        <w:t>2. Information Flow</w:t>
      </w:r>
    </w:p>
    <w:p w14:paraId="04B7709E" w14:textId="77777777" w:rsidR="008A2B94" w:rsidRDefault="00000000">
      <w:r>
        <w:t>Project information typically originates from:</w:t>
      </w:r>
      <w:r>
        <w:br/>
        <w:t>• Web form submissions (customer details, basic scope)</w:t>
      </w:r>
      <w:r>
        <w:br/>
        <w:t>• Email communications and attachments</w:t>
      </w:r>
      <w:r>
        <w:br/>
        <w:t>• Architectural drawings and PDFs</w:t>
      </w:r>
      <w:r>
        <w:br/>
        <w:t>• Estimator discussions with customers</w:t>
      </w:r>
      <w:r>
        <w:br/>
      </w:r>
      <w:r>
        <w:br/>
        <w:t>This information is stored across systems such as email, CRM, and project folders. Estimators manually consolidate and interpret this information during the estimation process.</w:t>
      </w:r>
    </w:p>
    <w:p w14:paraId="0C682303" w14:textId="77777777" w:rsidR="008A2B94" w:rsidRDefault="00000000">
      <w:pPr>
        <w:pStyle w:val="Heading1"/>
      </w:pPr>
      <w:r>
        <w:t>3. Drawing Interpretation &amp; Requirement Understanding</w:t>
      </w:r>
    </w:p>
    <w:p w14:paraId="1213D3C1" w14:textId="77777777" w:rsidR="008A2B94" w:rsidRDefault="00000000">
      <w:r>
        <w:t>Estimators review drawings and documents to determine:</w:t>
      </w:r>
      <w:r>
        <w:br/>
        <w:t>• Opening dimensions</w:t>
      </w:r>
      <w:r>
        <w:br/>
        <w:t>• Interior vs exterior classification</w:t>
      </w:r>
      <w:r>
        <w:br/>
        <w:t>• System type (floor, skylight, etc.)</w:t>
      </w:r>
      <w:r>
        <w:br/>
        <w:t>• Additional scope elements (stairs, railing, custom features)</w:t>
      </w:r>
      <w:r>
        <w:br/>
      </w:r>
      <w:r>
        <w:br/>
        <w:t>This step requires interpretation of visual data and contextual understanding of the project.</w:t>
      </w:r>
    </w:p>
    <w:p w14:paraId="1DAF464B" w14:textId="77777777" w:rsidR="008A2B94" w:rsidRDefault="00000000">
      <w:pPr>
        <w:pStyle w:val="Heading1"/>
      </w:pPr>
      <w:r>
        <w:lastRenderedPageBreak/>
        <w:t>4. Configuration Decision Layer</w:t>
      </w:r>
    </w:p>
    <w:p w14:paraId="6828610B" w14:textId="77777777" w:rsidR="008A2B94" w:rsidRDefault="00000000">
      <w:r>
        <w:t>Based on inputs, estimators make key decisions that drive the entire proposal:</w:t>
      </w:r>
      <w:r>
        <w:br/>
      </w:r>
      <w:r>
        <w:br/>
        <w:t>• Glass type (insulated vs non-insulated)</w:t>
      </w:r>
      <w:r>
        <w:br/>
        <w:t>• Frame type selection</w:t>
      </w:r>
      <w:r>
        <w:br/>
        <w:t>• Engineering requirements</w:t>
      </w:r>
      <w:r>
        <w:br/>
        <w:t>• Panel layout configuration</w:t>
      </w:r>
      <w:r>
        <w:br/>
        <w:t>• Inclusion/exclusion of components</w:t>
      </w:r>
      <w:r>
        <w:br/>
      </w:r>
      <w:r>
        <w:br/>
        <w:t>These decisions are currently based on estimator expertise and are reflected as selections (Yes/No) in the estimation workbook.</w:t>
      </w:r>
      <w:r>
        <w:br/>
      </w:r>
      <w:r>
        <w:br/>
        <w:t>Capturing this decision logic is critical for enabling consistency and scalability.</w:t>
      </w:r>
    </w:p>
    <w:p w14:paraId="701FCCDE" w14:textId="77777777" w:rsidR="008A2B94" w:rsidRDefault="00000000">
      <w:pPr>
        <w:pStyle w:val="Heading1"/>
      </w:pPr>
      <w:r>
        <w:t>5. Dimension &amp; Layout Determination</w:t>
      </w:r>
    </w:p>
    <w:p w14:paraId="0F0353BE" w14:textId="77777777" w:rsidR="008A2B94" w:rsidRDefault="00000000">
      <w:r>
        <w:t>Estimators define:</w:t>
      </w:r>
      <w:r>
        <w:br/>
        <w:t>• Overall dimensions of the opening</w:t>
      </w:r>
      <w:r>
        <w:br/>
        <w:t>• Panel layout (e.g., 3×4 configuration)</w:t>
      </w:r>
      <w:r>
        <w:br/>
        <w:t>• Number of panels required</w:t>
      </w:r>
      <w:r>
        <w:br/>
      </w:r>
      <w:r>
        <w:br/>
        <w:t>This is based on:</w:t>
      </w:r>
      <w:r>
        <w:br/>
        <w:t>• Engineering guidelines</w:t>
      </w:r>
      <w:r>
        <w:br/>
        <w:t>• Load charts and panel size constraints</w:t>
      </w:r>
      <w:r>
        <w:br/>
        <w:t>• Customer preferences and installation considerations</w:t>
      </w:r>
    </w:p>
    <w:p w14:paraId="0DB05381" w14:textId="77777777" w:rsidR="008A2B94" w:rsidRDefault="00000000">
      <w:pPr>
        <w:pStyle w:val="Heading1"/>
      </w:pPr>
      <w:r>
        <w:t>6. Estimation Workbook Process</w:t>
      </w:r>
    </w:p>
    <w:p w14:paraId="4080272C" w14:textId="77777777" w:rsidR="008A2B94" w:rsidRDefault="00000000">
      <w:r>
        <w:t>The Excel workbook acts as the calculation engine:</w:t>
      </w:r>
      <w:r>
        <w:br/>
      </w:r>
      <w:r>
        <w:br/>
        <w:t>Step 1: Input base parameters</w:t>
      </w:r>
      <w:r>
        <w:br/>
        <w:t>• Dimensions</w:t>
      </w:r>
      <w:r>
        <w:br/>
        <w:t>• Panel layout</w:t>
      </w:r>
      <w:r>
        <w:br/>
        <w:t>• Quantity of units</w:t>
      </w:r>
      <w:r>
        <w:br/>
      </w:r>
      <w:r>
        <w:br/>
        <w:t>Step 2: Select system components</w:t>
      </w:r>
      <w:r>
        <w:br/>
        <w:t>• Glass options</w:t>
      </w:r>
      <w:r>
        <w:br/>
        <w:t>• Frame types</w:t>
      </w:r>
      <w:r>
        <w:br/>
        <w:t>• Additional components (Yes/No selections)</w:t>
      </w:r>
      <w:r>
        <w:br/>
      </w:r>
      <w:r>
        <w:br/>
        <w:t>Step 3: Automatic calculations</w:t>
      </w:r>
      <w:r>
        <w:br/>
        <w:t>• Area and linear measurements</w:t>
      </w:r>
      <w:r>
        <w:br/>
        <w:t>• Material quantities</w:t>
      </w:r>
      <w:r>
        <w:br/>
      </w:r>
      <w:r>
        <w:lastRenderedPageBreak/>
        <w:t>• Pricing calculations</w:t>
      </w:r>
      <w:r>
        <w:br/>
      </w:r>
      <w:r>
        <w:br/>
        <w:t>Step 4: Limited manual inputs</w:t>
      </w:r>
      <w:r>
        <w:br/>
        <w:t>• Man hours</w:t>
      </w:r>
      <w:r>
        <w:br/>
        <w:t>• Packaging</w:t>
      </w:r>
      <w:r>
        <w:br/>
        <w:t>• Special adjustments</w:t>
      </w:r>
      <w:r>
        <w:br/>
      </w:r>
      <w:r>
        <w:br/>
        <w:t>The majority of calculations are standardized and formula-driven.</w:t>
      </w:r>
    </w:p>
    <w:p w14:paraId="0F6B9C61" w14:textId="77777777" w:rsidR="008A2B94" w:rsidRDefault="00000000">
      <w:pPr>
        <w:pStyle w:val="Heading1"/>
      </w:pPr>
      <w:r>
        <w:t>7. Pricing Structure</w:t>
      </w:r>
    </w:p>
    <w:p w14:paraId="2E5ADD1A" w14:textId="77777777" w:rsidR="008A2B94" w:rsidRDefault="00000000">
      <w:r>
        <w:t>Pricing is based on approximately 60 unit items:</w:t>
      </w:r>
      <w:r>
        <w:br/>
        <w:t>• Glass priced per square foot</w:t>
      </w:r>
      <w:r>
        <w:br/>
        <w:t>• Frame components priced per linear foot</w:t>
      </w:r>
      <w:r>
        <w:br/>
      </w:r>
      <w:r>
        <w:br/>
        <w:t>Unit prices are periodically updated. Proposal revisions reflect current pricing where applicable.</w:t>
      </w:r>
      <w:r>
        <w:br/>
      </w:r>
      <w:r>
        <w:br/>
        <w:t>This structured pricing approach enables consistent and repeatable cost calculations.</w:t>
      </w:r>
    </w:p>
    <w:p w14:paraId="6EE0FA32" w14:textId="77777777" w:rsidR="008A2B94" w:rsidRDefault="00000000">
      <w:pPr>
        <w:pStyle w:val="Heading1"/>
      </w:pPr>
      <w:r>
        <w:t>8. Proposal Generation</w:t>
      </w:r>
    </w:p>
    <w:p w14:paraId="47EB4281" w14:textId="77777777" w:rsidR="008A2B94" w:rsidRDefault="00000000">
      <w:r>
        <w:t>The estimation workbook drives the final proposal:</w:t>
      </w:r>
      <w:r>
        <w:br/>
      </w:r>
      <w:r>
        <w:br/>
        <w:t>• Selected components determine line items</w:t>
      </w:r>
      <w:r>
        <w:br/>
        <w:t>• Configuration selections drive descriptive text</w:t>
      </w:r>
      <w:r>
        <w:br/>
        <w:t>• Pricing is automatically aggregated</w:t>
      </w:r>
      <w:r>
        <w:br/>
      </w:r>
      <w:r>
        <w:br/>
        <w:t>The final output is a PDF proposal shared with the customer.</w:t>
      </w:r>
    </w:p>
    <w:p w14:paraId="27632FBF" w14:textId="77777777" w:rsidR="008A2B94" w:rsidRDefault="00000000">
      <w:pPr>
        <w:pStyle w:val="Heading1"/>
      </w:pPr>
      <w:r>
        <w:t>9. Review &amp; Approval Process</w:t>
      </w:r>
    </w:p>
    <w:p w14:paraId="232B86E8" w14:textId="77777777" w:rsidR="008A2B94" w:rsidRDefault="00000000">
      <w:r>
        <w:t>All proposals are reviewed by estimators before being finalized.</w:t>
      </w:r>
      <w:r>
        <w:br/>
      </w:r>
      <w:r>
        <w:br/>
        <w:t>Approval thresholds:</w:t>
      </w:r>
      <w:r>
        <w:br/>
        <w:t>• Below threshold (e.g., $50K): internal estimator/sales review</w:t>
      </w:r>
      <w:r>
        <w:br/>
        <w:t>• Above threshold: additional management review</w:t>
      </w:r>
      <w:r>
        <w:br/>
      </w:r>
      <w:r>
        <w:br/>
        <w:t>In early stages of automation, all AI-assisted proposals will be reviewed to ensure accuracy and consistency.</w:t>
      </w:r>
    </w:p>
    <w:p w14:paraId="57E347EC" w14:textId="77777777" w:rsidR="008A2B94" w:rsidRDefault="00000000">
      <w:pPr>
        <w:pStyle w:val="Heading1"/>
      </w:pPr>
      <w:r>
        <w:lastRenderedPageBreak/>
        <w:t>10. Project Complexity Handling</w:t>
      </w:r>
    </w:p>
    <w:p w14:paraId="454B1A2D" w14:textId="77777777" w:rsidR="008A2B94" w:rsidRDefault="00000000">
      <w:r>
        <w:t>Projects vary in complexity:</w:t>
      </w:r>
      <w:r>
        <w:br/>
      </w:r>
      <w:r>
        <w:br/>
        <w:t>• Simple projects: standardized and repeatable</w:t>
      </w:r>
      <w:r>
        <w:br/>
        <w:t>• Medium projects: require partial customization</w:t>
      </w:r>
      <w:r>
        <w:br/>
        <w:t>• Complex projects: require significant interpretation and engineering input</w:t>
      </w:r>
      <w:r>
        <w:br/>
      </w:r>
      <w:r>
        <w:br/>
        <w:t>Initial automation will focus on simple projects, with gradual expansion to more complex scenarios based on learning and feedback.</w:t>
      </w:r>
    </w:p>
    <w:p w14:paraId="6D380A56" w14:textId="77777777" w:rsidR="008A2B94" w:rsidRDefault="00000000">
      <w:pPr>
        <w:pStyle w:val="Heading1"/>
      </w:pPr>
      <w:r>
        <w:t>11. Key Observations</w:t>
      </w:r>
    </w:p>
    <w:p w14:paraId="19F164DA" w14:textId="77777777" w:rsidR="008A2B94" w:rsidRDefault="00000000">
      <w:r>
        <w:t>• Information is distributed across multiple channels</w:t>
      </w:r>
      <w:r>
        <w:br/>
        <w:t>• Estimation combines structured calculations with expert judgment</w:t>
      </w:r>
      <w:r>
        <w:br/>
        <w:t>• Majority of calculations are deterministic and repeatable</w:t>
      </w:r>
      <w:r>
        <w:br/>
        <w:t>• Decision-making logic is currently implicit and experience-driven</w:t>
      </w:r>
      <w:r>
        <w:br/>
      </w:r>
      <w:r>
        <w:br/>
        <w:t>These observations indicate strong potential for structured automation supported by AI.</w:t>
      </w:r>
    </w:p>
    <w:p w14:paraId="5CB6D057" w14:textId="77777777" w:rsidR="008A2B94" w:rsidRDefault="00000000">
      <w:pPr>
        <w:pStyle w:val="Heading1"/>
      </w:pPr>
      <w:r>
        <w:t>12. Future AI-Enabled Workflow (To-Be)</w:t>
      </w:r>
    </w:p>
    <w:p w14:paraId="6C638EF1" w14:textId="77777777" w:rsidR="008A2B94" w:rsidRDefault="00000000">
      <w:r>
        <w:t>The proposed AI-assisted workflow will include:</w:t>
      </w:r>
      <w:r>
        <w:br/>
      </w:r>
      <w:r>
        <w:br/>
        <w:t>Step 1: Automated ingestion of project data</w:t>
      </w:r>
      <w:r>
        <w:br/>
        <w:t>Step 2: AI-assisted extraction of parameters from documents and communications</w:t>
      </w:r>
      <w:r>
        <w:br/>
        <w:t>Step 3: Application of configuration rules to determine system selections</w:t>
      </w:r>
      <w:r>
        <w:br/>
        <w:t>Step 4: Automated calculation of quantities and pricing</w:t>
      </w:r>
      <w:r>
        <w:br/>
        <w:t>Step 5: Generation of draft proposals</w:t>
      </w:r>
      <w:r>
        <w:br/>
        <w:t>Step 6: Estimator validation and refinement</w:t>
      </w:r>
      <w:r>
        <w:br/>
        <w:t>Step 7: Continuous learning from estimator feedback</w:t>
      </w:r>
      <w:r>
        <w:br/>
      </w:r>
      <w:r>
        <w:br/>
        <w:t>This approach ensures that estimator expertise remains central while significantly improving efficiency and consistency.</w:t>
      </w:r>
    </w:p>
    <w:p w14:paraId="426F9EA0" w14:textId="77777777" w:rsidR="008A2B94" w:rsidRDefault="00000000">
      <w:pPr>
        <w:pStyle w:val="Heading1"/>
      </w:pPr>
      <w:r>
        <w:t>13. Value to GFS</w:t>
      </w:r>
    </w:p>
    <w:p w14:paraId="4F252954" w14:textId="77777777" w:rsidR="008A2B94" w:rsidRDefault="00000000">
      <w:r>
        <w:t>• Reduced proposal preparation time</w:t>
      </w:r>
      <w:r>
        <w:br/>
        <w:t>• Improved consistency across estimators</w:t>
      </w:r>
      <w:r>
        <w:br/>
        <w:t>• Better utilization of estimator expertise</w:t>
      </w:r>
      <w:r>
        <w:br/>
        <w:t>• Structured capture of project knowledge</w:t>
      </w:r>
      <w:r>
        <w:br/>
        <w:t>• Scalable estimation process for future growth</w:t>
      </w:r>
    </w:p>
    <w:p w14:paraId="4B9FC7C3" w14:textId="78DBB28D" w:rsidR="00E56237" w:rsidRDefault="00E56237" w:rsidP="00E56237">
      <w:pPr>
        <w:jc w:val="center"/>
      </w:pPr>
      <w:r>
        <w:t>---***---</w:t>
      </w:r>
    </w:p>
    <w:sectPr w:rsidR="00E56237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0C413" w14:textId="77777777" w:rsidR="00672C45" w:rsidRDefault="00672C45" w:rsidP="00E56237">
      <w:pPr>
        <w:spacing w:after="0" w:line="240" w:lineRule="auto"/>
      </w:pPr>
      <w:r>
        <w:separator/>
      </w:r>
    </w:p>
  </w:endnote>
  <w:endnote w:type="continuationSeparator" w:id="0">
    <w:p w14:paraId="43EDAC27" w14:textId="77777777" w:rsidR="00672C45" w:rsidRDefault="00672C45" w:rsidP="00E56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15"/>
      <w:gridCol w:w="4315"/>
    </w:tblGrid>
    <w:tr w:rsidR="00E56237" w:rsidRPr="00E56237" w14:paraId="717F5EB3" w14:textId="77777777" w:rsidTr="00E56237">
      <w:tc>
        <w:tcPr>
          <w:tcW w:w="4315" w:type="dxa"/>
        </w:tcPr>
        <w:p w14:paraId="6E0AC6BB" w14:textId="77777777" w:rsidR="00E56237" w:rsidRDefault="00E56237">
          <w:pPr>
            <w:pStyle w:val="Footer"/>
            <w:rPr>
              <w:rFonts w:asciiTheme="majorHAnsi" w:hAnsiTheme="majorHAnsi" w:cstheme="majorHAnsi"/>
              <w:sz w:val="20"/>
              <w:szCs w:val="20"/>
            </w:rPr>
          </w:pPr>
          <w:r w:rsidRPr="00E56237">
            <w:rPr>
              <w:rFonts w:asciiTheme="majorHAnsi" w:hAnsiTheme="majorHAnsi" w:cstheme="majorHAnsi"/>
              <w:sz w:val="20"/>
              <w:szCs w:val="20"/>
            </w:rPr>
            <w:t>AmberFlux – GFS Confidential</w:t>
          </w:r>
        </w:p>
        <w:p w14:paraId="39354849" w14:textId="4CC69CF6" w:rsidR="00E56237" w:rsidRPr="00E56237" w:rsidRDefault="00E56237">
          <w:pPr>
            <w:pStyle w:val="Footer"/>
            <w:rPr>
              <w:rFonts w:asciiTheme="majorHAnsi" w:hAnsiTheme="majorHAnsi" w:cstheme="majorHAnsi"/>
              <w:sz w:val="20"/>
              <w:szCs w:val="20"/>
            </w:rPr>
          </w:pPr>
          <w:r w:rsidRPr="00E56237">
            <w:rPr>
              <w:rFonts w:asciiTheme="majorHAnsi" w:hAnsiTheme="majorHAnsi" w:cstheme="majorHAnsi"/>
              <w:sz w:val="20"/>
              <w:szCs w:val="20"/>
            </w:rPr>
            <w:t>SOW Ref: AFEAI-GFS-SOW001-2026</w:t>
          </w:r>
        </w:p>
      </w:tc>
      <w:tc>
        <w:tcPr>
          <w:tcW w:w="4315" w:type="dxa"/>
        </w:tcPr>
        <w:p w14:paraId="4C22E386" w14:textId="13CD7F39" w:rsidR="00E56237" w:rsidRPr="00E56237" w:rsidRDefault="00E56237" w:rsidP="00E56237">
          <w:pPr>
            <w:pStyle w:val="Footer"/>
            <w:jc w:val="right"/>
            <w:rPr>
              <w:rFonts w:asciiTheme="majorHAnsi" w:hAnsiTheme="majorHAnsi" w:cstheme="majorHAnsi"/>
              <w:sz w:val="20"/>
              <w:szCs w:val="20"/>
            </w:rPr>
          </w:pPr>
          <w:r w:rsidRPr="00E56237">
            <w:rPr>
              <w:rFonts w:asciiTheme="majorHAnsi" w:hAnsiTheme="majorHAnsi" w:cstheme="majorHAnsi"/>
              <w:sz w:val="20"/>
              <w:szCs w:val="20"/>
            </w:rPr>
            <w:t xml:space="preserve">Page </w:t>
          </w:r>
          <w:r w:rsidRPr="00E56237">
            <w:rPr>
              <w:rFonts w:asciiTheme="majorHAnsi" w:hAnsiTheme="majorHAnsi" w:cstheme="majorHAnsi"/>
              <w:sz w:val="20"/>
              <w:szCs w:val="20"/>
            </w:rPr>
            <w:fldChar w:fldCharType="begin"/>
          </w:r>
          <w:r w:rsidRPr="00E56237">
            <w:rPr>
              <w:rFonts w:asciiTheme="majorHAnsi" w:hAnsiTheme="majorHAnsi" w:cstheme="majorHAnsi"/>
              <w:sz w:val="20"/>
              <w:szCs w:val="20"/>
            </w:rPr>
            <w:instrText xml:space="preserve"> PAGE </w:instrText>
          </w:r>
          <w:r w:rsidRPr="00E56237">
            <w:rPr>
              <w:rFonts w:asciiTheme="majorHAnsi" w:hAnsiTheme="majorHAnsi" w:cstheme="majorHAnsi"/>
              <w:sz w:val="20"/>
              <w:szCs w:val="20"/>
            </w:rPr>
            <w:fldChar w:fldCharType="separate"/>
          </w:r>
          <w:r w:rsidRPr="00E56237">
            <w:rPr>
              <w:rFonts w:asciiTheme="majorHAnsi" w:hAnsiTheme="majorHAnsi" w:cstheme="majorHAnsi"/>
              <w:noProof/>
              <w:sz w:val="20"/>
              <w:szCs w:val="20"/>
            </w:rPr>
            <w:t>4</w:t>
          </w:r>
          <w:r w:rsidRPr="00E56237">
            <w:rPr>
              <w:rFonts w:asciiTheme="majorHAnsi" w:hAnsiTheme="majorHAnsi" w:cstheme="majorHAnsi"/>
              <w:sz w:val="20"/>
              <w:szCs w:val="20"/>
            </w:rPr>
            <w:fldChar w:fldCharType="end"/>
          </w:r>
          <w:r w:rsidRPr="00E56237">
            <w:rPr>
              <w:rFonts w:asciiTheme="majorHAnsi" w:hAnsiTheme="majorHAnsi" w:cstheme="majorHAnsi"/>
              <w:sz w:val="20"/>
              <w:szCs w:val="20"/>
            </w:rPr>
            <w:t xml:space="preserve"> of </w:t>
          </w:r>
          <w:r w:rsidRPr="00E56237">
            <w:rPr>
              <w:rFonts w:asciiTheme="majorHAnsi" w:hAnsiTheme="majorHAnsi" w:cstheme="majorHAnsi"/>
              <w:sz w:val="20"/>
              <w:szCs w:val="20"/>
            </w:rPr>
            <w:fldChar w:fldCharType="begin"/>
          </w:r>
          <w:r w:rsidRPr="00E56237">
            <w:rPr>
              <w:rFonts w:asciiTheme="majorHAnsi" w:hAnsiTheme="majorHAnsi" w:cstheme="majorHAnsi"/>
              <w:sz w:val="20"/>
              <w:szCs w:val="20"/>
            </w:rPr>
            <w:instrText xml:space="preserve"> NUMPAGES </w:instrText>
          </w:r>
          <w:r w:rsidRPr="00E56237">
            <w:rPr>
              <w:rFonts w:asciiTheme="majorHAnsi" w:hAnsiTheme="majorHAnsi" w:cstheme="majorHAnsi"/>
              <w:sz w:val="20"/>
              <w:szCs w:val="20"/>
            </w:rPr>
            <w:fldChar w:fldCharType="separate"/>
          </w:r>
          <w:r w:rsidRPr="00E56237">
            <w:rPr>
              <w:rFonts w:asciiTheme="majorHAnsi" w:hAnsiTheme="majorHAnsi" w:cstheme="majorHAnsi"/>
              <w:noProof/>
              <w:sz w:val="20"/>
              <w:szCs w:val="20"/>
            </w:rPr>
            <w:t>4</w:t>
          </w:r>
          <w:r w:rsidRPr="00E56237">
            <w:rPr>
              <w:rFonts w:asciiTheme="majorHAnsi" w:hAnsiTheme="majorHAnsi" w:cstheme="majorHAnsi"/>
              <w:sz w:val="20"/>
              <w:szCs w:val="20"/>
            </w:rPr>
            <w:fldChar w:fldCharType="end"/>
          </w:r>
        </w:p>
      </w:tc>
    </w:tr>
  </w:tbl>
  <w:p w14:paraId="6FD63DBA" w14:textId="77777777" w:rsidR="00E56237" w:rsidRDefault="00E56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AB19" w14:textId="77777777" w:rsidR="00672C45" w:rsidRDefault="00672C45" w:rsidP="00E56237">
      <w:pPr>
        <w:spacing w:after="0" w:line="240" w:lineRule="auto"/>
      </w:pPr>
      <w:r>
        <w:separator/>
      </w:r>
    </w:p>
  </w:footnote>
  <w:footnote w:type="continuationSeparator" w:id="0">
    <w:p w14:paraId="21365B7F" w14:textId="77777777" w:rsidR="00672C45" w:rsidRDefault="00672C45" w:rsidP="00E56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6A92" w14:textId="2A5BBA69" w:rsidR="00E56237" w:rsidRDefault="00E56237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229597">
    <w:abstractNumId w:val="8"/>
  </w:num>
  <w:num w:numId="2" w16cid:durableId="959455083">
    <w:abstractNumId w:val="6"/>
  </w:num>
  <w:num w:numId="3" w16cid:durableId="1947076775">
    <w:abstractNumId w:val="5"/>
  </w:num>
  <w:num w:numId="4" w16cid:durableId="1104569241">
    <w:abstractNumId w:val="4"/>
  </w:num>
  <w:num w:numId="5" w16cid:durableId="2090803537">
    <w:abstractNumId w:val="7"/>
  </w:num>
  <w:num w:numId="6" w16cid:durableId="80495525">
    <w:abstractNumId w:val="3"/>
  </w:num>
  <w:num w:numId="7" w16cid:durableId="842164784">
    <w:abstractNumId w:val="2"/>
  </w:num>
  <w:num w:numId="8" w16cid:durableId="1497109646">
    <w:abstractNumId w:val="1"/>
  </w:num>
  <w:num w:numId="9" w16cid:durableId="178874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5DA3"/>
    <w:rsid w:val="00326F90"/>
    <w:rsid w:val="00672C45"/>
    <w:rsid w:val="008A2B94"/>
    <w:rsid w:val="00AA1D8D"/>
    <w:rsid w:val="00B47730"/>
    <w:rsid w:val="00CB0664"/>
    <w:rsid w:val="00E56237"/>
    <w:rsid w:val="00ED5B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03E6F"/>
  <w14:defaultImageDpi w14:val="300"/>
  <w15:docId w15:val="{DEC8631C-9639-5741-96EB-88E475ED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659</Words>
  <Characters>4522</Characters>
  <Application>Microsoft Office Word</Application>
  <DocSecurity>0</DocSecurity>
  <Lines>141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Manogna Goparaju</cp:lastModifiedBy>
  <cp:revision>3</cp:revision>
  <dcterms:created xsi:type="dcterms:W3CDTF">2026-04-23T06:49:00Z</dcterms:created>
  <dcterms:modified xsi:type="dcterms:W3CDTF">2026-04-23T06:53:00Z</dcterms:modified>
  <cp:category/>
</cp:coreProperties>
</file>