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竞品分析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一、背景与目标</w:t>
      </w:r>
      <w:bookmarkEnd w:id="0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描述本次分析的背景和目标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" w:id="1"/>
      <w:r>
        <w:rPr>
          <w:rFonts w:eastAsia="等线" w:ascii="Arial" w:cs="Arial" w:hAnsi="Arial"/>
          <w:b w:val="true"/>
          <w:sz w:val="36"/>
        </w:rPr>
        <w:t>二、结论与建议</w:t>
      </w:r>
      <w:bookmarkEnd w:id="1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提炼和整理本次分析的结论与建议，方便读者快速浏览和学习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2.1 启发点</w:t>
      </w:r>
      <w:bookmarkEnd w:id="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描述竞品的优点及带来的启发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930"/>
        <w:gridCol w:w="1425"/>
        <w:gridCol w:w="2955"/>
        <w:gridCol w:w="2970"/>
      </w:tblGrid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领域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分类</w:t>
            </w: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竞品的优点</w:t>
            </w: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启发点</w:t>
            </w: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定位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9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</w:tc>
        <w:tc>
          <w:tcPr>
            <w:tcW w:w="142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95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97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2.2 机会点</w:t>
      </w:r>
      <w:bookmarkEnd w:id="3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描述竞品的缺点和己方产品的机会</w:t>
            </w:r>
          </w:p>
        </w:tc>
      </w:tr>
    </w:tbl>
    <w:p/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005"/>
        <w:gridCol w:w="1305"/>
        <w:gridCol w:w="2985"/>
        <w:gridCol w:w="2985"/>
      </w:tblGrid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领域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分类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竞品的缺点</w:t>
            </w: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b w:val="true"/>
                <w:sz w:val="22"/>
              </w:rPr>
              <w:t>机会点</w:t>
            </w: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产品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技术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  <w:tr>
        <w:tc>
          <w:tcPr>
            <w:tcW w:w="10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</w:tc>
        <w:tc>
          <w:tcPr>
            <w:tcW w:w="130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  <w:tc>
          <w:tcPr>
            <w:tcW w:w="2985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center"/>
            </w:pPr>
          </w:p>
        </w:tc>
      </w:tr>
    </w:tbl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" w:id="4"/>
      <w:r>
        <w:rPr>
          <w:rFonts w:eastAsia="等线" w:ascii="Arial" w:cs="Arial" w:hAnsi="Arial"/>
          <w:b w:val="true"/>
          <w:sz w:val="36"/>
        </w:rPr>
        <w:t>三、产品定位分析</w:t>
      </w:r>
      <w:bookmarkEnd w:id="4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描述竞品的定位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" w:id="5"/>
      <w:r>
        <w:rPr>
          <w:rFonts w:eastAsia="等线" w:ascii="Arial" w:cs="Arial" w:hAnsi="Arial"/>
          <w:b w:val="true"/>
          <w:sz w:val="32"/>
        </w:rPr>
        <w:t>3.1 产品宣传口号</w:t>
      </w:r>
      <w:bookmarkEnd w:id="5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6" w:id="6"/>
      <w:r>
        <w:rPr>
          <w:rFonts w:eastAsia="等线" w:ascii="Arial" w:cs="Arial" w:hAnsi="Arial"/>
          <w:b w:val="true"/>
          <w:sz w:val="32"/>
        </w:rPr>
        <w:t>3.2 用户及市场定位</w:t>
      </w:r>
      <w:bookmarkEnd w:id="6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7" w:id="7"/>
      <w:r>
        <w:rPr>
          <w:rFonts w:eastAsia="等线" w:ascii="Arial" w:cs="Arial" w:hAnsi="Arial"/>
          <w:b w:val="true"/>
          <w:sz w:val="36"/>
        </w:rPr>
        <w:t>四、商业策略分析</w:t>
      </w:r>
      <w:bookmarkEnd w:id="7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分析竞品的核心商业策略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8" w:id="8"/>
      <w:r>
        <w:rPr>
          <w:rFonts w:eastAsia="等线" w:ascii="Arial" w:cs="Arial" w:hAnsi="Arial"/>
          <w:b w:val="true"/>
          <w:sz w:val="36"/>
        </w:rPr>
        <w:t>五、产品设计分析</w:t>
      </w:r>
      <w:bookmarkEnd w:id="8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从多个维度对竞品进行分析和总结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5.1 产品概览</w:t>
      </w:r>
      <w:bookmarkEnd w:id="9"/>
    </w:p>
    <w:tbl>
      <w:tblPr>
        <w:tblW w:w="0" w:type="auto"/>
        <w:tblInd w:w="0" w:type="dxa"/>
        <w:tblBorders>
          <w:top w:val="single" w:color="dee0e3"/>
          <w:left w:val="single" w:color="dee0e3"/>
          <w:bottom w:val="single" w:color="dee0e3"/>
          <w:right w:val="single" w:color="dee0e3"/>
          <w:insideH w:val="single" w:color="dee0e3"/>
          <w:insideV w:val="single" w:color="dee0e3"/>
        </w:tblBorders>
        <w:tblLayout w:type="fixed"/>
      </w:tblPr>
      <w:tblGrid>
        <w:gridCol w:w="1230"/>
        <w:gridCol w:w="7050"/>
      </w:tblGrid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网页端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Safari、Firefox 等主流浏览器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电脑客户端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Windows 和 macOS 客户端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移动端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支持 iOS 和 Android 客户端</w:t>
            </w:r>
          </w:p>
        </w:tc>
      </w:tr>
      <w:tr>
        <w:tc>
          <w:tcPr>
            <w:tcW w:w="123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其他</w:t>
            </w:r>
          </w:p>
        </w:tc>
        <w:tc>
          <w:tcPr>
            <w:tcW w:w="7050" w:type="dxa"/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暂不支持 Linux 客户端</w:t>
            </w:r>
          </w:p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sz w:val="22"/>
              </w:rPr>
              <w:t>......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0" w:id="10"/>
      <w:r>
        <w:rPr>
          <w:rFonts w:eastAsia="等线" w:ascii="Arial" w:cs="Arial" w:hAnsi="Arial"/>
          <w:b w:val="true"/>
          <w:sz w:val="32"/>
        </w:rPr>
        <w:t>5.2 产品功能</w:t>
      </w:r>
      <w:bookmarkEnd w:id="10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5.3 交互 &amp; 视觉</w:t>
      </w:r>
      <w:bookmarkEnd w:id="11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2" w:id="12"/>
      <w:r>
        <w:rPr>
          <w:rFonts w:eastAsia="等线" w:ascii="Arial" w:cs="Arial" w:hAnsi="Arial"/>
          <w:b w:val="true"/>
          <w:sz w:val="36"/>
        </w:rPr>
        <w:t>六、产品数据分析</w:t>
      </w:r>
      <w:bookmarkEnd w:id="12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分析竞品用户增长的相关数据</w:t>
            </w:r>
          </w:p>
        </w:tc>
      </w:tr>
    </w:tbl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6.1 整体数据增长</w:t>
      </w:r>
      <w:bookmarkEnd w:id="13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4" w:id="14"/>
      <w:r>
        <w:rPr>
          <w:rFonts w:eastAsia="等线" w:ascii="Arial" w:cs="Arial" w:hAnsi="Arial"/>
          <w:b w:val="true"/>
          <w:sz w:val="32"/>
        </w:rPr>
        <w:t>6.2 关键增长点</w:t>
      </w:r>
      <w:bookmarkEnd w:id="14"/>
    </w:p>
    <w:p>
      <w:pPr>
        <w:spacing w:before="120" w:after="120" w:line="288" w:lineRule="auto"/>
        <w:ind w:left="0"/>
        <w:jc w:val="left"/>
      </w:pP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6.3 增长总结</w:t>
      </w:r>
      <w:bookmarkEnd w:id="15"/>
    </w:p>
    <w:p>
      <w:pPr>
        <w:spacing w:before="120" w:after="120" w:line="288" w:lineRule="auto"/>
        <w:ind w:left="0"/>
        <w:jc w:val="left"/>
      </w:pP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6" w:id="16"/>
      <w:r>
        <w:rPr>
          <w:rFonts w:eastAsia="等线" w:ascii="Arial" w:cs="Arial" w:hAnsi="Arial"/>
          <w:b w:val="true"/>
          <w:sz w:val="36"/>
        </w:rPr>
        <w:t>七、 用户反馈分析</w:t>
      </w:r>
      <w:bookmarkEnd w:id="16"/>
    </w:p>
    <w:tbl>
      <w:tblPr>
        <w:tblW w:w="0" w:type="auto"/>
        <w:tblInd w:w="0" w:type="dxa"/>
        <w:tblBorders>
          <w:top w:val="single"/>
          <w:left w:val="single"/>
          <w:bottom w:val="single"/>
          <w:right w:val="single"/>
          <w:insideH w:val="single"/>
          <w:insideV w:val="single"/>
        </w:tblBorders>
        <w:tblLayout w:type="fixed"/>
      </w:tblPr>
      <w:tblGrid>
        <w:gridCol w:w="8280"/>
      </w:tblGrid>
      <w:tr>
        <w:tc>
          <w:tcPr>
            <w:tcW w:w="8280" w:type="dxa"/>
            <w:tcBorders>
              <w:top w:val="nil"/>
              <w:left w:sz="18" w:val="single" w:color="BBBFC4"/>
              <w:bottom w:val="nil"/>
              <w:right w:val="nil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spacing w:before="120" w:after="120" w:line="288" w:lineRule="auto"/>
              <w:ind w:left="0"/>
              <w:jc w:val="left"/>
            </w:pPr>
            <w:r>
              <w:rPr>
                <w:rFonts w:eastAsia="等线" w:ascii="Arial" w:cs="Arial" w:hAnsi="Arial"/>
                <w:color w:val="646a73"/>
                <w:sz w:val="22"/>
              </w:rPr>
              <w:t>从社交媒体、应用商店等渠道，收集并分析竞品的用户反馈</w:t>
            </w:r>
          </w:p>
        </w:tc>
      </w:tr>
    </w:tbl>
    <w:p>
      <w:pPr>
        <w:spacing w:before="120" w:after="120" w:line="288" w:lineRule="auto"/>
        <w:ind w:left="0"/>
        <w:jc w:val="left"/>
      </w:pPr>
    </w:p>
    <w:sectPr>
      <w:footerReference w:type="default" r:id="rId3"/>
      <w:headerReference w:type="default" r:id="rId4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2026-05-15T04:56:04Z</dcterms:created>
  <dc:creator>Apache POI</dc:creator>
</cp:coreProperties>
</file>