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58164A" w14:textId="7B158F73" w:rsidR="001C1C7C" w:rsidRDefault="001C1C7C" w:rsidP="001C1C7C">
      <w:pPr>
        <w:pBdr>
          <w:bottom w:val="single" w:sz="6" w:space="26" w:color="auto"/>
        </w:pBdr>
        <w:jc w:val="center"/>
        <w:rPr>
          <w:i/>
          <w:szCs w:val="28"/>
        </w:rPr>
      </w:pPr>
      <w:r>
        <w:rPr>
          <w:i/>
          <w:szCs w:val="28"/>
        </w:rPr>
        <w:t>Supporting Information for</w:t>
      </w:r>
      <w:r w:rsidR="002636F4">
        <w:rPr>
          <w:i/>
          <w:szCs w:val="28"/>
        </w:rPr>
        <w:t xml:space="preserve"> the</w:t>
      </w:r>
      <w:r>
        <w:rPr>
          <w:i/>
          <w:szCs w:val="28"/>
        </w:rPr>
        <w:t xml:space="preserve"> Journal of Cleaner Production </w:t>
      </w:r>
    </w:p>
    <w:p w14:paraId="6190AAF3" w14:textId="77777777" w:rsidR="001C1C7C" w:rsidRDefault="001C1C7C" w:rsidP="001C1C7C">
      <w:pPr>
        <w:pBdr>
          <w:bottom w:val="single" w:sz="6" w:space="26" w:color="auto"/>
        </w:pBdr>
        <w:jc w:val="center"/>
        <w:rPr>
          <w:rFonts w:asciiTheme="majorHAnsi" w:eastAsiaTheme="majorEastAsia" w:hAnsiTheme="majorHAnsi" w:cstheme="majorBidi"/>
          <w:color w:val="2E74B5" w:themeColor="accent1" w:themeShade="BF"/>
          <w:sz w:val="32"/>
          <w:szCs w:val="32"/>
        </w:rPr>
      </w:pPr>
    </w:p>
    <w:p w14:paraId="544CAA03" w14:textId="1C397C97" w:rsidR="001C1C7C" w:rsidRDefault="001C1C7C" w:rsidP="001C1C7C">
      <w:pPr>
        <w:pBdr>
          <w:bottom w:val="single" w:sz="6" w:space="26" w:color="auto"/>
        </w:pBdr>
        <w:spacing w:after="0"/>
        <w:jc w:val="center"/>
        <w:rPr>
          <w:i/>
          <w:szCs w:val="28"/>
        </w:rPr>
      </w:pPr>
      <w:r w:rsidRPr="001C1C7C">
        <w:rPr>
          <w:rFonts w:asciiTheme="majorHAnsi" w:eastAsiaTheme="majorEastAsia" w:hAnsiTheme="majorHAnsi" w:cstheme="majorBidi"/>
          <w:color w:val="2E74B5" w:themeColor="accent1" w:themeShade="BF"/>
          <w:sz w:val="32"/>
          <w:szCs w:val="32"/>
        </w:rPr>
        <w:t xml:space="preserve">Modelling global material stocks and flows for residential and </w:t>
      </w:r>
      <w:r w:rsidR="00367D0E">
        <w:rPr>
          <w:rFonts w:asciiTheme="majorHAnsi" w:eastAsiaTheme="majorEastAsia" w:hAnsiTheme="majorHAnsi" w:cstheme="majorBidi"/>
          <w:color w:val="2E74B5" w:themeColor="accent1" w:themeShade="BF"/>
          <w:sz w:val="32"/>
          <w:szCs w:val="32"/>
        </w:rPr>
        <w:t>service sector</w:t>
      </w:r>
      <w:r w:rsidR="00367D0E" w:rsidRPr="001C1C7C">
        <w:rPr>
          <w:rFonts w:asciiTheme="majorHAnsi" w:eastAsiaTheme="majorEastAsia" w:hAnsiTheme="majorHAnsi" w:cstheme="majorBidi"/>
          <w:color w:val="2E74B5" w:themeColor="accent1" w:themeShade="BF"/>
          <w:sz w:val="32"/>
          <w:szCs w:val="32"/>
        </w:rPr>
        <w:t xml:space="preserve"> </w:t>
      </w:r>
      <w:r w:rsidRPr="001C1C7C">
        <w:rPr>
          <w:rFonts w:asciiTheme="majorHAnsi" w:eastAsiaTheme="majorEastAsia" w:hAnsiTheme="majorHAnsi" w:cstheme="majorBidi"/>
          <w:color w:val="2E74B5" w:themeColor="accent1" w:themeShade="BF"/>
          <w:sz w:val="32"/>
          <w:szCs w:val="32"/>
        </w:rPr>
        <w:t>buildings towards 2050</w:t>
      </w:r>
    </w:p>
    <w:p w14:paraId="270D739B" w14:textId="77777777" w:rsidR="001C1C7C" w:rsidRPr="006A352B" w:rsidRDefault="001C1C7C" w:rsidP="001C1C7C"/>
    <w:p w14:paraId="2FBE7E63" w14:textId="445BFEFC" w:rsidR="001C1C7C" w:rsidRDefault="001C1C7C" w:rsidP="001C1C7C">
      <w:pPr>
        <w:pStyle w:val="Default"/>
        <w:rPr>
          <w:rFonts w:asciiTheme="minorHAnsi" w:hAnsiTheme="minorHAnsi" w:cstheme="minorBidi"/>
          <w:color w:val="auto"/>
          <w:sz w:val="22"/>
          <w:szCs w:val="22"/>
          <w:vertAlign w:val="superscript"/>
          <w:lang w:val="nl-NL"/>
        </w:rPr>
      </w:pPr>
      <w:r w:rsidRPr="001C1C7C">
        <w:rPr>
          <w:rFonts w:asciiTheme="minorHAnsi" w:hAnsiTheme="minorHAnsi" w:cstheme="minorBidi"/>
          <w:color w:val="auto"/>
          <w:sz w:val="22"/>
          <w:szCs w:val="22"/>
          <w:lang w:val="nl-NL"/>
        </w:rPr>
        <w:t>Sebastiaan Deetman</w:t>
      </w:r>
      <w:r w:rsidRPr="001C1C7C">
        <w:rPr>
          <w:rFonts w:asciiTheme="minorHAnsi" w:hAnsiTheme="minorHAnsi" w:cstheme="minorBidi"/>
          <w:color w:val="auto"/>
          <w:sz w:val="22"/>
          <w:szCs w:val="22"/>
          <w:vertAlign w:val="superscript"/>
          <w:lang w:val="nl-NL"/>
        </w:rPr>
        <w:t>1</w:t>
      </w:r>
      <w:r w:rsidR="00CF4DAF">
        <w:rPr>
          <w:rFonts w:asciiTheme="minorHAnsi" w:hAnsiTheme="minorHAnsi" w:cstheme="minorBidi"/>
          <w:color w:val="auto"/>
          <w:sz w:val="22"/>
          <w:szCs w:val="22"/>
          <w:vertAlign w:val="superscript"/>
          <w:lang w:val="nl-NL"/>
        </w:rPr>
        <w:t>,3</w:t>
      </w:r>
      <w:r w:rsidRPr="001C1C7C">
        <w:rPr>
          <w:rFonts w:asciiTheme="minorHAnsi" w:hAnsiTheme="minorHAnsi" w:cstheme="minorBidi"/>
          <w:color w:val="auto"/>
          <w:sz w:val="22"/>
          <w:szCs w:val="22"/>
          <w:lang w:val="nl-NL"/>
        </w:rPr>
        <w:t>, Sylvia Marinova</w:t>
      </w:r>
      <w:r w:rsidRPr="001C1C7C">
        <w:rPr>
          <w:rFonts w:asciiTheme="minorHAnsi" w:hAnsiTheme="minorHAnsi" w:cstheme="minorBidi"/>
          <w:color w:val="auto"/>
          <w:sz w:val="22"/>
          <w:szCs w:val="22"/>
          <w:vertAlign w:val="superscript"/>
          <w:lang w:val="nl-NL"/>
        </w:rPr>
        <w:t>1</w:t>
      </w:r>
      <w:r w:rsidRPr="001C1C7C">
        <w:rPr>
          <w:rFonts w:asciiTheme="minorHAnsi" w:hAnsiTheme="minorHAnsi" w:cstheme="minorBidi"/>
          <w:color w:val="auto"/>
          <w:sz w:val="22"/>
          <w:szCs w:val="22"/>
          <w:lang w:val="nl-NL"/>
        </w:rPr>
        <w:t>, Ester van der Voet</w:t>
      </w:r>
      <w:r w:rsidRPr="001C1C7C">
        <w:rPr>
          <w:rFonts w:asciiTheme="minorHAnsi" w:hAnsiTheme="minorHAnsi" w:cstheme="minorBidi"/>
          <w:color w:val="auto"/>
          <w:sz w:val="22"/>
          <w:szCs w:val="22"/>
          <w:vertAlign w:val="superscript"/>
          <w:lang w:val="nl-NL"/>
        </w:rPr>
        <w:t>1</w:t>
      </w:r>
      <w:r w:rsidRPr="001C1C7C">
        <w:rPr>
          <w:rFonts w:asciiTheme="minorHAnsi" w:hAnsiTheme="minorHAnsi" w:cstheme="minorBidi"/>
          <w:color w:val="auto"/>
          <w:sz w:val="22"/>
          <w:szCs w:val="22"/>
          <w:lang w:val="nl-NL"/>
        </w:rPr>
        <w:t>, Detlef P. van Vuuren</w:t>
      </w:r>
      <w:r w:rsidRPr="001C1C7C">
        <w:rPr>
          <w:rFonts w:asciiTheme="minorHAnsi" w:hAnsiTheme="minorHAnsi" w:cstheme="minorBidi"/>
          <w:color w:val="auto"/>
          <w:sz w:val="22"/>
          <w:szCs w:val="22"/>
          <w:vertAlign w:val="superscript"/>
          <w:lang w:val="nl-NL"/>
        </w:rPr>
        <w:t>2,3</w:t>
      </w:r>
      <w:r w:rsidRPr="001C1C7C">
        <w:rPr>
          <w:rFonts w:asciiTheme="minorHAnsi" w:hAnsiTheme="minorHAnsi" w:cstheme="minorBidi"/>
          <w:color w:val="auto"/>
          <w:sz w:val="22"/>
          <w:szCs w:val="22"/>
          <w:lang w:val="nl-NL"/>
        </w:rPr>
        <w:t>, Oreane Edelenbosch</w:t>
      </w:r>
      <w:r w:rsidRPr="001C1C7C">
        <w:rPr>
          <w:rFonts w:asciiTheme="minorHAnsi" w:hAnsiTheme="minorHAnsi" w:cstheme="minorBidi"/>
          <w:color w:val="auto"/>
          <w:sz w:val="22"/>
          <w:szCs w:val="22"/>
          <w:vertAlign w:val="superscript"/>
          <w:lang w:val="nl-NL"/>
        </w:rPr>
        <w:t>4</w:t>
      </w:r>
      <w:r w:rsidRPr="001C1C7C">
        <w:rPr>
          <w:rFonts w:asciiTheme="minorHAnsi" w:hAnsiTheme="minorHAnsi" w:cstheme="minorBidi"/>
          <w:color w:val="auto"/>
          <w:sz w:val="22"/>
          <w:szCs w:val="22"/>
          <w:lang w:val="nl-NL"/>
        </w:rPr>
        <w:t xml:space="preserve"> &amp; Reinout Heijungs</w:t>
      </w:r>
      <w:r w:rsidRPr="001C1C7C">
        <w:rPr>
          <w:rFonts w:asciiTheme="minorHAnsi" w:hAnsiTheme="minorHAnsi" w:cstheme="minorBidi"/>
          <w:color w:val="auto"/>
          <w:sz w:val="22"/>
          <w:szCs w:val="22"/>
          <w:vertAlign w:val="superscript"/>
          <w:lang w:val="nl-NL"/>
        </w:rPr>
        <w:t>1,5</w:t>
      </w:r>
    </w:p>
    <w:p w14:paraId="55B5A52E" w14:textId="77777777" w:rsidR="001C1C7C" w:rsidRDefault="001C1C7C" w:rsidP="001C1C7C">
      <w:pPr>
        <w:pStyle w:val="Default"/>
        <w:rPr>
          <w:lang w:val="nl-NL"/>
        </w:rPr>
      </w:pPr>
    </w:p>
    <w:p w14:paraId="7F4D9920" w14:textId="77777777" w:rsidR="001C1C7C" w:rsidRDefault="001C1C7C" w:rsidP="001C1C7C">
      <w:pPr>
        <w:spacing w:after="0"/>
        <w:rPr>
          <w:sz w:val="20"/>
        </w:rPr>
      </w:pPr>
      <w:r w:rsidRPr="000E6860">
        <w:rPr>
          <w:sz w:val="20"/>
          <w:vertAlign w:val="superscript"/>
        </w:rPr>
        <w:t xml:space="preserve">1 </w:t>
      </w:r>
      <w:r w:rsidRPr="000E6860">
        <w:rPr>
          <w:sz w:val="20"/>
        </w:rPr>
        <w:t>Institute of Environmental Sciences, Leiden University, Leiden, the Netherlands</w:t>
      </w:r>
      <w:r>
        <w:rPr>
          <w:sz w:val="20"/>
        </w:rPr>
        <w:br/>
      </w:r>
      <w:r w:rsidRPr="000E6860">
        <w:rPr>
          <w:sz w:val="20"/>
          <w:vertAlign w:val="superscript"/>
        </w:rPr>
        <w:t>2</w:t>
      </w:r>
      <w:r w:rsidRPr="000E6860">
        <w:rPr>
          <w:sz w:val="20"/>
        </w:rPr>
        <w:t xml:space="preserve"> PBL Netherlands Environmental Assessment Agency, The Hague, The Netherlands</w:t>
      </w:r>
      <w:r w:rsidRPr="000E6860">
        <w:rPr>
          <w:sz w:val="20"/>
        </w:rPr>
        <w:br/>
      </w:r>
      <w:r w:rsidRPr="000E6860">
        <w:rPr>
          <w:sz w:val="20"/>
          <w:vertAlign w:val="superscript"/>
        </w:rPr>
        <w:t xml:space="preserve">3 </w:t>
      </w:r>
      <w:r w:rsidRPr="000E6860">
        <w:rPr>
          <w:sz w:val="20"/>
        </w:rPr>
        <w:t>Copernicus Institute for Sustainable Development, Utrecht University, Utrecht, The Netherlands</w:t>
      </w:r>
    </w:p>
    <w:p w14:paraId="5EF868B1" w14:textId="77777777" w:rsidR="001C1C7C" w:rsidRDefault="001C1C7C" w:rsidP="001C1C7C">
      <w:pPr>
        <w:spacing w:after="240"/>
        <w:rPr>
          <w:sz w:val="20"/>
        </w:rPr>
      </w:pPr>
      <w:r>
        <w:rPr>
          <w:sz w:val="20"/>
          <w:vertAlign w:val="superscript"/>
        </w:rPr>
        <w:t>4</w:t>
      </w:r>
      <w:r>
        <w:rPr>
          <w:sz w:val="20"/>
        </w:rPr>
        <w:t xml:space="preserve"> </w:t>
      </w:r>
      <w:r w:rsidRPr="009A56EA">
        <w:rPr>
          <w:sz w:val="20"/>
        </w:rPr>
        <w:t>Department of Management and Economics, Politecnico di Milan, Via Lambruschini 4/B, Milan</w:t>
      </w:r>
      <w:r>
        <w:rPr>
          <w:sz w:val="20"/>
        </w:rPr>
        <w:t>, Italy</w:t>
      </w:r>
      <w:r>
        <w:rPr>
          <w:sz w:val="20"/>
        </w:rPr>
        <w:br/>
      </w:r>
      <w:r w:rsidRPr="00EE57D7">
        <w:rPr>
          <w:sz w:val="20"/>
          <w:vertAlign w:val="superscript"/>
        </w:rPr>
        <w:t>5</w:t>
      </w:r>
      <w:r>
        <w:rPr>
          <w:sz w:val="20"/>
        </w:rPr>
        <w:t xml:space="preserve"> Department of Econometrics and OR, Vrije Universiteit Amsterdam, Amsterdam, The Netherlands</w:t>
      </w:r>
    </w:p>
    <w:p w14:paraId="4D8AEA3A" w14:textId="77777777" w:rsidR="00E369AF" w:rsidRDefault="00E369AF" w:rsidP="001C1C7C">
      <w:pPr>
        <w:pStyle w:val="Default"/>
        <w:jc w:val="center"/>
        <w:rPr>
          <w:sz w:val="22"/>
          <w:szCs w:val="22"/>
        </w:rPr>
      </w:pPr>
    </w:p>
    <w:p w14:paraId="5F6154CB" w14:textId="1A1BB76E" w:rsidR="001C1C7C" w:rsidRDefault="001C1C7C" w:rsidP="001C1C7C">
      <w:pPr>
        <w:pStyle w:val="Default"/>
        <w:jc w:val="center"/>
        <w:rPr>
          <w:sz w:val="22"/>
          <w:szCs w:val="22"/>
        </w:rPr>
      </w:pPr>
      <w:r>
        <w:rPr>
          <w:sz w:val="22"/>
          <w:szCs w:val="22"/>
        </w:rPr>
        <w:t xml:space="preserve">Number of pages: </w:t>
      </w:r>
      <w:r w:rsidR="00F5565C">
        <w:rPr>
          <w:sz w:val="22"/>
          <w:szCs w:val="22"/>
        </w:rPr>
        <w:t>25</w:t>
      </w:r>
    </w:p>
    <w:p w14:paraId="33FEE9E1" w14:textId="646D5DDB" w:rsidR="001C1C7C" w:rsidRDefault="001C1C7C" w:rsidP="001C1C7C">
      <w:pPr>
        <w:pStyle w:val="Default"/>
        <w:jc w:val="center"/>
        <w:rPr>
          <w:sz w:val="22"/>
          <w:szCs w:val="22"/>
        </w:rPr>
      </w:pPr>
      <w:r>
        <w:rPr>
          <w:sz w:val="22"/>
          <w:szCs w:val="22"/>
        </w:rPr>
        <w:t xml:space="preserve">Number of figures: </w:t>
      </w:r>
      <w:r w:rsidR="00BD7FF9">
        <w:rPr>
          <w:sz w:val="22"/>
          <w:szCs w:val="22"/>
        </w:rPr>
        <w:t>1</w:t>
      </w:r>
      <w:r w:rsidR="003F3831">
        <w:rPr>
          <w:sz w:val="22"/>
          <w:szCs w:val="22"/>
        </w:rPr>
        <w:t>4</w:t>
      </w:r>
    </w:p>
    <w:p w14:paraId="555F396C" w14:textId="52B692D1" w:rsidR="001C1C7C" w:rsidRDefault="001C1C7C" w:rsidP="001C1C7C">
      <w:pPr>
        <w:jc w:val="center"/>
      </w:pPr>
      <w:r>
        <w:t xml:space="preserve">Number of tables: </w:t>
      </w:r>
      <w:r w:rsidR="00BD7FF9">
        <w:t>5</w:t>
      </w:r>
    </w:p>
    <w:sdt>
      <w:sdtPr>
        <w:rPr>
          <w:rFonts w:asciiTheme="minorHAnsi" w:eastAsiaTheme="minorHAnsi" w:hAnsiTheme="minorHAnsi" w:cstheme="minorBidi"/>
          <w:color w:val="auto"/>
          <w:sz w:val="22"/>
          <w:szCs w:val="22"/>
        </w:rPr>
        <w:id w:val="-1049458261"/>
        <w:docPartObj>
          <w:docPartGallery w:val="Table of Contents"/>
          <w:docPartUnique/>
        </w:docPartObj>
      </w:sdtPr>
      <w:sdtEndPr>
        <w:rPr>
          <w:b/>
          <w:bCs/>
          <w:noProof/>
        </w:rPr>
      </w:sdtEndPr>
      <w:sdtContent>
        <w:p w14:paraId="02602ED1" w14:textId="75CE735D" w:rsidR="00E369AF" w:rsidRPr="00E421FB" w:rsidRDefault="00E369AF">
          <w:pPr>
            <w:pStyle w:val="TOCHeading"/>
            <w:rPr>
              <w:sz w:val="8"/>
              <w:szCs w:val="8"/>
            </w:rPr>
          </w:pPr>
        </w:p>
        <w:p w14:paraId="7EE91D9F" w14:textId="4A6D2328" w:rsidR="00E421FB" w:rsidRPr="00E421FB" w:rsidRDefault="00E369AF">
          <w:pPr>
            <w:pStyle w:val="TOC2"/>
            <w:tabs>
              <w:tab w:val="left" w:pos="660"/>
              <w:tab w:val="right" w:leader="dot" w:pos="9350"/>
            </w:tabs>
            <w:rPr>
              <w:rFonts w:eastAsiaTheme="minorEastAsia"/>
              <w:noProof/>
              <w:sz w:val="16"/>
              <w:szCs w:val="16"/>
            </w:rPr>
          </w:pPr>
          <w:r>
            <w:rPr>
              <w:b/>
              <w:bCs/>
              <w:noProof/>
            </w:rPr>
            <w:fldChar w:fldCharType="begin"/>
          </w:r>
          <w:r>
            <w:rPr>
              <w:b/>
              <w:bCs/>
              <w:noProof/>
            </w:rPr>
            <w:instrText xml:space="preserve"> TOC \o "1-3" \h \z \u </w:instrText>
          </w:r>
          <w:r>
            <w:rPr>
              <w:b/>
              <w:bCs/>
              <w:noProof/>
            </w:rPr>
            <w:fldChar w:fldCharType="separate"/>
          </w:r>
          <w:hyperlink w:anchor="_Toc10807382" w:history="1">
            <w:r w:rsidR="00E421FB" w:rsidRPr="00E421FB">
              <w:rPr>
                <w:rStyle w:val="Hyperlink"/>
                <w:noProof/>
                <w:sz w:val="16"/>
                <w:szCs w:val="16"/>
              </w:rPr>
              <w:t>1.</w:t>
            </w:r>
            <w:r w:rsidR="00E421FB" w:rsidRPr="00E421FB">
              <w:rPr>
                <w:rFonts w:eastAsiaTheme="minorEastAsia"/>
                <w:noProof/>
                <w:sz w:val="16"/>
                <w:szCs w:val="16"/>
              </w:rPr>
              <w:tab/>
            </w:r>
            <w:r w:rsidR="00E421FB" w:rsidRPr="00E421FB">
              <w:rPr>
                <w:rStyle w:val="Hyperlink"/>
                <w:noProof/>
                <w:sz w:val="16"/>
                <w:szCs w:val="16"/>
              </w:rPr>
              <w:t>IMAGE Region definitions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_Toc10807382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2</w:t>
            </w:r>
            <w:r w:rsidR="00E421FB" w:rsidRPr="00E421FB">
              <w:rPr>
                <w:noProof/>
                <w:webHidden/>
                <w:sz w:val="16"/>
                <w:szCs w:val="16"/>
              </w:rPr>
              <w:fldChar w:fldCharType="end"/>
            </w:r>
          </w:hyperlink>
        </w:p>
        <w:p w14:paraId="502262E2" w14:textId="5E9EC942" w:rsidR="00E421FB" w:rsidRPr="00E421FB" w:rsidRDefault="0074540E">
          <w:pPr>
            <w:pStyle w:val="TOC2"/>
            <w:tabs>
              <w:tab w:val="left" w:pos="660"/>
              <w:tab w:val="right" w:leader="dot" w:pos="9350"/>
            </w:tabs>
            <w:rPr>
              <w:rFonts w:eastAsiaTheme="minorEastAsia"/>
              <w:noProof/>
              <w:sz w:val="16"/>
              <w:szCs w:val="16"/>
            </w:rPr>
          </w:pPr>
          <w:hyperlink w:anchor="_Toc10807383" w:history="1">
            <w:r w:rsidR="00E421FB" w:rsidRPr="00E421FB">
              <w:rPr>
                <w:rStyle w:val="Hyperlink"/>
                <w:noProof/>
                <w:sz w:val="16"/>
                <w:szCs w:val="16"/>
              </w:rPr>
              <w:t>2.</w:t>
            </w:r>
            <w:r w:rsidR="00E421FB" w:rsidRPr="00E421FB">
              <w:rPr>
                <w:rFonts w:eastAsiaTheme="minorEastAsia"/>
                <w:noProof/>
                <w:sz w:val="16"/>
                <w:szCs w:val="16"/>
              </w:rPr>
              <w:tab/>
            </w:r>
            <w:r w:rsidR="00E421FB" w:rsidRPr="00E421FB">
              <w:rPr>
                <w:rStyle w:val="Hyperlink"/>
                <w:noProof/>
                <w:sz w:val="16"/>
                <w:szCs w:val="16"/>
              </w:rPr>
              <w:t>Regression Analysis for Service Sector Floorspace</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_Toc10807383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3</w:t>
            </w:r>
            <w:r w:rsidR="00E421FB" w:rsidRPr="00E421FB">
              <w:rPr>
                <w:noProof/>
                <w:webHidden/>
                <w:sz w:val="16"/>
                <w:szCs w:val="16"/>
              </w:rPr>
              <w:fldChar w:fldCharType="end"/>
            </w:r>
          </w:hyperlink>
        </w:p>
        <w:p w14:paraId="52385756" w14:textId="4F3735F7" w:rsidR="00E421FB" w:rsidRPr="00E421FB" w:rsidRDefault="0074540E">
          <w:pPr>
            <w:pStyle w:val="TOC3"/>
            <w:tabs>
              <w:tab w:val="right" w:leader="dot" w:pos="9350"/>
            </w:tabs>
            <w:rPr>
              <w:rFonts w:eastAsiaTheme="minorEastAsia"/>
              <w:noProof/>
              <w:sz w:val="16"/>
              <w:szCs w:val="16"/>
            </w:rPr>
          </w:pPr>
          <w:hyperlink w:anchor="_Toc10807384" w:history="1">
            <w:r w:rsidR="00E421FB" w:rsidRPr="00E421FB">
              <w:rPr>
                <w:rStyle w:val="Hyperlink"/>
                <w:noProof/>
                <w:sz w:val="16"/>
                <w:szCs w:val="16"/>
              </w:rPr>
              <w:t>2.1 Weighted regression</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_Toc10807384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6</w:t>
            </w:r>
            <w:r w:rsidR="00E421FB" w:rsidRPr="00E421FB">
              <w:rPr>
                <w:noProof/>
                <w:webHidden/>
                <w:sz w:val="16"/>
                <w:szCs w:val="16"/>
              </w:rPr>
              <w:fldChar w:fldCharType="end"/>
            </w:r>
          </w:hyperlink>
        </w:p>
        <w:p w14:paraId="567B52E9" w14:textId="2C44E907" w:rsidR="00E421FB" w:rsidRPr="00E421FB" w:rsidRDefault="00874130">
          <w:pPr>
            <w:pStyle w:val="TOC2"/>
            <w:tabs>
              <w:tab w:val="right" w:leader="dot" w:pos="9350"/>
            </w:tabs>
            <w:rPr>
              <w:rFonts w:eastAsiaTheme="minorEastAsia"/>
              <w:noProof/>
              <w:sz w:val="16"/>
              <w:szCs w:val="16"/>
            </w:rPr>
          </w:pPr>
          <w:r>
            <w:rPr>
              <w:rStyle w:val="Hyperlink"/>
              <w:noProof/>
              <w:sz w:val="16"/>
              <w:szCs w:val="16"/>
              <w:u w:val="none"/>
            </w:rPr>
            <w:t xml:space="preserve">      </w:t>
          </w:r>
          <w:hyperlink w:anchor="_Toc10807385" w:history="1">
            <w:r w:rsidR="00E421FB" w:rsidRPr="00E421FB">
              <w:rPr>
                <w:rStyle w:val="Hyperlink"/>
                <w:noProof/>
                <w:sz w:val="16"/>
                <w:szCs w:val="16"/>
              </w:rPr>
              <w:t>2.2. Reflection on model specification</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_Toc10807385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8</w:t>
            </w:r>
            <w:r w:rsidR="00E421FB" w:rsidRPr="00E421FB">
              <w:rPr>
                <w:noProof/>
                <w:webHidden/>
                <w:sz w:val="16"/>
                <w:szCs w:val="16"/>
              </w:rPr>
              <w:fldChar w:fldCharType="end"/>
            </w:r>
          </w:hyperlink>
        </w:p>
        <w:p w14:paraId="54289839" w14:textId="174037FA" w:rsidR="00E421FB" w:rsidRPr="00E421FB" w:rsidRDefault="0074540E">
          <w:pPr>
            <w:pStyle w:val="TOC2"/>
            <w:tabs>
              <w:tab w:val="left" w:pos="660"/>
              <w:tab w:val="right" w:leader="dot" w:pos="9350"/>
            </w:tabs>
            <w:rPr>
              <w:rFonts w:eastAsiaTheme="minorEastAsia"/>
              <w:noProof/>
              <w:sz w:val="16"/>
              <w:szCs w:val="16"/>
            </w:rPr>
          </w:pPr>
          <w:hyperlink w:anchor="_Toc10807386" w:history="1">
            <w:r w:rsidR="00E421FB" w:rsidRPr="00E421FB">
              <w:rPr>
                <w:rStyle w:val="Hyperlink"/>
                <w:noProof/>
                <w:sz w:val="16"/>
                <w:szCs w:val="16"/>
              </w:rPr>
              <w:t>3.</w:t>
            </w:r>
            <w:r w:rsidR="00E421FB" w:rsidRPr="00E421FB">
              <w:rPr>
                <w:rFonts w:eastAsiaTheme="minorEastAsia"/>
                <w:noProof/>
                <w:sz w:val="16"/>
                <w:szCs w:val="16"/>
              </w:rPr>
              <w:tab/>
            </w:r>
            <w:r w:rsidR="00E421FB" w:rsidRPr="00E421FB">
              <w:rPr>
                <w:rStyle w:val="Hyperlink"/>
                <w:noProof/>
                <w:sz w:val="16"/>
                <w:szCs w:val="16"/>
              </w:rPr>
              <w:t>Dynamic Stock modelling for Service Sector Floorspace</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_Toc10807386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9</w:t>
            </w:r>
            <w:r w:rsidR="00E421FB" w:rsidRPr="00E421FB">
              <w:rPr>
                <w:noProof/>
                <w:webHidden/>
                <w:sz w:val="16"/>
                <w:szCs w:val="16"/>
              </w:rPr>
              <w:fldChar w:fldCharType="end"/>
            </w:r>
          </w:hyperlink>
        </w:p>
        <w:p w14:paraId="3464ABE8" w14:textId="21F561E3" w:rsidR="00E421FB" w:rsidRPr="00E421FB" w:rsidRDefault="0074540E">
          <w:pPr>
            <w:pStyle w:val="TOC3"/>
            <w:tabs>
              <w:tab w:val="right" w:leader="dot" w:pos="9350"/>
            </w:tabs>
            <w:rPr>
              <w:rFonts w:eastAsiaTheme="minorEastAsia"/>
              <w:noProof/>
              <w:sz w:val="16"/>
              <w:szCs w:val="16"/>
            </w:rPr>
          </w:pPr>
          <w:hyperlink w:anchor="_Toc10807387" w:history="1">
            <w:r w:rsidR="00E421FB" w:rsidRPr="00E421FB">
              <w:rPr>
                <w:rStyle w:val="Hyperlink"/>
                <w:noProof/>
                <w:sz w:val="16"/>
                <w:szCs w:val="16"/>
              </w:rPr>
              <w:t>3.1 Lifetime assumptions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_Toc10807387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9</w:t>
            </w:r>
            <w:r w:rsidR="00E421FB" w:rsidRPr="00E421FB">
              <w:rPr>
                <w:noProof/>
                <w:webHidden/>
                <w:sz w:val="16"/>
                <w:szCs w:val="16"/>
              </w:rPr>
              <w:fldChar w:fldCharType="end"/>
            </w:r>
          </w:hyperlink>
        </w:p>
        <w:p w14:paraId="1523BE06" w14:textId="6A99DA2C" w:rsidR="00E421FB" w:rsidRPr="00E421FB" w:rsidRDefault="00874130">
          <w:pPr>
            <w:pStyle w:val="TOC2"/>
            <w:tabs>
              <w:tab w:val="right" w:leader="dot" w:pos="9350"/>
            </w:tabs>
            <w:rPr>
              <w:rFonts w:eastAsiaTheme="minorEastAsia"/>
              <w:noProof/>
              <w:sz w:val="16"/>
              <w:szCs w:val="16"/>
            </w:rPr>
          </w:pPr>
          <w:r>
            <w:t xml:space="preserve">     </w:t>
          </w:r>
          <w:hyperlink w:anchor="_Toc10807388" w:history="1">
            <w:r w:rsidR="00E421FB" w:rsidRPr="00E421FB">
              <w:rPr>
                <w:rStyle w:val="Hyperlink"/>
                <w:noProof/>
                <w:sz w:val="16"/>
                <w:szCs w:val="16"/>
              </w:rPr>
              <w:t>3.2 Historic stock development</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_Toc10807388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11</w:t>
            </w:r>
            <w:r w:rsidR="00E421FB" w:rsidRPr="00E421FB">
              <w:rPr>
                <w:noProof/>
                <w:webHidden/>
                <w:sz w:val="16"/>
                <w:szCs w:val="16"/>
              </w:rPr>
              <w:fldChar w:fldCharType="end"/>
            </w:r>
          </w:hyperlink>
        </w:p>
        <w:p w14:paraId="173D9E62" w14:textId="1D4C45A1" w:rsidR="00E421FB" w:rsidRPr="00E421FB" w:rsidRDefault="00874130">
          <w:pPr>
            <w:pStyle w:val="TOC2"/>
            <w:tabs>
              <w:tab w:val="right" w:leader="dot" w:pos="9350"/>
            </w:tabs>
            <w:rPr>
              <w:rFonts w:eastAsiaTheme="minorEastAsia"/>
              <w:noProof/>
              <w:sz w:val="16"/>
              <w:szCs w:val="16"/>
            </w:rPr>
          </w:pPr>
          <w:r>
            <w:rPr>
              <w:rStyle w:val="Hyperlink"/>
              <w:noProof/>
              <w:sz w:val="16"/>
              <w:szCs w:val="16"/>
              <w:u w:val="none"/>
            </w:rPr>
            <w:t xml:space="preserve">      </w:t>
          </w:r>
          <w:hyperlink w:anchor="_Toc10807389" w:history="1">
            <w:r w:rsidR="00E421FB" w:rsidRPr="00E421FB">
              <w:rPr>
                <w:rStyle w:val="Hyperlink"/>
                <w:noProof/>
                <w:sz w:val="16"/>
                <w:szCs w:val="16"/>
              </w:rPr>
              <w:t>3.3 Lifetime verification</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_Toc10807389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12</w:t>
            </w:r>
            <w:r w:rsidR="00E421FB" w:rsidRPr="00E421FB">
              <w:rPr>
                <w:noProof/>
                <w:webHidden/>
                <w:sz w:val="16"/>
                <w:szCs w:val="16"/>
              </w:rPr>
              <w:fldChar w:fldCharType="end"/>
            </w:r>
          </w:hyperlink>
        </w:p>
        <w:p w14:paraId="31F1E3E7" w14:textId="46FAA807" w:rsidR="00E421FB" w:rsidRPr="00E421FB" w:rsidRDefault="0074540E">
          <w:pPr>
            <w:pStyle w:val="TOC2"/>
            <w:tabs>
              <w:tab w:val="left" w:pos="660"/>
              <w:tab w:val="right" w:leader="dot" w:pos="9350"/>
            </w:tabs>
            <w:rPr>
              <w:rFonts w:eastAsiaTheme="minorEastAsia"/>
              <w:noProof/>
              <w:sz w:val="16"/>
              <w:szCs w:val="16"/>
            </w:rPr>
          </w:pPr>
          <w:hyperlink w:anchor="_Toc10807390" w:history="1">
            <w:r w:rsidR="00E421FB" w:rsidRPr="00E421FB">
              <w:rPr>
                <w:rStyle w:val="Hyperlink"/>
                <w:noProof/>
                <w:sz w:val="16"/>
                <w:szCs w:val="16"/>
              </w:rPr>
              <w:t>4.</w:t>
            </w:r>
            <w:r w:rsidR="00E421FB" w:rsidRPr="00E421FB">
              <w:rPr>
                <w:rFonts w:eastAsiaTheme="minorEastAsia"/>
                <w:noProof/>
                <w:sz w:val="16"/>
                <w:szCs w:val="16"/>
              </w:rPr>
              <w:tab/>
            </w:r>
            <w:r w:rsidR="00E421FB" w:rsidRPr="00E421FB">
              <w:rPr>
                <w:rStyle w:val="Hyperlink"/>
                <w:noProof/>
                <w:sz w:val="16"/>
                <w:szCs w:val="16"/>
              </w:rPr>
              <w:t>Material Assumptions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_Toc10807390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13</w:t>
            </w:r>
            <w:r w:rsidR="00E421FB" w:rsidRPr="00E421FB">
              <w:rPr>
                <w:noProof/>
                <w:webHidden/>
                <w:sz w:val="16"/>
                <w:szCs w:val="16"/>
              </w:rPr>
              <w:fldChar w:fldCharType="end"/>
            </w:r>
          </w:hyperlink>
        </w:p>
        <w:p w14:paraId="27C0E7A4" w14:textId="1DBAD2F4" w:rsidR="00E421FB" w:rsidRPr="00E421FB" w:rsidRDefault="0074540E">
          <w:pPr>
            <w:pStyle w:val="TOC2"/>
            <w:tabs>
              <w:tab w:val="left" w:pos="660"/>
              <w:tab w:val="right" w:leader="dot" w:pos="9350"/>
            </w:tabs>
            <w:rPr>
              <w:rFonts w:eastAsiaTheme="minorEastAsia"/>
              <w:noProof/>
              <w:sz w:val="16"/>
              <w:szCs w:val="16"/>
            </w:rPr>
          </w:pPr>
          <w:hyperlink w:anchor="_Toc10807391" w:history="1">
            <w:r w:rsidR="00E421FB" w:rsidRPr="00E421FB">
              <w:rPr>
                <w:rStyle w:val="Hyperlink"/>
                <w:noProof/>
                <w:sz w:val="16"/>
                <w:szCs w:val="16"/>
              </w:rPr>
              <w:t>5.</w:t>
            </w:r>
            <w:r w:rsidR="00E421FB" w:rsidRPr="00E421FB">
              <w:rPr>
                <w:rFonts w:eastAsiaTheme="minorEastAsia"/>
                <w:noProof/>
                <w:sz w:val="16"/>
                <w:szCs w:val="16"/>
              </w:rPr>
              <w:tab/>
            </w:r>
            <w:r w:rsidR="00E421FB" w:rsidRPr="00E421FB">
              <w:rPr>
                <w:rStyle w:val="Hyperlink"/>
                <w:noProof/>
                <w:sz w:val="16"/>
                <w:szCs w:val="16"/>
              </w:rPr>
              <w:t>Detailed results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_Toc10807391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15</w:t>
            </w:r>
            <w:r w:rsidR="00E421FB" w:rsidRPr="00E421FB">
              <w:rPr>
                <w:noProof/>
                <w:webHidden/>
                <w:sz w:val="16"/>
                <w:szCs w:val="16"/>
              </w:rPr>
              <w:fldChar w:fldCharType="end"/>
            </w:r>
          </w:hyperlink>
        </w:p>
        <w:p w14:paraId="2E834670" w14:textId="3EA5681F" w:rsidR="00E421FB" w:rsidRPr="00E421FB" w:rsidRDefault="0074540E">
          <w:pPr>
            <w:pStyle w:val="TOC3"/>
            <w:tabs>
              <w:tab w:val="right" w:leader="dot" w:pos="9350"/>
            </w:tabs>
            <w:rPr>
              <w:rFonts w:eastAsiaTheme="minorEastAsia"/>
              <w:noProof/>
              <w:sz w:val="16"/>
              <w:szCs w:val="16"/>
            </w:rPr>
          </w:pPr>
          <w:hyperlink w:anchor="_Toc10807392" w:history="1">
            <w:r w:rsidR="00E421FB" w:rsidRPr="00E421FB">
              <w:rPr>
                <w:rStyle w:val="Hyperlink"/>
                <w:noProof/>
                <w:sz w:val="16"/>
                <w:szCs w:val="16"/>
              </w:rPr>
              <w:t>5.1 Per capita floorspace demand</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_Toc10807392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15</w:t>
            </w:r>
            <w:r w:rsidR="00E421FB" w:rsidRPr="00E421FB">
              <w:rPr>
                <w:noProof/>
                <w:webHidden/>
                <w:sz w:val="16"/>
                <w:szCs w:val="16"/>
              </w:rPr>
              <w:fldChar w:fldCharType="end"/>
            </w:r>
          </w:hyperlink>
        </w:p>
        <w:p w14:paraId="7D31F194" w14:textId="7084AFC0" w:rsidR="00E421FB" w:rsidRPr="00E421FB" w:rsidRDefault="0074540E">
          <w:pPr>
            <w:pStyle w:val="TOC3"/>
            <w:tabs>
              <w:tab w:val="right" w:leader="dot" w:pos="9350"/>
            </w:tabs>
            <w:rPr>
              <w:rFonts w:eastAsiaTheme="minorEastAsia"/>
              <w:noProof/>
              <w:sz w:val="16"/>
              <w:szCs w:val="16"/>
            </w:rPr>
          </w:pPr>
          <w:hyperlink w:anchor="_Toc10807393" w:history="1">
            <w:r w:rsidR="00E421FB" w:rsidRPr="00E421FB">
              <w:rPr>
                <w:rStyle w:val="Hyperlink"/>
                <w:noProof/>
                <w:sz w:val="16"/>
                <w:szCs w:val="16"/>
              </w:rPr>
              <w:t>5.2 Detailed model outcomes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_Toc10807393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17</w:t>
            </w:r>
            <w:r w:rsidR="00E421FB" w:rsidRPr="00E421FB">
              <w:rPr>
                <w:noProof/>
                <w:webHidden/>
                <w:sz w:val="16"/>
                <w:szCs w:val="16"/>
              </w:rPr>
              <w:fldChar w:fldCharType="end"/>
            </w:r>
          </w:hyperlink>
        </w:p>
        <w:p w14:paraId="000DB221" w14:textId="09756BFB" w:rsidR="00E421FB" w:rsidRPr="00E421FB" w:rsidRDefault="0074540E">
          <w:pPr>
            <w:pStyle w:val="TOC2"/>
            <w:tabs>
              <w:tab w:val="left" w:pos="660"/>
              <w:tab w:val="right" w:leader="dot" w:pos="9350"/>
            </w:tabs>
            <w:rPr>
              <w:rFonts w:eastAsiaTheme="minorEastAsia"/>
              <w:noProof/>
              <w:sz w:val="16"/>
              <w:szCs w:val="16"/>
            </w:rPr>
          </w:pPr>
          <w:hyperlink w:anchor="_Toc10807394" w:history="1">
            <w:r w:rsidR="00E421FB" w:rsidRPr="00E421FB">
              <w:rPr>
                <w:rStyle w:val="Hyperlink"/>
                <w:noProof/>
                <w:sz w:val="16"/>
                <w:szCs w:val="16"/>
              </w:rPr>
              <w:t>6.</w:t>
            </w:r>
            <w:r w:rsidR="00E421FB" w:rsidRPr="00E421FB">
              <w:rPr>
                <w:rFonts w:eastAsiaTheme="minorEastAsia"/>
                <w:noProof/>
                <w:sz w:val="16"/>
                <w:szCs w:val="16"/>
              </w:rPr>
              <w:tab/>
            </w:r>
            <w:r w:rsidR="00E421FB" w:rsidRPr="00E421FB">
              <w:rPr>
                <w:rStyle w:val="Hyperlink"/>
                <w:noProof/>
                <w:sz w:val="16"/>
                <w:szCs w:val="16"/>
              </w:rPr>
              <w:t>Sensitivity Analysis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_Toc10807394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19</w:t>
            </w:r>
            <w:r w:rsidR="00E421FB" w:rsidRPr="00E421FB">
              <w:rPr>
                <w:noProof/>
                <w:webHidden/>
                <w:sz w:val="16"/>
                <w:szCs w:val="16"/>
              </w:rPr>
              <w:fldChar w:fldCharType="end"/>
            </w:r>
          </w:hyperlink>
        </w:p>
        <w:p w14:paraId="28775D1A" w14:textId="653866AE" w:rsidR="00E421FB" w:rsidRPr="00E421FB" w:rsidRDefault="0074540E">
          <w:pPr>
            <w:pStyle w:val="TOC3"/>
            <w:tabs>
              <w:tab w:val="right" w:leader="dot" w:pos="9350"/>
            </w:tabs>
            <w:rPr>
              <w:rFonts w:eastAsiaTheme="minorEastAsia"/>
              <w:noProof/>
              <w:sz w:val="16"/>
              <w:szCs w:val="16"/>
            </w:rPr>
          </w:pPr>
          <w:hyperlink w:anchor="_Toc10807395" w:history="1">
            <w:r w:rsidR="00E421FB" w:rsidRPr="00E421FB">
              <w:rPr>
                <w:rStyle w:val="Hyperlink"/>
                <w:noProof/>
                <w:sz w:val="16"/>
                <w:szCs w:val="16"/>
              </w:rPr>
              <w:t>6.1. Description of Four Sensitivity Variants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_Toc10807395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19</w:t>
            </w:r>
            <w:r w:rsidR="00E421FB" w:rsidRPr="00E421FB">
              <w:rPr>
                <w:noProof/>
                <w:webHidden/>
                <w:sz w:val="16"/>
                <w:szCs w:val="16"/>
              </w:rPr>
              <w:fldChar w:fldCharType="end"/>
            </w:r>
          </w:hyperlink>
        </w:p>
        <w:p w14:paraId="063B825F" w14:textId="76B4AADB" w:rsidR="00E421FB" w:rsidRPr="00E421FB" w:rsidRDefault="0074540E">
          <w:pPr>
            <w:pStyle w:val="TOC3"/>
            <w:tabs>
              <w:tab w:val="right" w:leader="dot" w:pos="9350"/>
            </w:tabs>
            <w:rPr>
              <w:rFonts w:eastAsiaTheme="minorEastAsia"/>
              <w:noProof/>
              <w:sz w:val="16"/>
              <w:szCs w:val="16"/>
            </w:rPr>
          </w:pPr>
          <w:hyperlink w:anchor="_Toc10807396" w:history="1">
            <w:r w:rsidR="00E421FB" w:rsidRPr="00E421FB">
              <w:rPr>
                <w:rStyle w:val="Hyperlink"/>
                <w:noProof/>
                <w:sz w:val="16"/>
                <w:szCs w:val="16"/>
              </w:rPr>
              <w:t>6.2 Outcomes of the Sensitivity Analysis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_Toc10807396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21</w:t>
            </w:r>
            <w:r w:rsidR="00E421FB" w:rsidRPr="00E421FB">
              <w:rPr>
                <w:noProof/>
                <w:webHidden/>
                <w:sz w:val="16"/>
                <w:szCs w:val="16"/>
              </w:rPr>
              <w:fldChar w:fldCharType="end"/>
            </w:r>
          </w:hyperlink>
        </w:p>
        <w:p w14:paraId="43F7EE4A" w14:textId="4E5695C1" w:rsidR="00E421FB" w:rsidRPr="00E421FB" w:rsidRDefault="0074540E">
          <w:pPr>
            <w:pStyle w:val="TOC3"/>
            <w:tabs>
              <w:tab w:val="right" w:leader="dot" w:pos="9350"/>
            </w:tabs>
            <w:rPr>
              <w:rFonts w:eastAsiaTheme="minorEastAsia"/>
              <w:noProof/>
              <w:sz w:val="16"/>
              <w:szCs w:val="16"/>
            </w:rPr>
          </w:pPr>
          <w:hyperlink w:anchor="_Toc10807398" w:history="1">
            <w:r w:rsidR="00E421FB" w:rsidRPr="00E421FB">
              <w:rPr>
                <w:rStyle w:val="Hyperlink"/>
                <w:noProof/>
                <w:sz w:val="16"/>
                <w:szCs w:val="16"/>
              </w:rPr>
              <w:t>6.3 Discussion on the Sensitivity Analysis</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_Toc10807398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24</w:t>
            </w:r>
            <w:r w:rsidR="00E421FB" w:rsidRPr="00E421FB">
              <w:rPr>
                <w:noProof/>
                <w:webHidden/>
                <w:sz w:val="16"/>
                <w:szCs w:val="16"/>
              </w:rPr>
              <w:fldChar w:fldCharType="end"/>
            </w:r>
          </w:hyperlink>
        </w:p>
        <w:p w14:paraId="197D751C" w14:textId="47FF14A3" w:rsidR="00E421FB" w:rsidRPr="00E421FB" w:rsidRDefault="0074540E">
          <w:pPr>
            <w:pStyle w:val="TOC2"/>
            <w:tabs>
              <w:tab w:val="left" w:pos="660"/>
              <w:tab w:val="right" w:leader="dot" w:pos="9350"/>
            </w:tabs>
            <w:rPr>
              <w:rFonts w:eastAsiaTheme="minorEastAsia"/>
              <w:noProof/>
              <w:sz w:val="16"/>
              <w:szCs w:val="16"/>
            </w:rPr>
          </w:pPr>
          <w:hyperlink w:anchor="_Toc10807399" w:history="1">
            <w:r w:rsidR="00E421FB" w:rsidRPr="00E421FB">
              <w:rPr>
                <w:rStyle w:val="Hyperlink"/>
                <w:noProof/>
                <w:sz w:val="16"/>
                <w:szCs w:val="16"/>
              </w:rPr>
              <w:t>7.</w:t>
            </w:r>
            <w:r w:rsidR="00E421FB" w:rsidRPr="00E421FB">
              <w:rPr>
                <w:rFonts w:eastAsiaTheme="minorEastAsia"/>
                <w:noProof/>
                <w:sz w:val="16"/>
                <w:szCs w:val="16"/>
              </w:rPr>
              <w:tab/>
            </w:r>
            <w:r w:rsidR="00E421FB" w:rsidRPr="00E421FB">
              <w:rPr>
                <w:rStyle w:val="Hyperlink"/>
                <w:noProof/>
                <w:sz w:val="16"/>
                <w:szCs w:val="16"/>
              </w:rPr>
              <w:t>Model Code</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_Toc10807399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27</w:t>
            </w:r>
            <w:r w:rsidR="00E421FB" w:rsidRPr="00E421FB">
              <w:rPr>
                <w:noProof/>
                <w:webHidden/>
                <w:sz w:val="16"/>
                <w:szCs w:val="16"/>
              </w:rPr>
              <w:fldChar w:fldCharType="end"/>
            </w:r>
          </w:hyperlink>
        </w:p>
        <w:p w14:paraId="7D02800B" w14:textId="452E69C2" w:rsidR="00E421FB" w:rsidRPr="00E421FB" w:rsidRDefault="0074540E">
          <w:pPr>
            <w:pStyle w:val="TOC3"/>
            <w:tabs>
              <w:tab w:val="right" w:leader="dot" w:pos="9350"/>
            </w:tabs>
            <w:rPr>
              <w:rFonts w:eastAsiaTheme="minorEastAsia"/>
              <w:noProof/>
              <w:sz w:val="16"/>
              <w:szCs w:val="16"/>
            </w:rPr>
          </w:pPr>
          <w:hyperlink w:anchor="_Toc10807400" w:history="1">
            <w:r w:rsidR="00E421FB" w:rsidRPr="00E421FB">
              <w:rPr>
                <w:rStyle w:val="Hyperlink"/>
                <w:noProof/>
                <w:sz w:val="16"/>
                <w:szCs w:val="16"/>
              </w:rPr>
              <w:t>7.1 Code for the regression analysis for service sector floorspace</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_Toc10807400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27</w:t>
            </w:r>
            <w:r w:rsidR="00E421FB" w:rsidRPr="00E421FB">
              <w:rPr>
                <w:noProof/>
                <w:webHidden/>
                <w:sz w:val="16"/>
                <w:szCs w:val="16"/>
              </w:rPr>
              <w:fldChar w:fldCharType="end"/>
            </w:r>
          </w:hyperlink>
        </w:p>
        <w:p w14:paraId="63F73422" w14:textId="1E3FE2E0" w:rsidR="00E421FB" w:rsidRPr="00E421FB" w:rsidRDefault="0074540E">
          <w:pPr>
            <w:pStyle w:val="TOC3"/>
            <w:tabs>
              <w:tab w:val="right" w:leader="dot" w:pos="9350"/>
            </w:tabs>
            <w:rPr>
              <w:rFonts w:eastAsiaTheme="minorEastAsia"/>
              <w:noProof/>
              <w:sz w:val="16"/>
              <w:szCs w:val="16"/>
            </w:rPr>
          </w:pPr>
          <w:hyperlink w:anchor="_Toc10807401" w:history="1">
            <w:r w:rsidR="00E421FB" w:rsidRPr="00E421FB">
              <w:rPr>
                <w:rStyle w:val="Hyperlink"/>
                <w:noProof/>
                <w:sz w:val="16"/>
                <w:szCs w:val="16"/>
              </w:rPr>
              <w:t>7.2. Code of the main model</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_Toc10807401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29</w:t>
            </w:r>
            <w:r w:rsidR="00E421FB" w:rsidRPr="00E421FB">
              <w:rPr>
                <w:noProof/>
                <w:webHidden/>
                <w:sz w:val="16"/>
                <w:szCs w:val="16"/>
              </w:rPr>
              <w:fldChar w:fldCharType="end"/>
            </w:r>
          </w:hyperlink>
        </w:p>
        <w:p w14:paraId="3EF0B868" w14:textId="77DA4A47" w:rsidR="00E369AF" w:rsidRDefault="0074540E" w:rsidP="00E421FB">
          <w:pPr>
            <w:pStyle w:val="TOC2"/>
            <w:tabs>
              <w:tab w:val="left" w:pos="660"/>
              <w:tab w:val="right" w:leader="dot" w:pos="9350"/>
            </w:tabs>
          </w:pPr>
          <w:hyperlink w:anchor="_Toc10807402" w:history="1">
            <w:r w:rsidR="00E421FB" w:rsidRPr="00E421FB">
              <w:rPr>
                <w:rStyle w:val="Hyperlink"/>
                <w:noProof/>
                <w:sz w:val="16"/>
                <w:szCs w:val="16"/>
              </w:rPr>
              <w:t>8.</w:t>
            </w:r>
            <w:r w:rsidR="00E421FB" w:rsidRPr="00E421FB">
              <w:rPr>
                <w:rFonts w:eastAsiaTheme="minorEastAsia"/>
                <w:noProof/>
                <w:sz w:val="16"/>
                <w:szCs w:val="16"/>
              </w:rPr>
              <w:tab/>
            </w:r>
            <w:r w:rsidR="00E421FB" w:rsidRPr="00E421FB">
              <w:rPr>
                <w:rStyle w:val="Hyperlink"/>
                <w:noProof/>
                <w:sz w:val="16"/>
                <w:szCs w:val="16"/>
              </w:rPr>
              <w:t>References (as used in the SI)</w:t>
            </w:r>
            <w:r w:rsidR="00E421FB" w:rsidRPr="00E421FB">
              <w:rPr>
                <w:noProof/>
                <w:webHidden/>
                <w:sz w:val="16"/>
                <w:szCs w:val="16"/>
              </w:rPr>
              <w:tab/>
            </w:r>
            <w:r w:rsidR="00E421FB" w:rsidRPr="00E421FB">
              <w:rPr>
                <w:noProof/>
                <w:webHidden/>
                <w:sz w:val="16"/>
                <w:szCs w:val="16"/>
              </w:rPr>
              <w:fldChar w:fldCharType="begin"/>
            </w:r>
            <w:r w:rsidR="00E421FB" w:rsidRPr="00E421FB">
              <w:rPr>
                <w:noProof/>
                <w:webHidden/>
                <w:sz w:val="16"/>
                <w:szCs w:val="16"/>
              </w:rPr>
              <w:instrText xml:space="preserve"> PAGEREF _Toc10807402 \h </w:instrText>
            </w:r>
            <w:r w:rsidR="00E421FB" w:rsidRPr="00E421FB">
              <w:rPr>
                <w:noProof/>
                <w:webHidden/>
                <w:sz w:val="16"/>
                <w:szCs w:val="16"/>
              </w:rPr>
            </w:r>
            <w:r w:rsidR="00E421FB" w:rsidRPr="00E421FB">
              <w:rPr>
                <w:noProof/>
                <w:webHidden/>
                <w:sz w:val="16"/>
                <w:szCs w:val="16"/>
              </w:rPr>
              <w:fldChar w:fldCharType="separate"/>
            </w:r>
            <w:r w:rsidR="00E421FB" w:rsidRPr="00E421FB">
              <w:rPr>
                <w:noProof/>
                <w:webHidden/>
                <w:sz w:val="16"/>
                <w:szCs w:val="16"/>
              </w:rPr>
              <w:t>30</w:t>
            </w:r>
            <w:r w:rsidR="00E421FB" w:rsidRPr="00E421FB">
              <w:rPr>
                <w:noProof/>
                <w:webHidden/>
                <w:sz w:val="16"/>
                <w:szCs w:val="16"/>
              </w:rPr>
              <w:fldChar w:fldCharType="end"/>
            </w:r>
          </w:hyperlink>
          <w:r w:rsidR="00E369AF">
            <w:rPr>
              <w:b/>
              <w:bCs/>
              <w:noProof/>
            </w:rPr>
            <w:fldChar w:fldCharType="end"/>
          </w:r>
        </w:p>
      </w:sdtContent>
    </w:sdt>
    <w:p w14:paraId="15B026E8" w14:textId="5E33E0D6" w:rsidR="00007EE0" w:rsidRDefault="00007EE0" w:rsidP="00007EE0">
      <w:pPr>
        <w:pStyle w:val="Heading2"/>
        <w:numPr>
          <w:ilvl w:val="0"/>
          <w:numId w:val="2"/>
        </w:numPr>
      </w:pPr>
      <w:bookmarkStart w:id="0" w:name="_Toc10807382"/>
      <w:r>
        <w:lastRenderedPageBreak/>
        <w:t>IMAGE Region definitions</w:t>
      </w:r>
      <w:bookmarkEnd w:id="0"/>
    </w:p>
    <w:p w14:paraId="61ECD105" w14:textId="588A8DFE" w:rsidR="00007EE0" w:rsidRDefault="00007EE0" w:rsidP="00007EE0">
      <w:r>
        <w:br/>
        <w:t>The region</w:t>
      </w:r>
      <w:r w:rsidR="001077F0">
        <w:t xml:space="preserve">al classification </w:t>
      </w:r>
      <w:r>
        <w:t xml:space="preserve">used in the main text </w:t>
      </w:r>
      <w:r w:rsidR="002636F4">
        <w:t>and</w:t>
      </w:r>
      <w:r>
        <w:t xml:space="preserve"> the underlying model distinguish 26 global regions, which can be seen in </w:t>
      </w:r>
      <w:r w:rsidR="006A352B">
        <w:t xml:space="preserve">in Figure S.1, below. We’ve also indicated which regions are grouped under ‘fast developing’ </w:t>
      </w:r>
      <w:r w:rsidR="002636F4">
        <w:t xml:space="preserve">with a 1, </w:t>
      </w:r>
      <w:r w:rsidR="006A352B">
        <w:t xml:space="preserve">and ‘steady developed’ regions </w:t>
      </w:r>
      <w:r w:rsidR="002636F4">
        <w:t xml:space="preserve">with a 2, </w:t>
      </w:r>
      <w:r w:rsidR="006A352B">
        <w:t xml:space="preserve">according to the identified regional typologies used in the main text. </w:t>
      </w:r>
      <w:r w:rsidR="002636F4">
        <w:t xml:space="preserve">Buildings in Greenland &amp; Antarctica are not taken into account. </w:t>
      </w:r>
    </w:p>
    <w:p w14:paraId="7913CC8B" w14:textId="6FD9D47E" w:rsidR="00CC3EC5" w:rsidRDefault="00CC3EC5" w:rsidP="00007EE0"/>
    <w:p w14:paraId="62215279" w14:textId="717E945B" w:rsidR="00CC3EC5" w:rsidRDefault="006E63A0" w:rsidP="00CC3EC5">
      <w:r>
        <w:rPr>
          <w:noProof/>
        </w:rPr>
        <mc:AlternateContent>
          <mc:Choice Requires="wpg">
            <w:drawing>
              <wp:anchor distT="0" distB="0" distL="114300" distR="114300" simplePos="0" relativeHeight="251710464" behindDoc="0" locked="0" layoutInCell="1" allowOverlap="1" wp14:anchorId="4DA521EA" wp14:editId="728DE35D">
                <wp:simplePos x="0" y="0"/>
                <wp:positionH relativeFrom="column">
                  <wp:posOffset>142875</wp:posOffset>
                </wp:positionH>
                <wp:positionV relativeFrom="paragraph">
                  <wp:posOffset>3265615</wp:posOffset>
                </wp:positionV>
                <wp:extent cx="4956424" cy="1926921"/>
                <wp:effectExtent l="0" t="0" r="0" b="0"/>
                <wp:wrapNone/>
                <wp:docPr id="29" name="Group 29"/>
                <wp:cNvGraphicFramePr/>
                <a:graphic xmlns:a="http://schemas.openxmlformats.org/drawingml/2006/main">
                  <a:graphicData uri="http://schemas.microsoft.com/office/word/2010/wordprocessingGroup">
                    <wpg:wgp>
                      <wpg:cNvGrpSpPr/>
                      <wpg:grpSpPr>
                        <a:xfrm>
                          <a:off x="0" y="0"/>
                          <a:ext cx="4956424" cy="1926921"/>
                          <a:chOff x="0" y="0"/>
                          <a:chExt cx="4956424" cy="1926921"/>
                        </a:xfrm>
                      </wpg:grpSpPr>
                      <wps:wsp>
                        <wps:cNvPr id="217" name="Text Box 2"/>
                        <wps:cNvSpPr txBox="1">
                          <a:spLocks noChangeArrowheads="1"/>
                        </wps:cNvSpPr>
                        <wps:spPr bwMode="auto">
                          <a:xfrm>
                            <a:off x="0" y="0"/>
                            <a:ext cx="241300" cy="273050"/>
                          </a:xfrm>
                          <a:prstGeom prst="rect">
                            <a:avLst/>
                          </a:prstGeom>
                          <a:noFill/>
                          <a:ln w="9525">
                            <a:noFill/>
                            <a:miter lim="800000"/>
                            <a:headEnd/>
                            <a:tailEnd/>
                          </a:ln>
                        </wps:spPr>
                        <wps:txbx>
                          <w:txbxContent>
                            <w:p w14:paraId="7A959BDA" w14:textId="7F17A86D" w:rsidR="00874130" w:rsidRDefault="00874130">
                              <w:r>
                                <w:t>2</w:t>
                              </w:r>
                            </w:p>
                          </w:txbxContent>
                        </wps:txbx>
                        <wps:bodyPr rot="0" vert="horz" wrap="square" lIns="91440" tIns="45720" rIns="91440" bIns="45720" anchor="t" anchorCtr="0">
                          <a:noAutofit/>
                        </wps:bodyPr>
                      </wps:wsp>
                      <wps:wsp>
                        <wps:cNvPr id="4" name="Text Box 2"/>
                        <wps:cNvSpPr txBox="1">
                          <a:spLocks noChangeArrowheads="1"/>
                        </wps:cNvSpPr>
                        <wps:spPr bwMode="auto">
                          <a:xfrm>
                            <a:off x="7952" y="198782"/>
                            <a:ext cx="241300" cy="273050"/>
                          </a:xfrm>
                          <a:prstGeom prst="rect">
                            <a:avLst/>
                          </a:prstGeom>
                          <a:noFill/>
                          <a:ln w="9525">
                            <a:noFill/>
                            <a:miter lim="800000"/>
                            <a:headEnd/>
                            <a:tailEnd/>
                          </a:ln>
                        </wps:spPr>
                        <wps:txbx>
                          <w:txbxContent>
                            <w:p w14:paraId="5900A2F6" w14:textId="77777777" w:rsidR="00874130" w:rsidRDefault="00874130" w:rsidP="002636F4">
                              <w:r>
                                <w:t>2</w:t>
                              </w:r>
                            </w:p>
                          </w:txbxContent>
                        </wps:txbx>
                        <wps:bodyPr rot="0" vert="horz" wrap="square" lIns="91440" tIns="45720" rIns="91440" bIns="45720" anchor="t" anchorCtr="0">
                          <a:noAutofit/>
                        </wps:bodyPr>
                      </wps:wsp>
                      <wps:wsp>
                        <wps:cNvPr id="5" name="Text Box 2"/>
                        <wps:cNvSpPr txBox="1">
                          <a:spLocks noChangeArrowheads="1"/>
                        </wps:cNvSpPr>
                        <wps:spPr bwMode="auto">
                          <a:xfrm>
                            <a:off x="7952" y="389614"/>
                            <a:ext cx="241300" cy="273050"/>
                          </a:xfrm>
                          <a:prstGeom prst="rect">
                            <a:avLst/>
                          </a:prstGeom>
                          <a:noFill/>
                          <a:ln w="9525">
                            <a:noFill/>
                            <a:miter lim="800000"/>
                            <a:headEnd/>
                            <a:tailEnd/>
                          </a:ln>
                        </wps:spPr>
                        <wps:txbx>
                          <w:txbxContent>
                            <w:p w14:paraId="63DEA829" w14:textId="77777777" w:rsidR="00874130" w:rsidRDefault="00874130" w:rsidP="002636F4">
                              <w:r>
                                <w:t>2</w:t>
                              </w:r>
                            </w:p>
                          </w:txbxContent>
                        </wps:txbx>
                        <wps:bodyPr rot="0" vert="horz" wrap="square" lIns="91440" tIns="45720" rIns="91440" bIns="45720" anchor="t" anchorCtr="0">
                          <a:noAutofit/>
                        </wps:bodyPr>
                      </wps:wsp>
                      <wps:wsp>
                        <wps:cNvPr id="6" name="Text Box 2"/>
                        <wps:cNvSpPr txBox="1">
                          <a:spLocks noChangeArrowheads="1"/>
                        </wps:cNvSpPr>
                        <wps:spPr bwMode="auto">
                          <a:xfrm>
                            <a:off x="0" y="707666"/>
                            <a:ext cx="241300" cy="273050"/>
                          </a:xfrm>
                          <a:prstGeom prst="rect">
                            <a:avLst/>
                          </a:prstGeom>
                          <a:noFill/>
                          <a:ln w="9525">
                            <a:noFill/>
                            <a:miter lim="800000"/>
                            <a:headEnd/>
                            <a:tailEnd/>
                          </a:ln>
                        </wps:spPr>
                        <wps:txbx>
                          <w:txbxContent>
                            <w:p w14:paraId="2AE4F9B7" w14:textId="1102F69F" w:rsidR="00874130" w:rsidRDefault="00874130" w:rsidP="002636F4">
                              <w:r>
                                <w:t>1</w:t>
                              </w:r>
                            </w:p>
                          </w:txbxContent>
                        </wps:txbx>
                        <wps:bodyPr rot="0" vert="horz" wrap="square" lIns="91440" tIns="45720" rIns="91440" bIns="45720" anchor="t" anchorCtr="0">
                          <a:noAutofit/>
                        </wps:bodyPr>
                      </wps:wsp>
                      <wps:wsp>
                        <wps:cNvPr id="7" name="Text Box 2"/>
                        <wps:cNvSpPr txBox="1">
                          <a:spLocks noChangeArrowheads="1"/>
                        </wps:cNvSpPr>
                        <wps:spPr bwMode="auto">
                          <a:xfrm>
                            <a:off x="0" y="906449"/>
                            <a:ext cx="241300" cy="273050"/>
                          </a:xfrm>
                          <a:prstGeom prst="rect">
                            <a:avLst/>
                          </a:prstGeom>
                          <a:noFill/>
                          <a:ln w="9525">
                            <a:noFill/>
                            <a:miter lim="800000"/>
                            <a:headEnd/>
                            <a:tailEnd/>
                          </a:ln>
                        </wps:spPr>
                        <wps:txbx>
                          <w:txbxContent>
                            <w:p w14:paraId="2FC83DDC" w14:textId="66297D3D" w:rsidR="00874130" w:rsidRDefault="00874130" w:rsidP="006E63A0">
                              <w:r>
                                <w:t>11</w:t>
                              </w:r>
                            </w:p>
                          </w:txbxContent>
                        </wps:txbx>
                        <wps:bodyPr rot="0" vert="horz" wrap="square" lIns="91440" tIns="45720" rIns="91440" bIns="45720" anchor="t" anchorCtr="0">
                          <a:noAutofit/>
                        </wps:bodyPr>
                      </wps:wsp>
                      <wps:wsp>
                        <wps:cNvPr id="8" name="Text Box 2"/>
                        <wps:cNvSpPr txBox="1">
                          <a:spLocks noChangeArrowheads="1"/>
                        </wps:cNvSpPr>
                        <wps:spPr bwMode="auto">
                          <a:xfrm>
                            <a:off x="0" y="1097280"/>
                            <a:ext cx="241300" cy="273050"/>
                          </a:xfrm>
                          <a:prstGeom prst="rect">
                            <a:avLst/>
                          </a:prstGeom>
                          <a:noFill/>
                          <a:ln w="9525">
                            <a:noFill/>
                            <a:miter lim="800000"/>
                            <a:headEnd/>
                            <a:tailEnd/>
                          </a:ln>
                        </wps:spPr>
                        <wps:txbx>
                          <w:txbxContent>
                            <w:p w14:paraId="5A719432" w14:textId="659B20A9" w:rsidR="00874130" w:rsidRDefault="00874130" w:rsidP="006E63A0">
                              <w:r>
                                <w:t>1</w:t>
                              </w:r>
                            </w:p>
                          </w:txbxContent>
                        </wps:txbx>
                        <wps:bodyPr rot="0" vert="horz" wrap="square" lIns="91440" tIns="45720" rIns="91440" bIns="45720" anchor="t" anchorCtr="0">
                          <a:noAutofit/>
                        </wps:bodyPr>
                      </wps:wsp>
                      <wps:wsp>
                        <wps:cNvPr id="9" name="Text Box 2"/>
                        <wps:cNvSpPr txBox="1">
                          <a:spLocks noChangeArrowheads="1"/>
                        </wps:cNvSpPr>
                        <wps:spPr bwMode="auto">
                          <a:xfrm>
                            <a:off x="1415333" y="0"/>
                            <a:ext cx="241300" cy="273050"/>
                          </a:xfrm>
                          <a:prstGeom prst="rect">
                            <a:avLst/>
                          </a:prstGeom>
                          <a:noFill/>
                          <a:ln w="9525">
                            <a:noFill/>
                            <a:miter lim="800000"/>
                            <a:headEnd/>
                            <a:tailEnd/>
                          </a:ln>
                        </wps:spPr>
                        <wps:txbx>
                          <w:txbxContent>
                            <w:p w14:paraId="313BDE26" w14:textId="77777777" w:rsidR="00874130" w:rsidRDefault="00874130" w:rsidP="006E63A0">
                              <w:r>
                                <w:t>2</w:t>
                              </w:r>
                            </w:p>
                          </w:txbxContent>
                        </wps:txbx>
                        <wps:bodyPr rot="0" vert="horz" wrap="square" lIns="91440" tIns="45720" rIns="91440" bIns="45720" anchor="t" anchorCtr="0">
                          <a:noAutofit/>
                        </wps:bodyPr>
                      </wps:wsp>
                      <wps:wsp>
                        <wps:cNvPr id="10" name="Text Box 2"/>
                        <wps:cNvSpPr txBox="1">
                          <a:spLocks noChangeArrowheads="1"/>
                        </wps:cNvSpPr>
                        <wps:spPr bwMode="auto">
                          <a:xfrm>
                            <a:off x="1415333" y="190831"/>
                            <a:ext cx="241300" cy="273050"/>
                          </a:xfrm>
                          <a:prstGeom prst="rect">
                            <a:avLst/>
                          </a:prstGeom>
                          <a:noFill/>
                          <a:ln w="9525">
                            <a:noFill/>
                            <a:miter lim="800000"/>
                            <a:headEnd/>
                            <a:tailEnd/>
                          </a:ln>
                        </wps:spPr>
                        <wps:txbx>
                          <w:txbxContent>
                            <w:p w14:paraId="1000B136" w14:textId="77777777" w:rsidR="00874130" w:rsidRDefault="00874130" w:rsidP="006E63A0">
                              <w: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415333" y="397565"/>
                            <a:ext cx="241300" cy="273050"/>
                          </a:xfrm>
                          <a:prstGeom prst="rect">
                            <a:avLst/>
                          </a:prstGeom>
                          <a:noFill/>
                          <a:ln w="9525">
                            <a:noFill/>
                            <a:miter lim="800000"/>
                            <a:headEnd/>
                            <a:tailEnd/>
                          </a:ln>
                        </wps:spPr>
                        <wps:txbx>
                          <w:txbxContent>
                            <w:p w14:paraId="41A8AD8B" w14:textId="77777777" w:rsidR="00874130" w:rsidRDefault="00874130" w:rsidP="006E63A0">
                              <w:r>
                                <w:t>2</w:t>
                              </w:r>
                            </w:p>
                          </w:txbxContent>
                        </wps:txbx>
                        <wps:bodyPr rot="0" vert="horz" wrap="square" lIns="91440" tIns="45720" rIns="91440" bIns="45720" anchor="t" anchorCtr="0">
                          <a:noAutofit/>
                        </wps:bodyPr>
                      </wps:wsp>
                      <wps:wsp>
                        <wps:cNvPr id="12" name="Text Box 2"/>
                        <wps:cNvSpPr txBox="1">
                          <a:spLocks noChangeArrowheads="1"/>
                        </wps:cNvSpPr>
                        <wps:spPr bwMode="auto">
                          <a:xfrm>
                            <a:off x="1423284" y="588396"/>
                            <a:ext cx="241300" cy="273050"/>
                          </a:xfrm>
                          <a:prstGeom prst="rect">
                            <a:avLst/>
                          </a:prstGeom>
                          <a:noFill/>
                          <a:ln w="9525">
                            <a:noFill/>
                            <a:miter lim="800000"/>
                            <a:headEnd/>
                            <a:tailEnd/>
                          </a:ln>
                        </wps:spPr>
                        <wps:txbx>
                          <w:txbxContent>
                            <w:p w14:paraId="5356A92A" w14:textId="77777777" w:rsidR="00874130" w:rsidRDefault="00874130" w:rsidP="006E63A0">
                              <w:r>
                                <w:t>2</w:t>
                              </w:r>
                            </w:p>
                          </w:txbxContent>
                        </wps:txbx>
                        <wps:bodyPr rot="0" vert="horz" wrap="square" lIns="91440" tIns="45720" rIns="91440" bIns="45720" anchor="t" anchorCtr="0">
                          <a:noAutofit/>
                        </wps:bodyPr>
                      </wps:wsp>
                      <wps:wsp>
                        <wps:cNvPr id="13" name="Text Box 2"/>
                        <wps:cNvSpPr txBox="1">
                          <a:spLocks noChangeArrowheads="1"/>
                        </wps:cNvSpPr>
                        <wps:spPr bwMode="auto">
                          <a:xfrm>
                            <a:off x="3148717" y="0"/>
                            <a:ext cx="241300" cy="273050"/>
                          </a:xfrm>
                          <a:prstGeom prst="rect">
                            <a:avLst/>
                          </a:prstGeom>
                          <a:noFill/>
                          <a:ln w="9525">
                            <a:noFill/>
                            <a:miter lim="800000"/>
                            <a:headEnd/>
                            <a:tailEnd/>
                          </a:ln>
                        </wps:spPr>
                        <wps:txbx>
                          <w:txbxContent>
                            <w:p w14:paraId="288E9218" w14:textId="77777777" w:rsidR="00874130" w:rsidRDefault="00874130" w:rsidP="006E63A0">
                              <w:r>
                                <w:t>2</w:t>
                              </w:r>
                            </w:p>
                          </w:txbxContent>
                        </wps:txbx>
                        <wps:bodyPr rot="0" vert="horz" wrap="square" lIns="91440" tIns="45720" rIns="91440" bIns="45720" anchor="t" anchorCtr="0">
                          <a:noAutofit/>
                        </wps:bodyPr>
                      </wps:wsp>
                      <wps:wsp>
                        <wps:cNvPr id="14" name="Text Box 2"/>
                        <wps:cNvSpPr txBox="1">
                          <a:spLocks noChangeArrowheads="1"/>
                        </wps:cNvSpPr>
                        <wps:spPr bwMode="auto">
                          <a:xfrm>
                            <a:off x="3148717" y="190831"/>
                            <a:ext cx="241300" cy="273050"/>
                          </a:xfrm>
                          <a:prstGeom prst="rect">
                            <a:avLst/>
                          </a:prstGeom>
                          <a:noFill/>
                          <a:ln w="9525">
                            <a:noFill/>
                            <a:miter lim="800000"/>
                            <a:headEnd/>
                            <a:tailEnd/>
                          </a:ln>
                        </wps:spPr>
                        <wps:txbx>
                          <w:txbxContent>
                            <w:p w14:paraId="1675D928" w14:textId="77777777" w:rsidR="00874130" w:rsidRDefault="00874130" w:rsidP="006E63A0">
                              <w:r>
                                <w:t>2</w:t>
                              </w:r>
                            </w:p>
                          </w:txbxContent>
                        </wps:txbx>
                        <wps:bodyPr rot="0" vert="horz" wrap="square" lIns="91440" tIns="45720" rIns="91440" bIns="45720" anchor="t" anchorCtr="0">
                          <a:noAutofit/>
                        </wps:bodyPr>
                      </wps:wsp>
                      <wps:wsp>
                        <wps:cNvPr id="15" name="Text Box 2"/>
                        <wps:cNvSpPr txBox="1">
                          <a:spLocks noChangeArrowheads="1"/>
                        </wps:cNvSpPr>
                        <wps:spPr bwMode="auto">
                          <a:xfrm>
                            <a:off x="3148717" y="397565"/>
                            <a:ext cx="241300" cy="273050"/>
                          </a:xfrm>
                          <a:prstGeom prst="rect">
                            <a:avLst/>
                          </a:prstGeom>
                          <a:noFill/>
                          <a:ln w="9525">
                            <a:noFill/>
                            <a:miter lim="800000"/>
                            <a:headEnd/>
                            <a:tailEnd/>
                          </a:ln>
                        </wps:spPr>
                        <wps:txbx>
                          <w:txbxContent>
                            <w:p w14:paraId="46DB9056" w14:textId="77777777" w:rsidR="00874130" w:rsidRDefault="00874130" w:rsidP="006E63A0">
                              <w:r>
                                <w:t>2</w:t>
                              </w:r>
                            </w:p>
                          </w:txbxContent>
                        </wps:txbx>
                        <wps:bodyPr rot="0" vert="horz" wrap="square" lIns="91440" tIns="45720" rIns="91440" bIns="45720" anchor="t" anchorCtr="0">
                          <a:noAutofit/>
                        </wps:bodyPr>
                      </wps:wsp>
                      <wps:wsp>
                        <wps:cNvPr id="16" name="Text Box 2"/>
                        <wps:cNvSpPr txBox="1">
                          <a:spLocks noChangeArrowheads="1"/>
                        </wps:cNvSpPr>
                        <wps:spPr bwMode="auto">
                          <a:xfrm>
                            <a:off x="4707173" y="588396"/>
                            <a:ext cx="241300" cy="273050"/>
                          </a:xfrm>
                          <a:prstGeom prst="rect">
                            <a:avLst/>
                          </a:prstGeom>
                          <a:noFill/>
                          <a:ln w="9525">
                            <a:noFill/>
                            <a:miter lim="800000"/>
                            <a:headEnd/>
                            <a:tailEnd/>
                          </a:ln>
                        </wps:spPr>
                        <wps:txbx>
                          <w:txbxContent>
                            <w:p w14:paraId="64FA23A5" w14:textId="77777777" w:rsidR="00874130" w:rsidRDefault="00874130" w:rsidP="006E63A0">
                              <w:r>
                                <w:t>2</w:t>
                              </w:r>
                            </w:p>
                          </w:txbxContent>
                        </wps:txbx>
                        <wps:bodyPr rot="0" vert="horz" wrap="square" lIns="91440" tIns="45720" rIns="91440" bIns="45720" anchor="t" anchorCtr="0">
                          <a:noAutofit/>
                        </wps:bodyPr>
                      </wps:wsp>
                      <wps:wsp>
                        <wps:cNvPr id="17" name="Text Box 2"/>
                        <wps:cNvSpPr txBox="1">
                          <a:spLocks noChangeArrowheads="1"/>
                        </wps:cNvSpPr>
                        <wps:spPr bwMode="auto">
                          <a:xfrm>
                            <a:off x="4715124" y="198782"/>
                            <a:ext cx="241300" cy="273050"/>
                          </a:xfrm>
                          <a:prstGeom prst="rect">
                            <a:avLst/>
                          </a:prstGeom>
                          <a:noFill/>
                          <a:ln w="9525">
                            <a:noFill/>
                            <a:miter lim="800000"/>
                            <a:headEnd/>
                            <a:tailEnd/>
                          </a:ln>
                        </wps:spPr>
                        <wps:txbx>
                          <w:txbxContent>
                            <w:p w14:paraId="5AC48BEF" w14:textId="2F3DE916" w:rsidR="00874130" w:rsidRDefault="00874130" w:rsidP="006E63A0">
                              <w:r>
                                <w:t>1</w:t>
                              </w:r>
                            </w:p>
                          </w:txbxContent>
                        </wps:txbx>
                        <wps:bodyPr rot="0" vert="horz" wrap="square" lIns="91440" tIns="45720" rIns="91440" bIns="45720" anchor="t" anchorCtr="0">
                          <a:noAutofit/>
                        </wps:bodyPr>
                      </wps:wsp>
                      <wps:wsp>
                        <wps:cNvPr id="18" name="Text Box 2"/>
                        <wps:cNvSpPr txBox="1">
                          <a:spLocks noChangeArrowheads="1"/>
                        </wps:cNvSpPr>
                        <wps:spPr bwMode="auto">
                          <a:xfrm>
                            <a:off x="3148717" y="691763"/>
                            <a:ext cx="241300" cy="273050"/>
                          </a:xfrm>
                          <a:prstGeom prst="rect">
                            <a:avLst/>
                          </a:prstGeom>
                          <a:noFill/>
                          <a:ln w="9525">
                            <a:noFill/>
                            <a:miter lim="800000"/>
                            <a:headEnd/>
                            <a:tailEnd/>
                          </a:ln>
                        </wps:spPr>
                        <wps:txbx>
                          <w:txbxContent>
                            <w:p w14:paraId="2A35C3EA" w14:textId="77777777" w:rsidR="00874130" w:rsidRDefault="00874130" w:rsidP="006E63A0">
                              <w:r>
                                <w:t>1</w:t>
                              </w:r>
                            </w:p>
                          </w:txbxContent>
                        </wps:txbx>
                        <wps:bodyPr rot="0" vert="horz" wrap="square" lIns="91440" tIns="45720" rIns="91440" bIns="45720" anchor="t" anchorCtr="0">
                          <a:noAutofit/>
                        </wps:bodyPr>
                      </wps:wsp>
                      <wps:wsp>
                        <wps:cNvPr id="19" name="Text Box 2"/>
                        <wps:cNvSpPr txBox="1">
                          <a:spLocks noChangeArrowheads="1"/>
                        </wps:cNvSpPr>
                        <wps:spPr bwMode="auto">
                          <a:xfrm>
                            <a:off x="3148717" y="890546"/>
                            <a:ext cx="241300" cy="273050"/>
                          </a:xfrm>
                          <a:prstGeom prst="rect">
                            <a:avLst/>
                          </a:prstGeom>
                          <a:noFill/>
                          <a:ln w="9525">
                            <a:noFill/>
                            <a:miter lim="800000"/>
                            <a:headEnd/>
                            <a:tailEnd/>
                          </a:ln>
                        </wps:spPr>
                        <wps:txbx>
                          <w:txbxContent>
                            <w:p w14:paraId="0AC4D26F" w14:textId="77777777" w:rsidR="00874130" w:rsidRDefault="00874130" w:rsidP="006E63A0">
                              <w:r>
                                <w:t>1</w:t>
                              </w:r>
                            </w:p>
                          </w:txbxContent>
                        </wps:txbx>
                        <wps:bodyPr rot="0" vert="horz" wrap="square" lIns="91440" tIns="45720" rIns="91440" bIns="45720" anchor="t" anchorCtr="0">
                          <a:noAutofit/>
                        </wps:bodyPr>
                      </wps:wsp>
                      <wps:wsp>
                        <wps:cNvPr id="20" name="Text Box 2"/>
                        <wps:cNvSpPr txBox="1">
                          <a:spLocks noChangeArrowheads="1"/>
                        </wps:cNvSpPr>
                        <wps:spPr bwMode="auto">
                          <a:xfrm>
                            <a:off x="3148717" y="1097280"/>
                            <a:ext cx="241300" cy="273050"/>
                          </a:xfrm>
                          <a:prstGeom prst="rect">
                            <a:avLst/>
                          </a:prstGeom>
                          <a:noFill/>
                          <a:ln w="9525">
                            <a:noFill/>
                            <a:miter lim="800000"/>
                            <a:headEnd/>
                            <a:tailEnd/>
                          </a:ln>
                        </wps:spPr>
                        <wps:txbx>
                          <w:txbxContent>
                            <w:p w14:paraId="283A6860" w14:textId="77777777" w:rsidR="00874130" w:rsidRDefault="00874130" w:rsidP="006E63A0">
                              <w:r>
                                <w:t>1</w:t>
                              </w:r>
                            </w:p>
                          </w:txbxContent>
                        </wps:txbx>
                        <wps:bodyPr rot="0" vert="horz" wrap="square" lIns="91440" tIns="45720" rIns="91440" bIns="45720" anchor="t" anchorCtr="0">
                          <a:noAutofit/>
                        </wps:bodyPr>
                      </wps:wsp>
                      <wps:wsp>
                        <wps:cNvPr id="21" name="Text Box 2"/>
                        <wps:cNvSpPr txBox="1">
                          <a:spLocks noChangeArrowheads="1"/>
                        </wps:cNvSpPr>
                        <wps:spPr bwMode="auto">
                          <a:xfrm>
                            <a:off x="3156668" y="1288111"/>
                            <a:ext cx="241300" cy="273050"/>
                          </a:xfrm>
                          <a:prstGeom prst="rect">
                            <a:avLst/>
                          </a:prstGeom>
                          <a:noFill/>
                          <a:ln w="9525">
                            <a:noFill/>
                            <a:miter lim="800000"/>
                            <a:headEnd/>
                            <a:tailEnd/>
                          </a:ln>
                        </wps:spPr>
                        <wps:txbx>
                          <w:txbxContent>
                            <w:p w14:paraId="03D61C0E" w14:textId="77777777" w:rsidR="00874130" w:rsidRDefault="00874130" w:rsidP="006E63A0">
                              <w:r>
                                <w:t>1</w:t>
                              </w:r>
                            </w:p>
                          </w:txbxContent>
                        </wps:txbx>
                        <wps:bodyPr rot="0" vert="horz" wrap="square" lIns="91440" tIns="45720" rIns="91440" bIns="45720" anchor="t" anchorCtr="0">
                          <a:noAutofit/>
                        </wps:bodyPr>
                      </wps:wsp>
                      <wps:wsp>
                        <wps:cNvPr id="22" name="Text Box 2"/>
                        <wps:cNvSpPr txBox="1">
                          <a:spLocks noChangeArrowheads="1"/>
                        </wps:cNvSpPr>
                        <wps:spPr bwMode="auto">
                          <a:xfrm>
                            <a:off x="1415333" y="882595"/>
                            <a:ext cx="241300" cy="273050"/>
                          </a:xfrm>
                          <a:prstGeom prst="rect">
                            <a:avLst/>
                          </a:prstGeom>
                          <a:noFill/>
                          <a:ln w="9525">
                            <a:noFill/>
                            <a:miter lim="800000"/>
                            <a:headEnd/>
                            <a:tailEnd/>
                          </a:ln>
                        </wps:spPr>
                        <wps:txbx>
                          <w:txbxContent>
                            <w:p w14:paraId="5ECDF862" w14:textId="77777777" w:rsidR="00874130" w:rsidRDefault="00874130" w:rsidP="006E63A0">
                              <w:r>
                                <w:t>1</w:t>
                              </w:r>
                            </w:p>
                          </w:txbxContent>
                        </wps:txbx>
                        <wps:bodyPr rot="0" vert="horz" wrap="square" lIns="91440" tIns="45720" rIns="91440" bIns="45720" anchor="t" anchorCtr="0">
                          <a:noAutofit/>
                        </wps:bodyPr>
                      </wps:wsp>
                      <wps:wsp>
                        <wps:cNvPr id="23" name="Text Box 2"/>
                        <wps:cNvSpPr txBox="1">
                          <a:spLocks noChangeArrowheads="1"/>
                        </wps:cNvSpPr>
                        <wps:spPr bwMode="auto">
                          <a:xfrm>
                            <a:off x="1415333" y="1073426"/>
                            <a:ext cx="241300" cy="273050"/>
                          </a:xfrm>
                          <a:prstGeom prst="rect">
                            <a:avLst/>
                          </a:prstGeom>
                          <a:noFill/>
                          <a:ln w="9525">
                            <a:noFill/>
                            <a:miter lim="800000"/>
                            <a:headEnd/>
                            <a:tailEnd/>
                          </a:ln>
                        </wps:spPr>
                        <wps:txbx>
                          <w:txbxContent>
                            <w:p w14:paraId="3F425BD4" w14:textId="77777777" w:rsidR="00874130" w:rsidRDefault="00874130" w:rsidP="006E63A0">
                              <w:r>
                                <w:t>1</w:t>
                              </w:r>
                            </w:p>
                          </w:txbxContent>
                        </wps:txbx>
                        <wps:bodyPr rot="0" vert="horz" wrap="square" lIns="91440" tIns="45720" rIns="91440" bIns="45720" anchor="t" anchorCtr="0">
                          <a:noAutofit/>
                        </wps:bodyPr>
                      </wps:wsp>
                      <wps:wsp>
                        <wps:cNvPr id="24" name="Text Box 2"/>
                        <wps:cNvSpPr txBox="1">
                          <a:spLocks noChangeArrowheads="1"/>
                        </wps:cNvSpPr>
                        <wps:spPr bwMode="auto">
                          <a:xfrm>
                            <a:off x="1423284" y="1264257"/>
                            <a:ext cx="241300" cy="273050"/>
                          </a:xfrm>
                          <a:prstGeom prst="rect">
                            <a:avLst/>
                          </a:prstGeom>
                          <a:noFill/>
                          <a:ln w="9525">
                            <a:noFill/>
                            <a:miter lim="800000"/>
                            <a:headEnd/>
                            <a:tailEnd/>
                          </a:ln>
                        </wps:spPr>
                        <wps:txbx>
                          <w:txbxContent>
                            <w:p w14:paraId="751B1C90" w14:textId="77777777" w:rsidR="00874130" w:rsidRDefault="00874130" w:rsidP="006E63A0">
                              <w:r>
                                <w:t>1</w:t>
                              </w:r>
                            </w:p>
                          </w:txbxContent>
                        </wps:txbx>
                        <wps:bodyPr rot="0" vert="horz" wrap="square" lIns="91440" tIns="45720" rIns="91440" bIns="45720" anchor="t" anchorCtr="0">
                          <a:noAutofit/>
                        </wps:bodyPr>
                      </wps:wsp>
                      <wps:wsp>
                        <wps:cNvPr id="25" name="Text Box 2"/>
                        <wps:cNvSpPr txBox="1">
                          <a:spLocks noChangeArrowheads="1"/>
                        </wps:cNvSpPr>
                        <wps:spPr bwMode="auto">
                          <a:xfrm>
                            <a:off x="1415333" y="1463040"/>
                            <a:ext cx="241300" cy="273050"/>
                          </a:xfrm>
                          <a:prstGeom prst="rect">
                            <a:avLst/>
                          </a:prstGeom>
                          <a:noFill/>
                          <a:ln w="9525">
                            <a:noFill/>
                            <a:miter lim="800000"/>
                            <a:headEnd/>
                            <a:tailEnd/>
                          </a:ln>
                        </wps:spPr>
                        <wps:txbx>
                          <w:txbxContent>
                            <w:p w14:paraId="70C4310B" w14:textId="77777777" w:rsidR="00874130" w:rsidRDefault="00874130" w:rsidP="006E63A0">
                              <w:r>
                                <w:t>1</w:t>
                              </w:r>
                            </w:p>
                          </w:txbxContent>
                        </wps:txbx>
                        <wps:bodyPr rot="0" vert="horz" wrap="square" lIns="91440" tIns="45720" rIns="91440" bIns="45720" anchor="t" anchorCtr="0">
                          <a:noAutofit/>
                        </wps:bodyPr>
                      </wps:wsp>
                      <wps:wsp>
                        <wps:cNvPr id="26" name="Text Box 2"/>
                        <wps:cNvSpPr txBox="1">
                          <a:spLocks noChangeArrowheads="1"/>
                        </wps:cNvSpPr>
                        <wps:spPr bwMode="auto">
                          <a:xfrm>
                            <a:off x="1415333" y="1653871"/>
                            <a:ext cx="241300" cy="273050"/>
                          </a:xfrm>
                          <a:prstGeom prst="rect">
                            <a:avLst/>
                          </a:prstGeom>
                          <a:noFill/>
                          <a:ln w="9525">
                            <a:noFill/>
                            <a:miter lim="800000"/>
                            <a:headEnd/>
                            <a:tailEnd/>
                          </a:ln>
                        </wps:spPr>
                        <wps:txbx>
                          <w:txbxContent>
                            <w:p w14:paraId="0060D009" w14:textId="77777777" w:rsidR="00874130" w:rsidRDefault="00874130" w:rsidP="006E63A0">
                              <w:r>
                                <w:t>1</w:t>
                              </w:r>
                            </w:p>
                          </w:txbxContent>
                        </wps:txbx>
                        <wps:bodyPr rot="0" vert="horz" wrap="square" lIns="91440" tIns="45720" rIns="91440" bIns="45720" anchor="t" anchorCtr="0">
                          <a:noAutofit/>
                        </wps:bodyPr>
                      </wps:wsp>
                      <wps:wsp>
                        <wps:cNvPr id="27" name="Text Box 2"/>
                        <wps:cNvSpPr txBox="1">
                          <a:spLocks noChangeArrowheads="1"/>
                        </wps:cNvSpPr>
                        <wps:spPr bwMode="auto">
                          <a:xfrm>
                            <a:off x="4715124" y="0"/>
                            <a:ext cx="241300" cy="273050"/>
                          </a:xfrm>
                          <a:prstGeom prst="rect">
                            <a:avLst/>
                          </a:prstGeom>
                          <a:noFill/>
                          <a:ln w="9525">
                            <a:noFill/>
                            <a:miter lim="800000"/>
                            <a:headEnd/>
                            <a:tailEnd/>
                          </a:ln>
                        </wps:spPr>
                        <wps:txbx>
                          <w:txbxContent>
                            <w:p w14:paraId="2D2006E4" w14:textId="4A1E1882" w:rsidR="00874130" w:rsidRDefault="00874130" w:rsidP="006E63A0">
                              <w:r>
                                <w:t>3</w:t>
                              </w:r>
                            </w:p>
                          </w:txbxContent>
                        </wps:txbx>
                        <wps:bodyPr rot="0" vert="horz" wrap="square" lIns="91440" tIns="45720" rIns="91440" bIns="45720" anchor="t" anchorCtr="0">
                          <a:noAutofit/>
                        </wps:bodyPr>
                      </wps:wsp>
                      <wps:wsp>
                        <wps:cNvPr id="28" name="Text Box 2"/>
                        <wps:cNvSpPr txBox="1">
                          <a:spLocks noChangeArrowheads="1"/>
                        </wps:cNvSpPr>
                        <wps:spPr bwMode="auto">
                          <a:xfrm>
                            <a:off x="4715124" y="389614"/>
                            <a:ext cx="241300" cy="273050"/>
                          </a:xfrm>
                          <a:prstGeom prst="rect">
                            <a:avLst/>
                          </a:prstGeom>
                          <a:noFill/>
                          <a:ln w="9525">
                            <a:noFill/>
                            <a:miter lim="800000"/>
                            <a:headEnd/>
                            <a:tailEnd/>
                          </a:ln>
                        </wps:spPr>
                        <wps:txbx>
                          <w:txbxContent>
                            <w:p w14:paraId="5A6527F4" w14:textId="499DF17A" w:rsidR="00874130" w:rsidRDefault="00874130" w:rsidP="006E63A0">
                              <w:r>
                                <w:t>3</w:t>
                              </w:r>
                            </w:p>
                          </w:txbxContent>
                        </wps:txbx>
                        <wps:bodyPr rot="0" vert="horz" wrap="square" lIns="91440" tIns="45720" rIns="91440" bIns="45720" anchor="t" anchorCtr="0">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A521EA" id="Group 29" o:spid="_x0000_s1026" style="position:absolute;margin-left:11.25pt;margin-top:257.15pt;width:390.25pt;height:151.75pt;z-index:251710464" coordsize="49564,19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">
                <v:shapetype id="_x0000_t202" coordsize="21600,21600" o:spt="202" path="m,l,21600r21600,l21600,xe">
                  <v:stroke joinstyle="miter"/>
                  <v:path gradientshapeok="t" o:connecttype="rect"/>
                </v:shapetype>
                <v:shape id="_x0000_s1027" type="#_x0000_t202" style="position:absolute;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959BDA" w14:textId="7F17A86D" w:rsidR="00874130" w:rsidRDefault="00874130">
                        <w:r>
                          <w:t>2</w:t>
                        </w:r>
                      </w:p>
                    </w:txbxContent>
                  </v:textbox>
                </v:shape>
                <v:shape id="_x0000_s1028" type="#_x0000_t202" style="position:absolute;left:79;top:1987;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900A2F6" w14:textId="77777777" w:rsidR="00874130" w:rsidRDefault="00874130" w:rsidP="002636F4">
                        <w:r>
                          <w:t>2</w:t>
                        </w:r>
                      </w:p>
                    </w:txbxContent>
                  </v:textbox>
                </v:shape>
                <v:shape id="_x0000_s1029" type="#_x0000_t202" style="position:absolute;left:79;top:3896;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3DEA829" w14:textId="77777777" w:rsidR="00874130" w:rsidRDefault="00874130" w:rsidP="002636F4">
                        <w:r>
                          <w:t>2</w:t>
                        </w:r>
                      </w:p>
                    </w:txbxContent>
                  </v:textbox>
                </v:shape>
                <v:shape id="_x0000_s1030" type="#_x0000_t202" style="position:absolute;top:7076;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AE4F9B7" w14:textId="1102F69F" w:rsidR="00874130" w:rsidRDefault="00874130" w:rsidP="002636F4">
                        <w:r>
                          <w:t>1</w:t>
                        </w:r>
                      </w:p>
                    </w:txbxContent>
                  </v:textbox>
                </v:shape>
                <v:shape id="_x0000_s1031" type="#_x0000_t202" style="position:absolute;top:9064;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FC83DDC" w14:textId="66297D3D" w:rsidR="00874130" w:rsidRDefault="00874130" w:rsidP="006E63A0">
                        <w:r>
                          <w:t>11</w:t>
                        </w:r>
                      </w:p>
                    </w:txbxContent>
                  </v:textbox>
                </v:shape>
                <v:shape id="_x0000_s1032" type="#_x0000_t202" style="position:absolute;top:10972;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A719432" w14:textId="659B20A9" w:rsidR="00874130" w:rsidRDefault="00874130" w:rsidP="006E63A0">
                        <w:r>
                          <w:t>1</w:t>
                        </w:r>
                      </w:p>
                    </w:txbxContent>
                  </v:textbox>
                </v:shape>
                <v:shape id="_x0000_s1033" type="#_x0000_t202" style="position:absolute;left:14153;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13BDE26" w14:textId="77777777" w:rsidR="00874130" w:rsidRDefault="00874130" w:rsidP="006E63A0">
                        <w:r>
                          <w:t>2</w:t>
                        </w:r>
                      </w:p>
                    </w:txbxContent>
                  </v:textbox>
                </v:shape>
                <v:shape id="_x0000_s1034" type="#_x0000_t202" style="position:absolute;left:14153;top:1908;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000B136" w14:textId="77777777" w:rsidR="00874130" w:rsidRDefault="00874130" w:rsidP="006E63A0">
                        <w:r>
                          <w:t>2</w:t>
                        </w:r>
                      </w:p>
                    </w:txbxContent>
                  </v:textbox>
                </v:shape>
                <v:shape id="_x0000_s1035" type="#_x0000_t202" style="position:absolute;left:14153;top:3975;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1A8AD8B" w14:textId="77777777" w:rsidR="00874130" w:rsidRDefault="00874130" w:rsidP="006E63A0">
                        <w:r>
                          <w:t>2</w:t>
                        </w:r>
                      </w:p>
                    </w:txbxContent>
                  </v:textbox>
                </v:shape>
                <v:shape id="_x0000_s1036" type="#_x0000_t202" style="position:absolute;left:14232;top:5883;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356A92A" w14:textId="77777777" w:rsidR="00874130" w:rsidRDefault="00874130" w:rsidP="006E63A0">
                        <w:r>
                          <w:t>2</w:t>
                        </w:r>
                      </w:p>
                    </w:txbxContent>
                  </v:textbox>
                </v:shape>
                <v:shape id="_x0000_s1037" type="#_x0000_t202" style="position:absolute;left:31487;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88E9218" w14:textId="77777777" w:rsidR="00874130" w:rsidRDefault="00874130" w:rsidP="006E63A0">
                        <w:r>
                          <w:t>2</w:t>
                        </w:r>
                      </w:p>
                    </w:txbxContent>
                  </v:textbox>
                </v:shape>
                <v:shape id="_x0000_s1038" type="#_x0000_t202" style="position:absolute;left:31487;top:1908;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675D928" w14:textId="77777777" w:rsidR="00874130" w:rsidRDefault="00874130" w:rsidP="006E63A0">
                        <w:r>
                          <w:t>2</w:t>
                        </w:r>
                      </w:p>
                    </w:txbxContent>
                  </v:textbox>
                </v:shape>
                <v:shape id="_x0000_s1039" type="#_x0000_t202" style="position:absolute;left:31487;top:3975;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6DB9056" w14:textId="77777777" w:rsidR="00874130" w:rsidRDefault="00874130" w:rsidP="006E63A0">
                        <w:r>
                          <w:t>2</w:t>
                        </w:r>
                      </w:p>
                    </w:txbxContent>
                  </v:textbox>
                </v:shape>
                <v:shape id="_x0000_s1040" type="#_x0000_t202" style="position:absolute;left:47071;top:5883;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4FA23A5" w14:textId="77777777" w:rsidR="00874130" w:rsidRDefault="00874130" w:rsidP="006E63A0">
                        <w:r>
                          <w:t>2</w:t>
                        </w:r>
                      </w:p>
                    </w:txbxContent>
                  </v:textbox>
                </v:shape>
                <v:shape id="_x0000_s1041" type="#_x0000_t202" style="position:absolute;left:47151;top:1987;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AC48BEF" w14:textId="2F3DE916" w:rsidR="00874130" w:rsidRDefault="00874130" w:rsidP="006E63A0">
                        <w:r>
                          <w:t>1</w:t>
                        </w:r>
                      </w:p>
                    </w:txbxContent>
                  </v:textbox>
                </v:shape>
                <v:shape id="_x0000_s1042" type="#_x0000_t202" style="position:absolute;left:31487;top:6917;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A35C3EA" w14:textId="77777777" w:rsidR="00874130" w:rsidRDefault="00874130" w:rsidP="006E63A0">
                        <w:r>
                          <w:t>1</w:t>
                        </w:r>
                      </w:p>
                    </w:txbxContent>
                  </v:textbox>
                </v:shape>
                <v:shape id="_x0000_s1043" type="#_x0000_t202" style="position:absolute;left:31487;top:8905;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C4D26F" w14:textId="77777777" w:rsidR="00874130" w:rsidRDefault="00874130" w:rsidP="006E63A0">
                        <w:r>
                          <w:t>1</w:t>
                        </w:r>
                      </w:p>
                    </w:txbxContent>
                  </v:textbox>
                </v:shape>
                <v:shape id="_x0000_s1044" type="#_x0000_t202" style="position:absolute;left:31487;top:10972;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83A6860" w14:textId="77777777" w:rsidR="00874130" w:rsidRDefault="00874130" w:rsidP="006E63A0">
                        <w:r>
                          <w:t>1</w:t>
                        </w:r>
                      </w:p>
                    </w:txbxContent>
                  </v:textbox>
                </v:shape>
                <v:shape id="_x0000_s1045" type="#_x0000_t202" style="position:absolute;left:31566;top:12881;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3D61C0E" w14:textId="77777777" w:rsidR="00874130" w:rsidRDefault="00874130" w:rsidP="006E63A0">
                        <w:r>
                          <w:t>1</w:t>
                        </w:r>
                      </w:p>
                    </w:txbxContent>
                  </v:textbox>
                </v:shape>
                <v:shape id="_x0000_s1046" type="#_x0000_t202" style="position:absolute;left:14153;top:8825;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ECDF862" w14:textId="77777777" w:rsidR="00874130" w:rsidRDefault="00874130" w:rsidP="006E63A0">
                        <w:r>
                          <w:t>1</w:t>
                        </w:r>
                      </w:p>
                    </w:txbxContent>
                  </v:textbox>
                </v:shape>
                <v:shape id="_x0000_s1047" type="#_x0000_t202" style="position:absolute;left:14153;top:10734;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F425BD4" w14:textId="77777777" w:rsidR="00874130" w:rsidRDefault="00874130" w:rsidP="006E63A0">
                        <w:r>
                          <w:t>1</w:t>
                        </w:r>
                      </w:p>
                    </w:txbxContent>
                  </v:textbox>
                </v:shape>
                <v:shape id="_x0000_s1048" type="#_x0000_t202" style="position:absolute;left:14232;top:12642;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51B1C90" w14:textId="77777777" w:rsidR="00874130" w:rsidRDefault="00874130" w:rsidP="006E63A0">
                        <w:r>
                          <w:t>1</w:t>
                        </w:r>
                      </w:p>
                    </w:txbxContent>
                  </v:textbox>
                </v:shape>
                <v:shape id="_x0000_s1049" type="#_x0000_t202" style="position:absolute;left:14153;top:14630;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70C4310B" w14:textId="77777777" w:rsidR="00874130" w:rsidRDefault="00874130" w:rsidP="006E63A0">
                        <w:r>
                          <w:t>1</w:t>
                        </w:r>
                      </w:p>
                    </w:txbxContent>
                  </v:textbox>
                </v:shape>
                <v:shape id="_x0000_s1050" type="#_x0000_t202" style="position:absolute;left:14153;top:16538;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060D009" w14:textId="77777777" w:rsidR="00874130" w:rsidRDefault="00874130" w:rsidP="006E63A0">
                        <w:r>
                          <w:t>1</w:t>
                        </w:r>
                      </w:p>
                    </w:txbxContent>
                  </v:textbox>
                </v:shape>
                <v:shape id="_x0000_s1051" type="#_x0000_t202" style="position:absolute;left:47151;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D2006E4" w14:textId="4A1E1882" w:rsidR="00874130" w:rsidRDefault="00874130" w:rsidP="006E63A0">
                        <w:r>
                          <w:t>3</w:t>
                        </w:r>
                      </w:p>
                    </w:txbxContent>
                  </v:textbox>
                </v:shape>
                <v:shape id="_x0000_s1052" type="#_x0000_t202" style="position:absolute;left:47151;top:3896;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A6527F4" w14:textId="499DF17A" w:rsidR="00874130" w:rsidRDefault="00874130" w:rsidP="006E63A0">
                        <w:r>
                          <w:t>3</w:t>
                        </w:r>
                      </w:p>
                    </w:txbxContent>
                  </v:textbox>
                </v:shape>
              </v:group>
            </w:pict>
          </mc:Fallback>
        </mc:AlternateContent>
      </w:r>
      <w:r w:rsidR="00CC3EC5">
        <w:rPr>
          <w:noProof/>
        </w:rPr>
        <w:drawing>
          <wp:inline distT="0" distB="0" distL="0" distR="0" wp14:anchorId="64C3595D" wp14:editId="10184492">
            <wp:extent cx="6038147" cy="5305646"/>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5447" cy="5303274"/>
                    </a:xfrm>
                    <a:prstGeom prst="rect">
                      <a:avLst/>
                    </a:prstGeom>
                  </pic:spPr>
                </pic:pic>
              </a:graphicData>
            </a:graphic>
          </wp:inline>
        </w:drawing>
      </w:r>
    </w:p>
    <w:p w14:paraId="3365D5AF" w14:textId="56761F71" w:rsidR="00CC3EC5" w:rsidRDefault="00CC3EC5" w:rsidP="00CC3EC5">
      <w:pPr>
        <w:rPr>
          <w:i/>
          <w:sz w:val="20"/>
          <w:szCs w:val="20"/>
        </w:rPr>
      </w:pPr>
      <w:r w:rsidRPr="00165AF7">
        <w:rPr>
          <w:rStyle w:val="QuoteChar"/>
          <w:color w:val="auto"/>
          <w:sz w:val="20"/>
          <w:szCs w:val="20"/>
          <w:lang w:val="en-US"/>
        </w:rPr>
        <w:t>Figure S</w:t>
      </w:r>
      <w:r w:rsidR="00165AF7">
        <w:rPr>
          <w:rStyle w:val="QuoteChar"/>
          <w:color w:val="auto"/>
          <w:sz w:val="20"/>
          <w:szCs w:val="20"/>
          <w:lang w:val="en-US"/>
        </w:rPr>
        <w:t>.</w:t>
      </w:r>
      <w:r w:rsidRPr="00165AF7">
        <w:rPr>
          <w:rStyle w:val="QuoteChar"/>
          <w:color w:val="auto"/>
          <w:sz w:val="20"/>
          <w:szCs w:val="20"/>
          <w:lang w:val="en-US"/>
        </w:rPr>
        <w:t>1. The 26 world regions in IMAGE 3.0.</w:t>
      </w:r>
      <w:r w:rsidRPr="00165AF7">
        <w:rPr>
          <w:i/>
          <w:sz w:val="20"/>
          <w:szCs w:val="20"/>
        </w:rPr>
        <w:t xml:space="preserve"> Source: Stehfest et al.</w:t>
      </w:r>
      <w:r w:rsidRPr="00165AF7">
        <w:rPr>
          <w:i/>
          <w:sz w:val="20"/>
          <w:szCs w:val="20"/>
        </w:rPr>
        <w:fldChar w:fldCharType="begin" w:fldLock="1"/>
      </w:r>
      <w:r w:rsidR="00C54645" w:rsidRPr="00165AF7">
        <w:rPr>
          <w:i/>
          <w:sz w:val="20"/>
          <w:szCs w:val="20"/>
        </w:rPr>
        <w:instrText>ADDIN CSL_CITATION {"citationItems":[{"id":"ITEM-1","itemData":{"ISBN":"9491506714","author":[{"dropping-particle":"","family":"Stehfest","given":"Elke","non-dropping-particle":"","parse-names":false,"suffix":""},{"dropping-particle":"","family":"Vuuren","given":"Detlef","non-dropping-particle":"van","parse-names":false,"suffix":""},{"dropping-particle":"","family":"Bouwman","given":"L","non-dropping-particle":"","parse-names":false,"suffix":""},{"dropping-particle":"","family":"Kram","given":"Tom","non-dropping-particle":"","parse-names":false,"suffix":""}],"id":"ITEM-1","issued":{"date-parts":[["2014"]]},"publisher":"Netherlands Environmental Assessment Agency (PBL)","title":"Integrated assessment of global environmental change with IMAGE 3.0: Model description and policy applications","type":"book"},"uris":["http://www.mendeley.com/documents/?uuid=b59a7f7f-20c1-424d-aa69-231f0783d9fb"]}],"mendeley":{"formattedCitation":"&lt;sup&gt;1&lt;/sup&gt;","plainTextFormattedCitation":"1","previouslyFormattedCitation":"&lt;sup&gt;1&lt;/sup&gt;"},"properties":{"noteIndex":0},"schema":"https://github.com/citation-style-language/schema/raw/master/csl-citation.json"}</w:instrText>
      </w:r>
      <w:r w:rsidRPr="00165AF7">
        <w:rPr>
          <w:i/>
          <w:sz w:val="20"/>
          <w:szCs w:val="20"/>
        </w:rPr>
        <w:fldChar w:fldCharType="separate"/>
      </w:r>
      <w:r w:rsidR="00146EE8" w:rsidRPr="00165AF7">
        <w:rPr>
          <w:noProof/>
          <w:sz w:val="20"/>
          <w:szCs w:val="20"/>
          <w:vertAlign w:val="superscript"/>
        </w:rPr>
        <w:t>1</w:t>
      </w:r>
      <w:r w:rsidRPr="00165AF7">
        <w:rPr>
          <w:i/>
          <w:sz w:val="20"/>
          <w:szCs w:val="20"/>
        </w:rPr>
        <w:fldChar w:fldCharType="end"/>
      </w:r>
      <w:r w:rsidRPr="00165AF7">
        <w:rPr>
          <w:i/>
          <w:sz w:val="20"/>
          <w:szCs w:val="20"/>
        </w:rPr>
        <w:t>, reproduced with permission of the editor.</w:t>
      </w:r>
      <w:r w:rsidR="006E63A0" w:rsidRPr="00165AF7">
        <w:rPr>
          <w:i/>
          <w:sz w:val="20"/>
          <w:szCs w:val="20"/>
        </w:rPr>
        <w:t xml:space="preserve"> Regions tagged with a 1 are part of the group classified as ‘fast developing’ regions in the main text. Regions with a 2 represent the ‘steady developed’ region &amp; group 3 indicates China &amp; Japan. </w:t>
      </w:r>
    </w:p>
    <w:p w14:paraId="0CA1078C" w14:textId="18AB4301" w:rsidR="001077F0" w:rsidRDefault="001077F0" w:rsidP="00CC3EC5">
      <w:pPr>
        <w:rPr>
          <w:i/>
          <w:sz w:val="20"/>
          <w:szCs w:val="20"/>
        </w:rPr>
      </w:pPr>
    </w:p>
    <w:p w14:paraId="7D36393A" w14:textId="77777777" w:rsidR="001077F0" w:rsidRPr="00165AF7" w:rsidRDefault="001077F0" w:rsidP="00CC3EC5">
      <w:pPr>
        <w:rPr>
          <w:i/>
          <w:sz w:val="20"/>
          <w:szCs w:val="20"/>
        </w:rPr>
      </w:pPr>
    </w:p>
    <w:p w14:paraId="21F91404" w14:textId="412B4A38" w:rsidR="00FA4960" w:rsidRDefault="00FA4960" w:rsidP="00007EE0">
      <w:pPr>
        <w:pStyle w:val="Heading2"/>
        <w:numPr>
          <w:ilvl w:val="0"/>
          <w:numId w:val="2"/>
        </w:numPr>
      </w:pPr>
      <w:bookmarkStart w:id="1" w:name="_Toc10807383"/>
      <w:r>
        <w:lastRenderedPageBreak/>
        <w:t xml:space="preserve">Regression Analysis for </w:t>
      </w:r>
      <w:r w:rsidR="00367D0E">
        <w:t xml:space="preserve">Service Sector </w:t>
      </w:r>
      <w:r>
        <w:t>Floorspace</w:t>
      </w:r>
      <w:bookmarkEnd w:id="1"/>
    </w:p>
    <w:p w14:paraId="467AFE05" w14:textId="776FCE6B" w:rsidR="00007EE0" w:rsidRDefault="00007EE0" w:rsidP="00007EE0"/>
    <w:p w14:paraId="7C17FE44" w14:textId="34CB2E92" w:rsidR="008949D3" w:rsidRDefault="00007EE0" w:rsidP="00007EE0">
      <w:r>
        <w:t xml:space="preserve">As indicated in the main text, the starting point for our analysis is the 2017 data on </w:t>
      </w:r>
      <w:r w:rsidR="00367D0E">
        <w:t xml:space="preserve">service-related </w:t>
      </w:r>
      <w:r>
        <w:t>floor</w:t>
      </w:r>
      <w:r w:rsidR="007E702E">
        <w:t xml:space="preserve"> </w:t>
      </w:r>
      <w:r>
        <w:t>space in</w:t>
      </w:r>
      <w:r w:rsidR="00F6294F">
        <w:t xml:space="preserve"> </w:t>
      </w:r>
      <w:r>
        <w:t>231</w:t>
      </w:r>
      <w:r w:rsidR="00F6294F">
        <w:t xml:space="preserve"> countries</w:t>
      </w:r>
      <w:r>
        <w:t>, according to</w:t>
      </w:r>
      <w:r w:rsidR="006A352B">
        <w:t xml:space="preserve"> the Navigant Global Building Stock Database</w:t>
      </w:r>
      <w:r w:rsidR="006A352B">
        <w:fldChar w:fldCharType="begin" w:fldLock="1"/>
      </w:r>
      <w:r w:rsidR="00C54645">
        <w:instrText>ADDIN CSL_CITATION {"citationItems":[{"id":"ITEM-1","itemData":{"author":[{"dropping-particle":"","family":"Machinchick","given":"Tom","non-dropping-particle":"","parse-names":false,"suffix":""},{"dropping-particle":"","family":"Freas","given":"Benjamin","non-dropping-particle":"","parse-names":false,"suffix":""}],"id":"ITEM-1","issued":{"date-parts":[["2018"]]},"number-of-pages":"83","title":"Global Building Stock Database, Commercial and Residential Building Floor Space by Country and Building Type: 2017-2026","type":"report"},"uris":["http://www.mendeley.com/documents/?uuid=ea04a29f-d2ca-4df4-af7d-47d0cc52aff2"]}],"mendeley":{"formattedCitation":"&lt;sup&gt;2&lt;/sup&gt;","plainTextFormattedCitation":"2","previouslyFormattedCitation":"&lt;sup&gt;2&lt;/sup&gt;"},"properties":{"noteIndex":0},"schema":"https://github.com/citation-style-language/schema/raw/master/csl-citation.json"}</w:instrText>
      </w:r>
      <w:r w:rsidR="006A352B">
        <w:fldChar w:fldCharType="separate"/>
      </w:r>
      <w:r w:rsidR="00146EE8" w:rsidRPr="00146EE8">
        <w:rPr>
          <w:noProof/>
          <w:vertAlign w:val="superscript"/>
        </w:rPr>
        <w:t>2</w:t>
      </w:r>
      <w:r w:rsidR="006A352B">
        <w:fldChar w:fldCharType="end"/>
      </w:r>
      <w:r w:rsidR="00F6294F">
        <w:t>.</w:t>
      </w:r>
      <w:r w:rsidR="006A352B">
        <w:t xml:space="preserve"> Because </w:t>
      </w:r>
      <w:r w:rsidR="00081978">
        <w:t xml:space="preserve">this is a commercial database, we </w:t>
      </w:r>
      <w:r w:rsidR="00A477CF">
        <w:t>cannot</w:t>
      </w:r>
      <w:r w:rsidR="00081978">
        <w:t xml:space="preserve"> provide the original data. This section </w:t>
      </w:r>
      <w:r w:rsidR="001077F0">
        <w:t>just</w:t>
      </w:r>
      <w:r w:rsidR="00081978">
        <w:t xml:space="preserve"> explains the steps taken</w:t>
      </w:r>
      <w:r w:rsidR="006E63A0">
        <w:t xml:space="preserve"> in the regression analysis</w:t>
      </w:r>
      <w:r w:rsidR="00B76B17">
        <w:t xml:space="preserve">, while providing additional </w:t>
      </w:r>
      <w:r w:rsidR="00081978">
        <w:t xml:space="preserve">detail. </w:t>
      </w:r>
    </w:p>
    <w:p w14:paraId="5BB3781D" w14:textId="55662566" w:rsidR="008949D3" w:rsidRDefault="008949D3" w:rsidP="00081978">
      <w:r>
        <w:t>First, we excluded</w:t>
      </w:r>
      <w:r w:rsidR="00F6294F">
        <w:t xml:space="preserve"> countries for which we could not find </w:t>
      </w:r>
      <w:r w:rsidR="00081978">
        <w:t>the Gross Domestic Product</w:t>
      </w:r>
      <w:r w:rsidR="00FB0479">
        <w:t xml:space="preserve"> (GDP)</w:t>
      </w:r>
      <w:r w:rsidR="00081978">
        <w:t xml:space="preserve"> in Purchasing Power Parity</w:t>
      </w:r>
      <w:r w:rsidR="00F6294F">
        <w:t xml:space="preserve"> </w:t>
      </w:r>
      <w:r w:rsidR="00FB0479">
        <w:t xml:space="preserve">(PPP) </w:t>
      </w:r>
      <w:r w:rsidR="00F6294F">
        <w:t xml:space="preserve">or </w:t>
      </w:r>
      <w:r w:rsidR="00081978">
        <w:t>the Service Value Added (</w:t>
      </w:r>
      <w:r w:rsidR="00F6294F">
        <w:t>SVA</w:t>
      </w:r>
      <w:r w:rsidR="00081978">
        <w:t>)</w:t>
      </w:r>
      <w:r w:rsidR="00F6294F">
        <w:t xml:space="preserve"> fraction</w:t>
      </w:r>
      <w:r w:rsidR="00081978">
        <w:t xml:space="preserve"> in the United Nation statistics</w:t>
      </w:r>
      <w:r w:rsidR="00A477CF">
        <w:fldChar w:fldCharType="begin" w:fldLock="1"/>
      </w:r>
      <w:r w:rsidR="00C54645">
        <w:instrText>ADDIN CSL_CITATION {"citationItems":[{"id":"ITEM-1","itemData":{"URL":"http://data.un.org/Data.aspx?q=GDP&amp;d=SNAAMA&amp;f=grID%3A101%3BcurrID%3AUSD%3BpcFlag%3A1#SNAAMA","author":[{"dropping-particle":"","family":"UNData","given":"","non-dropping-particle":"","parse-names":false,"suffix":""}],"container-title":"National Accounts Estimates of Main Aggregates, United Nations Statistics Division","id":"ITEM-1","issued":{"date-parts":[["2018"]]},"title":"Per capita GDP at current prices","type":"webpage"},"uris":["http://www.mendeley.com/documents/?uuid=92c94ec3-8335-41e1-9b94-31100aa20df3"]}],"mendeley":{"formattedCitation":"&lt;sup&gt;3&lt;/sup&gt;","plainTextFormattedCitation":"3","previouslyFormattedCitation":"&lt;sup&gt;3&lt;/sup&gt;"},"properties":{"noteIndex":0},"schema":"https://github.com/citation-style-language/schema/raw/master/csl-citation.json"}</w:instrText>
      </w:r>
      <w:r w:rsidR="00A477CF">
        <w:fldChar w:fldCharType="separate"/>
      </w:r>
      <w:r w:rsidR="00146EE8" w:rsidRPr="00146EE8">
        <w:rPr>
          <w:noProof/>
          <w:vertAlign w:val="superscript"/>
        </w:rPr>
        <w:t>3</w:t>
      </w:r>
      <w:r w:rsidR="00A477CF">
        <w:fldChar w:fldCharType="end"/>
      </w:r>
      <w:r w:rsidR="00A477CF">
        <w:rPr>
          <w:vertAlign w:val="superscript"/>
        </w:rPr>
        <w:t>,</w:t>
      </w:r>
      <w:r w:rsidR="00A477CF">
        <w:fldChar w:fldCharType="begin" w:fldLock="1"/>
      </w:r>
      <w:r w:rsidR="00C54645">
        <w:instrText>ADDIN CSL_CITATION {"citationItems":[{"id":"ITEM-1","itemData":{"URL":"http://data.un.org/","accessed":{"date-parts":[["2018","11","19"]]},"author":[{"dropping-particle":"","family":"UNData","given":"","non-dropping-particle":"","parse-names":false,"suffix":""}],"container-title":"National Accounts; United Nations Statistics Division","id":"ITEM-1","issued":{"date-parts":[["2018"]]},"title":"GVA by kind of economic activity","type":"webpage"},"uris":["http://www.mendeley.com/documents/?uuid=d2ea6e88-e2dd-42c6-8075-9216a18b1285"]}],"mendeley":{"formattedCitation":"&lt;sup&gt;4&lt;/sup&gt;","plainTextFormattedCitation":"4","previouslyFormattedCitation":"&lt;sup&gt;4&lt;/sup&gt;"},"properties":{"noteIndex":0},"schema":"https://github.com/citation-style-language/schema/raw/master/csl-citation.json"}</w:instrText>
      </w:r>
      <w:r w:rsidR="00A477CF">
        <w:fldChar w:fldCharType="separate"/>
      </w:r>
      <w:r w:rsidR="00146EE8" w:rsidRPr="00146EE8">
        <w:rPr>
          <w:noProof/>
          <w:vertAlign w:val="superscript"/>
        </w:rPr>
        <w:t>4</w:t>
      </w:r>
      <w:r w:rsidR="00A477CF">
        <w:fldChar w:fldCharType="end"/>
      </w:r>
      <w:r w:rsidR="00081978">
        <w:t xml:space="preserve">. </w:t>
      </w:r>
      <w:r w:rsidR="00A477CF">
        <w:t>The following countries were excluded for this reason:</w:t>
      </w:r>
    </w:p>
    <w:p w14:paraId="0EE00AF8" w14:textId="1EE58070" w:rsidR="00F6294F" w:rsidRPr="00A477CF" w:rsidRDefault="00F6294F" w:rsidP="00A477CF">
      <w:pPr>
        <w:ind w:left="720"/>
        <w:rPr>
          <w:i/>
        </w:rPr>
      </w:pPr>
      <w:r w:rsidRPr="00A477CF">
        <w:rPr>
          <w:i/>
        </w:rPr>
        <w:t xml:space="preserve">Greenland, Andorra, Faeroe Islands, Gibraltar, Holy See, Isle of Man, Liechtenstein, Monaco,  American Samoa, Cook Islands, French Polynesia, Guam, North-Korea, Mayotte, New Caledonia, Niue, Northern Mariana Islands, Taiwan, Tokelau, Wallis and Futuna Islands, Anguilla, Aruba, Belize, Cuba, Falkland Islands, French Guiana, Guadeloupe, Martinique, Montserrat, Saint Helena, Saint Kitts and Nevis, Saint Lucia, Saint Pierre and Miquelon, Saint Vincent and the Grenadines, Sint Maarten (Dutch </w:t>
      </w:r>
      <w:r w:rsidR="00EF5343" w:rsidRPr="00A477CF">
        <w:rPr>
          <w:i/>
        </w:rPr>
        <w:t xml:space="preserve">part), Suriname, Turks and Caicos Islands, Venezuela, British &amp; US Virgin Islands, Bahrain, Oman, Syrian Arab Republic, Djibouti, Eritrea, Libya, Rwanda, Somalia, Sudan, Western Sahara. </w:t>
      </w:r>
    </w:p>
    <w:p w14:paraId="30501C8A" w14:textId="71C663EA" w:rsidR="000263E8" w:rsidRDefault="00A477CF" w:rsidP="00A477CF">
      <w:r>
        <w:t xml:space="preserve">Secondly, we excluded another </w:t>
      </w:r>
      <w:r w:rsidR="001077F0">
        <w:t>group</w:t>
      </w:r>
      <w:r>
        <w:t xml:space="preserve"> of countries which represented outliers in terms of per capita </w:t>
      </w:r>
      <w:r w:rsidR="00367D0E">
        <w:t>service sector</w:t>
      </w:r>
      <w:r>
        <w:t xml:space="preserve"> floorspace, because they are </w:t>
      </w:r>
      <w:r w:rsidR="00F6294F">
        <w:t xml:space="preserve">island </w:t>
      </w:r>
      <w:r>
        <w:t xml:space="preserve">states, or typical </w:t>
      </w:r>
      <w:r w:rsidR="00F6294F">
        <w:t>city states</w:t>
      </w:r>
      <w:r>
        <w:t xml:space="preserve">. Because the model resulting from the regression is applied to 26 large global regions, we feel that calibrating a model to such </w:t>
      </w:r>
      <w:r w:rsidR="00AC1265">
        <w:t>a</w:t>
      </w:r>
      <w:r>
        <w:t>typical cases should be avoided. For this reason, the following countries were omitted in the regression analysis:</w:t>
      </w:r>
    </w:p>
    <w:p w14:paraId="3F827FAC" w14:textId="60477E9E" w:rsidR="008949D3" w:rsidRPr="00A477CF" w:rsidRDefault="000263E8" w:rsidP="00A477CF">
      <w:pPr>
        <w:ind w:left="720"/>
        <w:rPr>
          <w:i/>
        </w:rPr>
      </w:pPr>
      <w:r w:rsidRPr="00A477CF">
        <w:rPr>
          <w:i/>
        </w:rPr>
        <w:t>Cyprus</w:t>
      </w:r>
      <w:r w:rsidR="008949D3" w:rsidRPr="00A477CF">
        <w:rPr>
          <w:i/>
        </w:rPr>
        <w:t xml:space="preserve">, </w:t>
      </w:r>
      <w:r w:rsidRPr="00A477CF">
        <w:rPr>
          <w:i/>
        </w:rPr>
        <w:t xml:space="preserve">Bhutan, Brunei Darussalam, Comoros, Fiji, Hong-Kong, Kiribati, </w:t>
      </w:r>
      <w:r w:rsidR="008949D3" w:rsidRPr="00A477CF">
        <w:rPr>
          <w:i/>
        </w:rPr>
        <w:t xml:space="preserve">Macau, </w:t>
      </w:r>
      <w:r w:rsidRPr="00A477CF">
        <w:rPr>
          <w:i/>
        </w:rPr>
        <w:t xml:space="preserve">Maldives, Marshall Islands, Micronesia, Nauru, Palau, Samoa, Singapore, Solomon Islands, Tonga, Tuvalu, Vanatu, Antigua and Barbuda, Bahamas, Barbados, </w:t>
      </w:r>
      <w:r w:rsidR="00A477CF" w:rsidRPr="00A477CF">
        <w:rPr>
          <w:i/>
        </w:rPr>
        <w:t>Caribbean</w:t>
      </w:r>
      <w:r w:rsidR="008949D3" w:rsidRPr="00A477CF">
        <w:rPr>
          <w:i/>
        </w:rPr>
        <w:t xml:space="preserve"> Netherlands, </w:t>
      </w:r>
      <w:r w:rsidRPr="00A477CF">
        <w:rPr>
          <w:i/>
        </w:rPr>
        <w:t>Cayman Islands,  Grenada, Puerto Rico, Trinidad &amp; Tobago, Kuwait, Qatar, United Arab Emirates, Cabo Verde, Mauritius, Sao Tome and Principe</w:t>
      </w:r>
      <w:r w:rsidR="008949D3" w:rsidRPr="00A477CF">
        <w:rPr>
          <w:i/>
        </w:rPr>
        <w:t>, Seychelles</w:t>
      </w:r>
    </w:p>
    <w:p w14:paraId="5782A8F2" w14:textId="0E43ABEA" w:rsidR="00FA4960" w:rsidRDefault="00D9087D" w:rsidP="00FA4960">
      <w:r>
        <w:t xml:space="preserve">The remaining 147 </w:t>
      </w:r>
      <w:r w:rsidR="007E702E">
        <w:t xml:space="preserve">countries yield </w:t>
      </w:r>
      <w:r>
        <w:t xml:space="preserve">data points </w:t>
      </w:r>
      <w:r w:rsidR="007E702E">
        <w:t xml:space="preserve">which </w:t>
      </w:r>
      <w:r>
        <w:t xml:space="preserve">are used in the regression analysis, for which the results are </w:t>
      </w:r>
      <w:r w:rsidRPr="000554B0">
        <w:t xml:space="preserve">shown </w:t>
      </w:r>
      <w:r w:rsidR="006D7AE1" w:rsidRPr="000554B0">
        <w:t>in Figure S.2. These figures show</w:t>
      </w:r>
      <w:r w:rsidR="00B76B17" w:rsidRPr="000554B0">
        <w:t xml:space="preserve"> the resulting unweighted models a</w:t>
      </w:r>
      <w:r w:rsidR="001077F0" w:rsidRPr="000554B0">
        <w:t>s well as</w:t>
      </w:r>
      <w:r w:rsidR="00B76B17" w:rsidRPr="000554B0">
        <w:t xml:space="preserve"> the population weighted model, using</w:t>
      </w:r>
      <w:r w:rsidR="00B76B17">
        <w:t xml:space="preserve"> a Gompertz function</w:t>
      </w:r>
      <w:r w:rsidR="00E27DDF">
        <w:t xml:space="preserve"> (also see the main text):</w:t>
      </w:r>
    </w:p>
    <w:p w14:paraId="042F632D" w14:textId="77777777" w:rsidR="00E27DDF" w:rsidRPr="00A972B0" w:rsidRDefault="00E27DDF" w:rsidP="00E27DDF">
      <m:oMathPara>
        <m:oMath>
          <m:r>
            <w:rPr>
              <w:rFonts w:ascii="Cambria Math" w:hAnsi="Cambria Math"/>
            </w:rPr>
            <m:t>y=α∙</m:t>
          </m:r>
          <m:sSup>
            <m:sSupPr>
              <m:ctrlPr>
                <w:rPr>
                  <w:rFonts w:ascii="Cambria Math" w:hAnsi="Cambria Math"/>
                  <w:i/>
                </w:rPr>
              </m:ctrlPr>
            </m:sSupPr>
            <m:e>
              <m:r>
                <w:rPr>
                  <w:rFonts w:ascii="Cambria Math" w:hAnsi="Cambria Math"/>
                </w:rPr>
                <m:t>e</m:t>
              </m:r>
            </m:e>
            <m:sup>
              <m:r>
                <w:rPr>
                  <w:rFonts w:ascii="Cambria Math" w:hAnsi="Cambria Math"/>
                </w:rPr>
                <m:t>-β∙</m:t>
              </m:r>
              <m:sSup>
                <m:sSupPr>
                  <m:ctrlPr>
                    <w:rPr>
                      <w:rFonts w:ascii="Cambria Math" w:hAnsi="Cambria Math"/>
                      <w:i/>
                    </w:rPr>
                  </m:ctrlPr>
                </m:sSupPr>
                <m:e>
                  <m:r>
                    <w:rPr>
                      <w:rFonts w:ascii="Cambria Math" w:hAnsi="Cambria Math"/>
                    </w:rPr>
                    <m:t>e</m:t>
                  </m:r>
                </m:e>
                <m:sup>
                  <m:r>
                    <w:rPr>
                      <w:rFonts w:ascii="Cambria Math" w:hAnsi="Cambria Math"/>
                    </w:rPr>
                    <m:t>-γx</m:t>
                  </m:r>
                </m:sup>
              </m:sSup>
            </m:sup>
          </m:sSup>
        </m:oMath>
      </m:oMathPara>
    </w:p>
    <w:p w14:paraId="61102B1D" w14:textId="62F3EFC8" w:rsidR="006D7AE1" w:rsidRDefault="00E27DDF" w:rsidP="00FA4960">
      <w:r w:rsidRPr="00C9313F">
        <w:rPr>
          <w:i/>
        </w:rPr>
        <w:t xml:space="preserve">y </w:t>
      </w:r>
      <w:r w:rsidRPr="00E27DDF">
        <w:t>being</w:t>
      </w:r>
      <w:r>
        <w:t xml:space="preserve"> the </w:t>
      </w:r>
      <w:r w:rsidR="00367D0E">
        <w:t xml:space="preserve">service sector </w:t>
      </w:r>
      <w:r>
        <w:t>floor space demand in square meter per capita, and</w:t>
      </w:r>
      <w:r w:rsidRPr="00C9313F">
        <w:rPr>
          <w:i/>
        </w:rPr>
        <w:t xml:space="preserve"> x</w:t>
      </w:r>
      <w:r>
        <w:t xml:space="preserve"> the Service Value Added per capita in 2016-US$ for a particular country</w:t>
      </w:r>
      <w:r w:rsidR="007E702E">
        <w:t>/yr</w:t>
      </w:r>
      <w:r>
        <w:t xml:space="preserve">, in Purchasing Power Parity. The coefficients </w:t>
      </w:r>
      <w:r w:rsidRPr="00A22DFC">
        <w:rPr>
          <w:rFonts w:cs="Calibri"/>
        </w:rPr>
        <w:t>α</w:t>
      </w:r>
      <w:r>
        <w:t xml:space="preserve">, </w:t>
      </w:r>
      <w:r w:rsidRPr="00A22DFC">
        <w:rPr>
          <w:rFonts w:cs="Calibri"/>
        </w:rPr>
        <w:t>β</w:t>
      </w:r>
      <w:r>
        <w:t xml:space="preserve"> and </w:t>
      </w:r>
      <w:r w:rsidRPr="00A22DFC">
        <w:rPr>
          <w:rFonts w:cs="Calibri"/>
        </w:rPr>
        <w:t>γ</w:t>
      </w:r>
      <w:r>
        <w:t xml:space="preserve"> were estimated using the</w:t>
      </w:r>
      <w:r w:rsidR="001A702F" w:rsidRPr="001A702F">
        <w:t xml:space="preserve"> </w:t>
      </w:r>
      <w:r w:rsidR="00AC1265">
        <w:t>S</w:t>
      </w:r>
      <w:r w:rsidR="001A702F" w:rsidRPr="001A702F">
        <w:t xml:space="preserve">equential </w:t>
      </w:r>
      <w:r w:rsidR="00AC1265">
        <w:t>L</w:t>
      </w:r>
      <w:r w:rsidR="001A702F" w:rsidRPr="001A702F">
        <w:t xml:space="preserve">east </w:t>
      </w:r>
      <w:r w:rsidR="00AC1265">
        <w:t>S</w:t>
      </w:r>
      <w:r w:rsidR="001A702F" w:rsidRPr="001A702F">
        <w:t xml:space="preserve">quares </w:t>
      </w:r>
      <w:r w:rsidR="00AC1265">
        <w:t>P</w:t>
      </w:r>
      <w:r w:rsidR="001A702F" w:rsidRPr="001A702F">
        <w:t xml:space="preserve">rogramming </w:t>
      </w:r>
      <w:r w:rsidR="004B3600">
        <w:t xml:space="preserve">(SLSQP) </w:t>
      </w:r>
      <w:r w:rsidR="001A702F" w:rsidRPr="001A702F">
        <w:t>algorithm</w:t>
      </w:r>
      <w:r>
        <w:t xml:space="preserve"> from the scipy package implemented in a python script</w:t>
      </w:r>
      <w:r w:rsidR="00F945DE">
        <w:t xml:space="preserve"> (</w:t>
      </w:r>
      <w:r w:rsidR="001A702F">
        <w:t xml:space="preserve">See </w:t>
      </w:r>
      <w:r w:rsidR="001A702F" w:rsidRPr="000554B0">
        <w:t xml:space="preserve">Section </w:t>
      </w:r>
      <w:r w:rsidR="000554B0" w:rsidRPr="000554B0">
        <w:t>S.6</w:t>
      </w:r>
      <w:r w:rsidR="001A702F" w:rsidRPr="000554B0">
        <w:t>)</w:t>
      </w:r>
      <w:r w:rsidR="00F945DE" w:rsidRPr="000554B0">
        <w:t>.</w:t>
      </w:r>
      <w:r w:rsidR="00C66190">
        <w:t xml:space="preserve"> </w:t>
      </w:r>
      <w:r w:rsidR="004B3600">
        <w:t>We choose the SLSQP routine because as a sequential quadratic programming routine it has been shown to perform well</w:t>
      </w:r>
      <w:r w:rsidR="00C73B00">
        <w:t xml:space="preserve"> (in terms of</w:t>
      </w:r>
      <w:r w:rsidR="00D41030">
        <w:t xml:space="preserve"> both </w:t>
      </w:r>
      <w:r w:rsidR="00C73B00">
        <w:t>efficiency and accuracy)</w:t>
      </w:r>
      <w:r w:rsidR="004B3600">
        <w:t xml:space="preserve"> for constrained non-linear optimization problems, such as ours</w:t>
      </w:r>
      <w:r w:rsidR="004B3600">
        <w:fldChar w:fldCharType="begin" w:fldLock="1"/>
      </w:r>
      <w:r w:rsidR="009268DA">
        <w:instrText>ADDIN CSL_CITATION {"citationItems":[{"id":"ITEM-1","itemData":{"author":[{"dropping-particle":"","family":"Kraft","given":"","non-dropping-particle":"","parse-names":false,"suffix":""}],"id":"ITEM-1","issued":{"date-parts":[["1988"]]},"number":"Tech Rep DFVLR-FB 88-28","publisher":"DLR German Aerospace Center—Institute for Flight Mechanics","publisher-place":"Koln","title":"A software package for sequential quadratic programming","type":"article"},"uris":["http://www.mendeley.com/documents/?uuid=07cfb844-f00e-4f52-ba9d-bf4589cf89bf"]},{"id":"ITEM-2","itemData":{"DOI":"10.1007/s00158-011-0666-3","ISSN":"1615-147X","author":[{"dropping-particle":"","family":"Perez","given":"Ruben E.","non-dropping-particle":"","parse-names":false,"suffix":""},{"dropping-particle":"","family":"Jansen","given":"Peter W.","non-dropping-particle":"","parse-names":false,"suffix":""},{"dropping-particle":"","family":"Martins","given":"Joaquim R. R. A.","non-dropping-particle":"","parse-names":false,"suffix":""}],"container-title":"Structural and Multidisciplinary Optimization","id":"ITEM-2","issue":"1","issued":{"date-parts":[["2012","1","31"]]},"page":"101-118","title":"pyOpt: a Python-based object-oriented framework for nonlinear constrained optimization","type":"article-journal","volume":"45"},"uris":["http://www.mendeley.com/documents/?uuid=b0489460-7840-4288-9aa8-6a09a7a02edf"]}],"mendeley":{"formattedCitation":"&lt;sup&gt;5,6&lt;/sup&gt;","plainTextFormattedCitation":"5,6","previouslyFormattedCitation":"&lt;sup&gt;5,6&lt;/sup&gt;"},"properties":{"noteIndex":0},"schema":"https://github.com/citation-style-language/schema/raw/master/csl-citation.json"}</w:instrText>
      </w:r>
      <w:r w:rsidR="004B3600">
        <w:fldChar w:fldCharType="separate"/>
      </w:r>
      <w:r w:rsidR="004B3600" w:rsidRPr="004B3600">
        <w:rPr>
          <w:noProof/>
          <w:vertAlign w:val="superscript"/>
        </w:rPr>
        <w:t>5,6</w:t>
      </w:r>
      <w:r w:rsidR="004B3600">
        <w:fldChar w:fldCharType="end"/>
      </w:r>
      <w:r w:rsidR="004B3600">
        <w:t xml:space="preserve">. </w:t>
      </w:r>
      <w:r w:rsidR="00C66190">
        <w:t xml:space="preserve">The model is used to project the </w:t>
      </w:r>
      <w:r w:rsidR="00E00DFD">
        <w:t xml:space="preserve">global </w:t>
      </w:r>
      <w:r w:rsidR="00C66190">
        <w:t xml:space="preserve">floor space demand by applying the SVA for </w:t>
      </w:r>
      <w:r w:rsidR="00E00DFD">
        <w:t>26 IMAGE regions. As the SVA in IMAGE is expressed in 2005 US$ (PPP), we correct for inflation based on the inflation calculator of the United States Bureau of Labor Statistics</w:t>
      </w:r>
      <w:r w:rsidR="00E00DFD">
        <w:fldChar w:fldCharType="begin" w:fldLock="1"/>
      </w:r>
      <w:r w:rsidR="009268DA">
        <w:instrText>ADDIN CSL_CITATION {"citationItems":[{"id":"ITEM-1","itemData":{"URL":"https://www.bls.gov/data/inflation_calculator.htm","accessed":{"date-parts":[["2019","1","23"]]},"author":[{"dropping-particle":"","family":"US Bureau of Labor Statistics","given":"","non-dropping-particle":"","parse-names":false,"suffix":""}],"id":"ITEM-1","issued":{"date-parts":[["2019"]]},"title":"CPI Inflation Calculator","type":"webpage"},"uris":["http://www.mendeley.com/documents/?uuid=cc414252-dc48-4c1b-8599-58e1e6db348c"]}],"mendeley":{"formattedCitation":"&lt;sup&gt;7&lt;/sup&gt;","plainTextFormattedCitation":"7","previouslyFormattedCitation":"&lt;sup&gt;7&lt;/sup&gt;"},"properties":{"noteIndex":0},"schema":"https://github.com/citation-style-language/schema/raw/master/csl-citation.json"}</w:instrText>
      </w:r>
      <w:r w:rsidR="00E00DFD">
        <w:fldChar w:fldCharType="separate"/>
      </w:r>
      <w:r w:rsidR="004B3600" w:rsidRPr="004B3600">
        <w:rPr>
          <w:noProof/>
          <w:vertAlign w:val="superscript"/>
        </w:rPr>
        <w:t>7</w:t>
      </w:r>
      <w:r w:rsidR="00E00DFD">
        <w:fldChar w:fldCharType="end"/>
      </w:r>
      <w:r w:rsidR="00E00DFD">
        <w:t>.</w:t>
      </w:r>
    </w:p>
    <w:p w14:paraId="3AF481FE" w14:textId="5D0B8F61" w:rsidR="006D7AE1" w:rsidRDefault="006D7AE1">
      <w:r>
        <w:br w:type="page"/>
      </w:r>
      <w:r w:rsidR="00970CFB">
        <w:rPr>
          <w:noProof/>
        </w:rPr>
        <w:lastRenderedPageBreak/>
        <w:drawing>
          <wp:inline distT="0" distB="0" distL="0" distR="0" wp14:anchorId="3A9C8487" wp14:editId="6D4654AA">
            <wp:extent cx="5943600" cy="3373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rvices_fi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r>
        <w:rPr>
          <w:noProof/>
        </w:rPr>
        <mc:AlternateContent>
          <mc:Choice Requires="wps">
            <w:drawing>
              <wp:anchor distT="45720" distB="45720" distL="114300" distR="114300" simplePos="0" relativeHeight="251565056" behindDoc="0" locked="0" layoutInCell="1" allowOverlap="1" wp14:anchorId="5A785FBA" wp14:editId="74C91C15">
                <wp:simplePos x="0" y="0"/>
                <wp:positionH relativeFrom="leftMargin">
                  <wp:align>right</wp:align>
                </wp:positionH>
                <wp:positionV relativeFrom="paragraph">
                  <wp:posOffset>3372457</wp:posOffset>
                </wp:positionV>
                <wp:extent cx="230726" cy="302011"/>
                <wp:effectExtent l="0" t="0" r="0" b="317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0726" cy="302011"/>
                        </a:xfrm>
                        <a:prstGeom prst="rect">
                          <a:avLst/>
                        </a:prstGeom>
                        <a:noFill/>
                        <a:ln w="9525">
                          <a:noFill/>
                          <a:miter lim="800000"/>
                          <a:headEnd/>
                          <a:tailEnd/>
                        </a:ln>
                      </wps:spPr>
                      <wps:txbx>
                        <w:txbxContent>
                          <w:p w14:paraId="6CD79284" w14:textId="4756B9D1" w:rsidR="00874130" w:rsidRPr="006D7AE1" w:rsidRDefault="00874130" w:rsidP="006D7AE1">
                            <w:pPr>
                              <w:rPr>
                                <w:sz w:val="24"/>
                              </w:rPr>
                            </w:pPr>
                            <w:r>
                              <w:rPr>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785FBA" id="Text Box 2" o:spid="_x0000_s1053" type="#_x0000_t202" style="position:absolute;margin-left:-33.05pt;margin-top:265.55pt;width:18.15pt;height:23.8pt;flip:x;z-index:2515650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" filled="f" stroked="f">
                <v:textbox>
                  <w:txbxContent>
                    <w:p w14:paraId="6CD79284" w14:textId="4756B9D1" w:rsidR="00874130" w:rsidRPr="006D7AE1" w:rsidRDefault="00874130" w:rsidP="006D7AE1">
                      <w:pPr>
                        <w:rPr>
                          <w:sz w:val="24"/>
                        </w:rPr>
                      </w:pPr>
                      <w:r>
                        <w:rPr>
                          <w:sz w:val="24"/>
                        </w:rPr>
                        <w:t>b</w:t>
                      </w:r>
                    </w:p>
                  </w:txbxContent>
                </v:textbox>
                <w10:wrap anchorx="margin"/>
              </v:shape>
            </w:pict>
          </mc:Fallback>
        </mc:AlternateContent>
      </w:r>
      <w:r>
        <w:rPr>
          <w:noProof/>
        </w:rPr>
        <mc:AlternateContent>
          <mc:Choice Requires="wps">
            <w:drawing>
              <wp:anchor distT="45720" distB="45720" distL="114300" distR="114300" simplePos="0" relativeHeight="251524096" behindDoc="0" locked="0" layoutInCell="1" allowOverlap="1" wp14:anchorId="7D52B011" wp14:editId="59CB06C5">
                <wp:simplePos x="0" y="0"/>
                <wp:positionH relativeFrom="column">
                  <wp:posOffset>5382480</wp:posOffset>
                </wp:positionH>
                <wp:positionV relativeFrom="paragraph">
                  <wp:posOffset>262393</wp:posOffset>
                </wp:positionV>
                <wp:extent cx="262255" cy="262255"/>
                <wp:effectExtent l="0" t="0" r="0" b="444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342A5CB2" w14:textId="02B7B448" w:rsidR="00874130" w:rsidRPr="006D7AE1" w:rsidRDefault="00874130">
                            <w:pPr>
                              <w:rPr>
                                <w:sz w:val="24"/>
                              </w:rPr>
                            </w:pPr>
                            <w:r w:rsidRPr="006D7AE1">
                              <w:rPr>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52B011" id="_x0000_s1054" type="#_x0000_t202" style="position:absolute;margin-left:423.8pt;margin-top:20.65pt;width:20.65pt;height:20.65pt;z-index:25152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" filled="f" stroked="f">
                <v:textbox>
                  <w:txbxContent>
                    <w:p w14:paraId="342A5CB2" w14:textId="02B7B448" w:rsidR="00874130" w:rsidRPr="006D7AE1" w:rsidRDefault="00874130">
                      <w:pPr>
                        <w:rPr>
                          <w:sz w:val="24"/>
                        </w:rPr>
                      </w:pPr>
                      <w:r w:rsidRPr="006D7AE1">
                        <w:rPr>
                          <w:sz w:val="24"/>
                        </w:rPr>
                        <w:t>a</w:t>
                      </w:r>
                    </w:p>
                  </w:txbxContent>
                </v:textbox>
              </v:shape>
            </w:pict>
          </mc:Fallback>
        </mc:AlternateContent>
      </w:r>
      <w:r w:rsidR="00451629">
        <w:rPr>
          <w:noProof/>
        </w:rPr>
        <mc:AlternateContent>
          <mc:Choice Requires="wps">
            <w:drawing>
              <wp:anchor distT="45720" distB="45720" distL="114300" distR="114300" simplePos="0" relativeHeight="251585536" behindDoc="0" locked="0" layoutInCell="1" allowOverlap="1" wp14:anchorId="350AD52B" wp14:editId="66835C23">
                <wp:simplePos x="0" y="0"/>
                <wp:positionH relativeFrom="leftMargin">
                  <wp:align>right</wp:align>
                </wp:positionH>
                <wp:positionV relativeFrom="paragraph">
                  <wp:posOffset>5212881</wp:posOffset>
                </wp:positionV>
                <wp:extent cx="230726" cy="302011"/>
                <wp:effectExtent l="0" t="0" r="0" b="31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0726" cy="302011"/>
                        </a:xfrm>
                        <a:prstGeom prst="rect">
                          <a:avLst/>
                        </a:prstGeom>
                        <a:noFill/>
                        <a:ln w="9525">
                          <a:noFill/>
                          <a:miter lim="800000"/>
                          <a:headEnd/>
                          <a:tailEnd/>
                        </a:ln>
                      </wps:spPr>
                      <wps:txbx>
                        <w:txbxContent>
                          <w:p w14:paraId="64AB1CB2" w14:textId="41B7CF2E" w:rsidR="00874130" w:rsidRPr="006D7AE1" w:rsidRDefault="00874130" w:rsidP="00451629">
                            <w:pPr>
                              <w:rPr>
                                <w:sz w:val="24"/>
                              </w:rPr>
                            </w:pPr>
                            <w:r>
                              <w:rPr>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0AD52B" id="_x0000_s1055" type="#_x0000_t202" style="position:absolute;margin-left:-33.05pt;margin-top:410.45pt;width:18.15pt;height:23.8pt;flip:x;z-index:25158553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" filled="f" stroked="f">
                <v:textbox>
                  <w:txbxContent>
                    <w:p w14:paraId="64AB1CB2" w14:textId="41B7CF2E" w:rsidR="00874130" w:rsidRPr="006D7AE1" w:rsidRDefault="00874130" w:rsidP="00451629">
                      <w:pPr>
                        <w:rPr>
                          <w:sz w:val="24"/>
                        </w:rPr>
                      </w:pPr>
                      <w:r>
                        <w:rPr>
                          <w:sz w:val="24"/>
                        </w:rPr>
                        <w:t>d</w:t>
                      </w:r>
                    </w:p>
                  </w:txbxContent>
                </v:textbox>
                <w10:wrap anchorx="margin"/>
              </v:shape>
            </w:pict>
          </mc:Fallback>
        </mc:AlternateContent>
      </w:r>
      <w:r>
        <w:rPr>
          <w:noProof/>
        </w:rPr>
        <mc:AlternateContent>
          <mc:Choice Requires="wps">
            <w:drawing>
              <wp:anchor distT="45720" distB="45720" distL="114300" distR="114300" simplePos="0" relativeHeight="251544576" behindDoc="0" locked="0" layoutInCell="1" allowOverlap="1" wp14:anchorId="6D44C6CA" wp14:editId="3E43BD39">
                <wp:simplePos x="0" y="0"/>
                <wp:positionH relativeFrom="rightMargin">
                  <wp:align>left</wp:align>
                </wp:positionH>
                <wp:positionV relativeFrom="paragraph">
                  <wp:posOffset>3451363</wp:posOffset>
                </wp:positionV>
                <wp:extent cx="262255" cy="262255"/>
                <wp:effectExtent l="0" t="0" r="0" b="44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3B82AAB7" w14:textId="1A5AE455" w:rsidR="00874130" w:rsidRPr="006D7AE1" w:rsidRDefault="00874130" w:rsidP="006D7AE1">
                            <w:pPr>
                              <w:rPr>
                                <w:sz w:val="24"/>
                              </w:rPr>
                            </w:pPr>
                            <w:r>
                              <w:rPr>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44C6CA" id="_x0000_s1056" type="#_x0000_t202" style="position:absolute;margin-left:0;margin-top:271.75pt;width:20.65pt;height:20.65pt;z-index:2515445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" filled="f" stroked="f">
                <v:textbox>
                  <w:txbxContent>
                    <w:p w14:paraId="3B82AAB7" w14:textId="1A5AE455" w:rsidR="00874130" w:rsidRPr="006D7AE1" w:rsidRDefault="00874130" w:rsidP="006D7AE1">
                      <w:pPr>
                        <w:rPr>
                          <w:sz w:val="24"/>
                        </w:rPr>
                      </w:pPr>
                      <w:r>
                        <w:rPr>
                          <w:sz w:val="24"/>
                        </w:rPr>
                        <w:t>c</w:t>
                      </w:r>
                    </w:p>
                  </w:txbxContent>
                </v:textbox>
                <w10:wrap anchorx="margin"/>
              </v:shape>
            </w:pict>
          </mc:Fallback>
        </mc:AlternateContent>
      </w:r>
      <w:r w:rsidR="00970CFB">
        <w:rPr>
          <w:noProof/>
        </w:rPr>
        <w:drawing>
          <wp:inline distT="0" distB="0" distL="0" distR="0" wp14:anchorId="4C1E1622" wp14:editId="19BD08E9">
            <wp:extent cx="3016250" cy="176010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offices_fit.png"/>
                    <pic:cNvPicPr/>
                  </pic:nvPicPr>
                  <pic:blipFill rotWithShape="1">
                    <a:blip r:embed="rId8" cstate="print">
                      <a:extLst>
                        <a:ext uri="{28A0092B-C50C-407E-A947-70E740481C1C}">
                          <a14:useLocalDpi xmlns:a14="http://schemas.microsoft.com/office/drawing/2010/main" val="0"/>
                        </a:ext>
                      </a:extLst>
                    </a:blip>
                    <a:srcRect l="7843" t="8961" r="7142" b="3624"/>
                    <a:stretch/>
                  </pic:blipFill>
                  <pic:spPr bwMode="auto">
                    <a:xfrm>
                      <a:off x="0" y="0"/>
                      <a:ext cx="3052419" cy="1781213"/>
                    </a:xfrm>
                    <a:prstGeom prst="rect">
                      <a:avLst/>
                    </a:prstGeom>
                    <a:ln>
                      <a:noFill/>
                    </a:ln>
                    <a:extLst>
                      <a:ext uri="{53640926-AAD7-44D8-BBD7-CCE9431645EC}">
                        <a14:shadowObscured xmlns:a14="http://schemas.microsoft.com/office/drawing/2010/main"/>
                      </a:ext>
                    </a:extLst>
                  </pic:spPr>
                </pic:pic>
              </a:graphicData>
            </a:graphic>
          </wp:inline>
        </w:drawing>
      </w:r>
      <w:r w:rsidR="00970CFB">
        <w:rPr>
          <w:noProof/>
        </w:rPr>
        <w:drawing>
          <wp:inline distT="0" distB="0" distL="0" distR="0" wp14:anchorId="62E767E7" wp14:editId="56E77E95">
            <wp:extent cx="2908300" cy="1744965"/>
            <wp:effectExtent l="0" t="0" r="6350" b="825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retail_fit.png"/>
                    <pic:cNvPicPr/>
                  </pic:nvPicPr>
                  <pic:blipFill rotWithShape="1">
                    <a:blip r:embed="rId9" cstate="print">
                      <a:extLst>
                        <a:ext uri="{28A0092B-C50C-407E-A947-70E740481C1C}">
                          <a14:useLocalDpi xmlns:a14="http://schemas.microsoft.com/office/drawing/2010/main" val="0"/>
                        </a:ext>
                      </a:extLst>
                    </a:blip>
                    <a:srcRect l="7589" t="9256" r="9043" b="2607"/>
                    <a:stretch/>
                  </pic:blipFill>
                  <pic:spPr bwMode="auto">
                    <a:xfrm>
                      <a:off x="0" y="0"/>
                      <a:ext cx="2916991" cy="1750180"/>
                    </a:xfrm>
                    <a:prstGeom prst="rect">
                      <a:avLst/>
                    </a:prstGeom>
                    <a:ln>
                      <a:noFill/>
                    </a:ln>
                    <a:extLst>
                      <a:ext uri="{53640926-AAD7-44D8-BBD7-CCE9431645EC}">
                        <a14:shadowObscured xmlns:a14="http://schemas.microsoft.com/office/drawing/2010/main"/>
                      </a:ext>
                    </a:extLst>
                  </pic:spPr>
                </pic:pic>
              </a:graphicData>
            </a:graphic>
          </wp:inline>
        </w:drawing>
      </w:r>
      <w:r w:rsidR="00451629">
        <w:rPr>
          <w:noProof/>
        </w:rPr>
        <mc:AlternateContent>
          <mc:Choice Requires="wps">
            <w:drawing>
              <wp:anchor distT="45720" distB="45720" distL="114300" distR="114300" simplePos="0" relativeHeight="251606016" behindDoc="0" locked="0" layoutInCell="1" allowOverlap="1" wp14:anchorId="3EFA678F" wp14:editId="4A449800">
                <wp:simplePos x="0" y="0"/>
                <wp:positionH relativeFrom="rightMargin">
                  <wp:align>left</wp:align>
                </wp:positionH>
                <wp:positionV relativeFrom="paragraph">
                  <wp:posOffset>5244686</wp:posOffset>
                </wp:positionV>
                <wp:extent cx="230726" cy="302011"/>
                <wp:effectExtent l="0" t="0" r="0" b="317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0726" cy="302011"/>
                        </a:xfrm>
                        <a:prstGeom prst="rect">
                          <a:avLst/>
                        </a:prstGeom>
                        <a:noFill/>
                        <a:ln w="9525">
                          <a:noFill/>
                          <a:miter lim="800000"/>
                          <a:headEnd/>
                          <a:tailEnd/>
                        </a:ln>
                      </wps:spPr>
                      <wps:txbx>
                        <w:txbxContent>
                          <w:p w14:paraId="439401E2" w14:textId="622875C2" w:rsidR="00874130" w:rsidRPr="006D7AE1" w:rsidRDefault="00874130" w:rsidP="00451629">
                            <w:pPr>
                              <w:rPr>
                                <w:sz w:val="24"/>
                              </w:rPr>
                            </w:pPr>
                            <w:r>
                              <w:rPr>
                                <w:sz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FA678F" id="_x0000_s1057" type="#_x0000_t202" style="position:absolute;margin-left:0;margin-top:412.95pt;width:18.15pt;height:23.8pt;flip:x;z-index:25160601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" filled="f" stroked="f">
                <v:textbox>
                  <w:txbxContent>
                    <w:p w14:paraId="439401E2" w14:textId="622875C2" w:rsidR="00874130" w:rsidRPr="006D7AE1" w:rsidRDefault="00874130" w:rsidP="00451629">
                      <w:pPr>
                        <w:rPr>
                          <w:sz w:val="24"/>
                        </w:rPr>
                      </w:pPr>
                      <w:r>
                        <w:rPr>
                          <w:sz w:val="24"/>
                        </w:rPr>
                        <w:t>e</w:t>
                      </w:r>
                    </w:p>
                  </w:txbxContent>
                </v:textbox>
                <w10:wrap anchorx="margin"/>
              </v:shape>
            </w:pict>
          </mc:Fallback>
        </mc:AlternateContent>
      </w:r>
      <w:r w:rsidR="000B407C">
        <w:rPr>
          <w:noProof/>
        </w:rPr>
        <w:drawing>
          <wp:inline distT="0" distB="0" distL="0" distR="0" wp14:anchorId="32B68E0B" wp14:editId="72A8EE4F">
            <wp:extent cx="2978150" cy="1713605"/>
            <wp:effectExtent l="0" t="0" r="0" b="127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hotels_fit.png"/>
                    <pic:cNvPicPr/>
                  </pic:nvPicPr>
                  <pic:blipFill rotWithShape="1">
                    <a:blip r:embed="rId10" cstate="print">
                      <a:extLst>
                        <a:ext uri="{28A0092B-C50C-407E-A947-70E740481C1C}">
                          <a14:useLocalDpi xmlns:a14="http://schemas.microsoft.com/office/drawing/2010/main" val="0"/>
                        </a:ext>
                      </a:extLst>
                    </a:blip>
                    <a:srcRect l="7184" t="9997" r="8678" b="4698"/>
                    <a:stretch/>
                  </pic:blipFill>
                  <pic:spPr bwMode="auto">
                    <a:xfrm>
                      <a:off x="0" y="0"/>
                      <a:ext cx="3000023" cy="1726191"/>
                    </a:xfrm>
                    <a:prstGeom prst="rect">
                      <a:avLst/>
                    </a:prstGeom>
                    <a:ln>
                      <a:noFill/>
                    </a:ln>
                    <a:extLst>
                      <a:ext uri="{53640926-AAD7-44D8-BBD7-CCE9431645EC}">
                        <a14:shadowObscured xmlns:a14="http://schemas.microsoft.com/office/drawing/2010/main"/>
                      </a:ext>
                    </a:extLst>
                  </pic:spPr>
                </pic:pic>
              </a:graphicData>
            </a:graphic>
          </wp:inline>
        </w:drawing>
      </w:r>
      <w:r w:rsidR="000B407C">
        <w:rPr>
          <w:noProof/>
        </w:rPr>
        <w:drawing>
          <wp:inline distT="0" distB="0" distL="0" distR="0" wp14:anchorId="1F886DC2" wp14:editId="5279F6D0">
            <wp:extent cx="2946400" cy="1705428"/>
            <wp:effectExtent l="0" t="0" r="635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other_fit.png"/>
                    <pic:cNvPicPr/>
                  </pic:nvPicPr>
                  <pic:blipFill rotWithShape="1">
                    <a:blip r:embed="rId11" cstate="print">
                      <a:extLst>
                        <a:ext uri="{28A0092B-C50C-407E-A947-70E740481C1C}">
                          <a14:useLocalDpi xmlns:a14="http://schemas.microsoft.com/office/drawing/2010/main" val="0"/>
                        </a:ext>
                      </a:extLst>
                    </a:blip>
                    <a:srcRect l="7015" t="9772" r="8972" b="4543"/>
                    <a:stretch/>
                  </pic:blipFill>
                  <pic:spPr bwMode="auto">
                    <a:xfrm>
                      <a:off x="0" y="0"/>
                      <a:ext cx="2974584" cy="1721741"/>
                    </a:xfrm>
                    <a:prstGeom prst="rect">
                      <a:avLst/>
                    </a:prstGeom>
                    <a:ln>
                      <a:noFill/>
                    </a:ln>
                    <a:extLst>
                      <a:ext uri="{53640926-AAD7-44D8-BBD7-CCE9431645EC}">
                        <a14:shadowObscured xmlns:a14="http://schemas.microsoft.com/office/drawing/2010/main"/>
                      </a:ext>
                    </a:extLst>
                  </pic:spPr>
                </pic:pic>
              </a:graphicData>
            </a:graphic>
          </wp:inline>
        </w:drawing>
      </w:r>
    </w:p>
    <w:p w14:paraId="729F531F" w14:textId="7220E4C9" w:rsidR="00451629" w:rsidRPr="004F480E" w:rsidRDefault="00451629">
      <w:pPr>
        <w:rPr>
          <w:i/>
          <w:sz w:val="19"/>
          <w:szCs w:val="19"/>
        </w:rPr>
      </w:pPr>
      <w:r w:rsidRPr="004F480E">
        <w:rPr>
          <w:i/>
          <w:sz w:val="19"/>
          <w:szCs w:val="19"/>
        </w:rPr>
        <w:t xml:space="preserve">Figure S.2. Development of per capita </w:t>
      </w:r>
      <w:r w:rsidR="00367D0E">
        <w:rPr>
          <w:i/>
          <w:sz w:val="19"/>
          <w:szCs w:val="19"/>
        </w:rPr>
        <w:t>service sector</w:t>
      </w:r>
      <w:r w:rsidR="00367D0E" w:rsidRPr="004F480E">
        <w:rPr>
          <w:i/>
          <w:sz w:val="19"/>
          <w:szCs w:val="19"/>
        </w:rPr>
        <w:t xml:space="preserve"> </w:t>
      </w:r>
      <w:r w:rsidRPr="004F480E">
        <w:rPr>
          <w:i/>
          <w:sz w:val="19"/>
          <w:szCs w:val="19"/>
        </w:rPr>
        <w:t xml:space="preserve">floorspace demand, according to </w:t>
      </w:r>
      <w:r w:rsidR="009B64E3" w:rsidRPr="004F480E">
        <w:rPr>
          <w:i/>
          <w:sz w:val="19"/>
          <w:szCs w:val="19"/>
        </w:rPr>
        <w:t>the unweighted regression (black)</w:t>
      </w:r>
      <w:r w:rsidRPr="004F480E">
        <w:rPr>
          <w:i/>
          <w:sz w:val="19"/>
          <w:szCs w:val="19"/>
        </w:rPr>
        <w:t xml:space="preserve"> </w:t>
      </w:r>
      <w:r w:rsidR="009B64E3" w:rsidRPr="004F480E">
        <w:rPr>
          <w:i/>
          <w:sz w:val="19"/>
          <w:szCs w:val="19"/>
        </w:rPr>
        <w:t>and</w:t>
      </w:r>
      <w:r w:rsidRPr="004F480E">
        <w:rPr>
          <w:i/>
          <w:sz w:val="19"/>
          <w:szCs w:val="19"/>
        </w:rPr>
        <w:t xml:space="preserve"> </w:t>
      </w:r>
      <w:r w:rsidR="009B64E3" w:rsidRPr="004F480E">
        <w:rPr>
          <w:i/>
          <w:sz w:val="19"/>
          <w:szCs w:val="19"/>
        </w:rPr>
        <w:t xml:space="preserve">a population </w:t>
      </w:r>
      <w:r w:rsidRPr="004F480E">
        <w:rPr>
          <w:i/>
          <w:sz w:val="19"/>
          <w:szCs w:val="19"/>
        </w:rPr>
        <w:t>weighted regression</w:t>
      </w:r>
      <w:r w:rsidR="009B64E3" w:rsidRPr="004F480E">
        <w:rPr>
          <w:i/>
          <w:sz w:val="19"/>
          <w:szCs w:val="19"/>
        </w:rPr>
        <w:t xml:space="preserve"> (blue). a) represents the total </w:t>
      </w:r>
      <w:r w:rsidR="00367D0E">
        <w:rPr>
          <w:i/>
          <w:sz w:val="19"/>
          <w:szCs w:val="19"/>
        </w:rPr>
        <w:t>service sector</w:t>
      </w:r>
      <w:r w:rsidR="00367D0E" w:rsidRPr="004F480E">
        <w:rPr>
          <w:i/>
          <w:sz w:val="19"/>
          <w:szCs w:val="19"/>
        </w:rPr>
        <w:t xml:space="preserve"> </w:t>
      </w:r>
      <w:r w:rsidR="009B64E3" w:rsidRPr="004F480E">
        <w:rPr>
          <w:i/>
          <w:sz w:val="19"/>
          <w:szCs w:val="19"/>
        </w:rPr>
        <w:t>floorspace (data points represent the sum of the data points in panel b-e). b) shows the office space, c) shows the floorspace for retail, shops &amp; warehouses, d) shows hotels &amp; restaurants &amp; e) shows the per capita demand for other buildings (educational buildings, hospitals, governmental buildings, buildings for assembly and public transportation).</w:t>
      </w:r>
    </w:p>
    <w:p w14:paraId="2FD5B7A4" w14:textId="12E7DCB4" w:rsidR="006D7AE1" w:rsidRDefault="006D7AE1">
      <w:r>
        <w:br w:type="page"/>
      </w:r>
    </w:p>
    <w:p w14:paraId="29A432E0" w14:textId="515B7329" w:rsidR="00756A11" w:rsidRDefault="00756A11" w:rsidP="00756A11">
      <w:pPr>
        <w:pStyle w:val="Heading3"/>
      </w:pPr>
      <w:bookmarkStart w:id="2" w:name="_Toc10807384"/>
      <w:r>
        <w:lastRenderedPageBreak/>
        <w:t>2.1 Weighted regression</w:t>
      </w:r>
      <w:bookmarkEnd w:id="2"/>
    </w:p>
    <w:p w14:paraId="41DF437E" w14:textId="0060C066" w:rsidR="00756A11" w:rsidRDefault="009B64E3">
      <w:r>
        <w:t xml:space="preserve">As explained in the main text, the model validation based on unweighted regression did not lead to a suitable fit with the 2017 data. </w:t>
      </w:r>
      <w:r w:rsidR="00756A11">
        <w:t>T</w:t>
      </w:r>
      <w:r>
        <w:t xml:space="preserve">he unweighted model </w:t>
      </w:r>
      <w:r w:rsidR="00756A11">
        <w:t xml:space="preserve">(black line) </w:t>
      </w:r>
      <w:r>
        <w:t xml:space="preserve">would underestimate the known total global floorspace for 2017. </w:t>
      </w:r>
      <w:r w:rsidR="00756A11">
        <w:t>T</w:t>
      </w:r>
      <w:r>
        <w:t xml:space="preserve">his mismatch is </w:t>
      </w:r>
      <w:r w:rsidR="009B7922">
        <w:t xml:space="preserve">addressed </w:t>
      </w:r>
      <w:r>
        <w:t xml:space="preserve">by means of </w:t>
      </w:r>
      <w:r w:rsidR="009B7922">
        <w:t xml:space="preserve">a </w:t>
      </w:r>
      <w:r>
        <w:t>‘fit’</w:t>
      </w:r>
      <w:r w:rsidR="001077F0">
        <w:t xml:space="preserve"> indicator</w:t>
      </w:r>
      <w:r w:rsidR="009B7922">
        <w:t xml:space="preserve">, </w:t>
      </w:r>
      <m:oMath>
        <m:r>
          <w:rPr>
            <w:rFonts w:ascii="Cambria Math" w:hAnsi="Cambria Math"/>
          </w:rPr>
          <m:t>ϕ</m:t>
        </m:r>
      </m:oMath>
      <w:r w:rsidR="00756A11">
        <w:t xml:space="preserve">, which represents the </w:t>
      </w:r>
      <w:r w:rsidR="00FF771C">
        <w:t>tot</w:t>
      </w:r>
      <w:r w:rsidR="009B7922">
        <w:t>a</w:t>
      </w:r>
      <w:r w:rsidR="00FF771C">
        <w:t xml:space="preserve">l </w:t>
      </w:r>
      <w:r w:rsidR="00756A11">
        <w:t>modelled floor</w:t>
      </w:r>
      <w:r w:rsidR="00FF771C">
        <w:t xml:space="preserve"> </w:t>
      </w:r>
      <w:r w:rsidR="00756A11">
        <w:t xml:space="preserve">space over the </w:t>
      </w:r>
      <w:r w:rsidR="00FF771C">
        <w:t xml:space="preserve">total observed </w:t>
      </w:r>
      <w:r w:rsidR="00756A11">
        <w:t>floor</w:t>
      </w:r>
      <w:r w:rsidR="00FF771C">
        <w:t xml:space="preserve"> </w:t>
      </w:r>
      <w:r w:rsidR="00756A11">
        <w:t xml:space="preserve">space in 2017, when multiplied with the population </w:t>
      </w:r>
      <w:r w:rsidR="00FF771C">
        <w:t xml:space="preserve">size </w:t>
      </w:r>
      <w:r w:rsidR="00756A11">
        <w:t>for the 147 countries used in the regression</w:t>
      </w:r>
      <w:r w:rsidR="00FF771C">
        <w:t>:</w:t>
      </w:r>
    </w:p>
    <w:p w14:paraId="07297CD3" w14:textId="35ACEF11" w:rsidR="00756A11" w:rsidRDefault="00756A11">
      <m:oMathPara>
        <m:oMath>
          <m:r>
            <w:rPr>
              <w:rFonts w:ascii="Cambria Math" w:hAnsi="Cambria Math"/>
            </w:rPr>
            <m:t xml:space="preserve">ϕ=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147</m:t>
                  </m:r>
                </m:sup>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147</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den>
          </m:f>
        </m:oMath>
      </m:oMathPara>
    </w:p>
    <w:p w14:paraId="47A1BB95" w14:textId="2370C0BE" w:rsidR="00B76B17" w:rsidRPr="000554B0" w:rsidRDefault="00B76B17">
      <w:pPr>
        <w:rPr>
          <w:rFonts w:eastAsiaTheme="minorEastAsia"/>
        </w:rPr>
      </w:pPr>
      <w:r>
        <w:t>Here,</w:t>
      </w:r>
      <m:oMath>
        <m:r>
          <w:rPr>
            <w:rFonts w:ascii="Cambria Math" w:hAnsi="Cambria Math"/>
          </w:rPr>
          <m:t xml:space="preserve"> 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rPr>
          <w:rFonts w:eastAsiaTheme="minorEastAsia"/>
        </w:rPr>
        <w:t>is the modelled per capita floor space,</w:t>
      </w:r>
      <w:r w:rsidR="00B755B8">
        <w:rPr>
          <w:rFonts w:eastAsiaTheme="minorEastAsia"/>
        </w:rPr>
        <w:t xml:space="preserve"> for country </w:t>
      </w:r>
      <w:r w:rsidR="00B755B8" w:rsidRPr="00B755B8">
        <w:rPr>
          <w:rFonts w:eastAsiaTheme="minorEastAsia"/>
          <w:i/>
        </w:rPr>
        <w:t>i</w:t>
      </w:r>
      <w:r w:rsidR="00B755B8">
        <w:rPr>
          <w:rFonts w:eastAsiaTheme="minorEastAsia"/>
        </w:rPr>
        <w:t>,</w:t>
      </w:r>
      <w:r>
        <w:rPr>
          <w:rFonts w:eastAsiaTheme="minorEastAsia"/>
        </w:rPr>
        <w:t xml:space="preserve"> </w:t>
      </w:r>
      <w:r w:rsidR="00B755B8">
        <w:rPr>
          <w:rFonts w:eastAsiaTheme="minorEastAsia"/>
        </w:rPr>
        <w:t xml:space="preserve">as </w:t>
      </w:r>
      <w:r>
        <w:rPr>
          <w:rFonts w:eastAsiaTheme="minorEastAsia"/>
        </w:rPr>
        <w:t xml:space="preserve">derived from the </w:t>
      </w:r>
      <w:r w:rsidR="00FF771C">
        <w:rPr>
          <w:rFonts w:eastAsiaTheme="minorEastAsia"/>
        </w:rPr>
        <w:t xml:space="preserve">estimated </w:t>
      </w:r>
      <w:r>
        <w:rPr>
          <w:rFonts w:eastAsiaTheme="minorEastAsia"/>
        </w:rPr>
        <w:t>regression</w:t>
      </w:r>
      <w:r w:rsidR="00FF771C">
        <w:rPr>
          <w:rFonts w:eastAsiaTheme="minorEastAsia"/>
        </w:rPr>
        <w:t xml:space="preserve"> model, and using information on the Service Value Added per capita,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FF771C">
        <w:rPr>
          <w:rFonts w:eastAsiaTheme="minorEastAsia"/>
        </w:rPr>
        <w:t xml:space="preserve"> per country</w:t>
      </w:r>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per </w:t>
      </w:r>
      <w:r w:rsidRPr="000554B0">
        <w:rPr>
          <w:rFonts w:eastAsiaTheme="minorEastAsia"/>
        </w:rPr>
        <w:t>capita floor</w:t>
      </w:r>
      <w:r w:rsidR="00FF771C" w:rsidRPr="000554B0">
        <w:rPr>
          <w:rFonts w:eastAsiaTheme="minorEastAsia"/>
        </w:rPr>
        <w:t xml:space="preserve"> </w:t>
      </w:r>
      <w:r w:rsidRPr="000554B0">
        <w:rPr>
          <w:rFonts w:eastAsiaTheme="minorEastAsia"/>
        </w:rPr>
        <w:t xml:space="preserve">space according to the data and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554B0">
        <w:rPr>
          <w:rFonts w:eastAsiaTheme="minorEastAsia"/>
        </w:rPr>
        <w:t xml:space="preserve"> is the population </w:t>
      </w:r>
      <w:r w:rsidR="00945C6B" w:rsidRPr="000554B0">
        <w:rPr>
          <w:rFonts w:eastAsiaTheme="minorEastAsia"/>
        </w:rPr>
        <w:t xml:space="preserve">in a country, </w:t>
      </w:r>
      <w:r w:rsidRPr="000554B0">
        <w:rPr>
          <w:rFonts w:eastAsiaTheme="minorEastAsia"/>
        </w:rPr>
        <w:t xml:space="preserve">according to the data. </w:t>
      </w:r>
    </w:p>
    <w:p w14:paraId="7873C431" w14:textId="62A48FD5" w:rsidR="00E27DDF" w:rsidRDefault="00756A11" w:rsidP="00E27DDF">
      <w:r w:rsidRPr="000554B0">
        <w:t>As indicated in Figure S.</w:t>
      </w:r>
      <w:r w:rsidR="00E27DDF" w:rsidRPr="000554B0">
        <w:t>2</w:t>
      </w:r>
      <w:r w:rsidRPr="000554B0">
        <w:t xml:space="preserve">a, the total </w:t>
      </w:r>
      <w:r w:rsidR="00367D0E">
        <w:t>service-related</w:t>
      </w:r>
      <w:r w:rsidR="00367D0E" w:rsidRPr="000554B0">
        <w:t xml:space="preserve"> </w:t>
      </w:r>
      <w:r w:rsidRPr="000554B0">
        <w:t>floor</w:t>
      </w:r>
      <w:r w:rsidR="009B7922" w:rsidRPr="000554B0">
        <w:t xml:space="preserve"> </w:t>
      </w:r>
      <w:r w:rsidRPr="000554B0">
        <w:t xml:space="preserve">space demand </w:t>
      </w:r>
      <w:r w:rsidR="001077F0" w:rsidRPr="000554B0">
        <w:t xml:space="preserve">based on unweighted regression analysis </w:t>
      </w:r>
      <w:r w:rsidRPr="000554B0">
        <w:t xml:space="preserve">would have a fit of </w:t>
      </w:r>
      <m:oMath>
        <m:r>
          <w:rPr>
            <w:rFonts w:ascii="Cambria Math" w:hAnsi="Cambria Math"/>
          </w:rPr>
          <m:t>ϕ=0.67</m:t>
        </m:r>
      </m:oMath>
      <w:r w:rsidRPr="000554B0">
        <w:t xml:space="preserve">. In other words, the model </w:t>
      </w:r>
      <w:r w:rsidR="009B7922" w:rsidRPr="000554B0">
        <w:t xml:space="preserve">predicts a total </w:t>
      </w:r>
      <w:r w:rsidR="00367D0E">
        <w:t>service sector</w:t>
      </w:r>
      <w:r w:rsidR="00367D0E" w:rsidRPr="000554B0">
        <w:t xml:space="preserve"> </w:t>
      </w:r>
      <w:r w:rsidR="009B7922" w:rsidRPr="000554B0">
        <w:t xml:space="preserve">floor space demand that </w:t>
      </w:r>
      <w:r w:rsidRPr="000554B0">
        <w:t xml:space="preserve">would be off by 33% in 2017. This is caused by the fact that </w:t>
      </w:r>
      <w:r w:rsidR="009B7922" w:rsidRPr="000554B0">
        <w:t xml:space="preserve">many </w:t>
      </w:r>
      <w:r w:rsidRPr="000554B0">
        <w:t xml:space="preserve">countries with a large population </w:t>
      </w:r>
      <w:r w:rsidR="009B7922" w:rsidRPr="000554B0">
        <w:t xml:space="preserve">size </w:t>
      </w:r>
      <w:r w:rsidRPr="000554B0">
        <w:t>lie above the unweighted curve</w:t>
      </w:r>
      <w:r w:rsidR="009B7922" w:rsidRPr="000554B0">
        <w:t>, while many countries with a small population size are below the curve</w:t>
      </w:r>
      <w:r w:rsidRPr="000554B0">
        <w:t xml:space="preserve">. It was thus decided to use a population weighted </w:t>
      </w:r>
      <w:r w:rsidR="00B76B17" w:rsidRPr="000554B0">
        <w:t xml:space="preserve">regression model </w:t>
      </w:r>
      <w:r w:rsidR="00E27DDF" w:rsidRPr="000554B0">
        <w:t>for the floor</w:t>
      </w:r>
      <w:r w:rsidR="009B7922" w:rsidRPr="000554B0">
        <w:t xml:space="preserve"> </w:t>
      </w:r>
      <w:r w:rsidR="00E27DDF" w:rsidRPr="000554B0">
        <w:t xml:space="preserve">space demand from the </w:t>
      </w:r>
      <w:r w:rsidR="00367D0E">
        <w:t>service</w:t>
      </w:r>
      <w:r w:rsidR="00367D0E" w:rsidRPr="000554B0">
        <w:t xml:space="preserve"> </w:t>
      </w:r>
      <w:r w:rsidR="00E27DDF" w:rsidRPr="000554B0">
        <w:t xml:space="preserve">sector as a whole </w:t>
      </w:r>
      <w:r w:rsidR="00B76B17" w:rsidRPr="000554B0">
        <w:t>(blue line in Figure S.2</w:t>
      </w:r>
      <w:r w:rsidR="00E27DDF" w:rsidRPr="000554B0">
        <w:t>a</w:t>
      </w:r>
      <w:r w:rsidR="00B76B17" w:rsidRPr="000554B0">
        <w:t xml:space="preserve">). </w:t>
      </w:r>
      <w:r w:rsidR="00E27DDF" w:rsidRPr="000554B0">
        <w:t>This was</w:t>
      </w:r>
      <w:r w:rsidR="00E27DDF">
        <w:t xml:space="preserve"> done by minimizing the goodness-of-fit parameter, or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E27DDF">
        <w:t xml:space="preserve">, according to Bevington &amp; Robinson </w:t>
      </w:r>
      <w:r w:rsidR="00E27DDF">
        <w:fldChar w:fldCharType="begin" w:fldLock="1"/>
      </w:r>
      <w:r w:rsidR="009268DA">
        <w:instrText>ADDIN CSL_CITATION {"citationItems":[{"id":"ITEM-1","itemData":{"DOI":"10.1063/1.4823194","ISBN":"0072472278","ISSN":"08941866","PMID":"5531769","abstract":"The purpose of this book is to provide an introduction to the concepts of statistical analysis of data for students at the undergraduate and graduate level, and to provide tools for data reduction and error analysis commonly required in the physical sciences. The presentation is developed from a practical point of view, including enough derivation to justify the results, but emphasizing methods of handling data more than theory. The text provides a variety of numerical and graphical techniques. Computer programs that support these techniques will be available on an accompanying website in both Fortran and C++.","author":[{"dropping-particle":"","family":"Bevington","given":"Philip Raymond","non-dropping-particle":"","parse-names":false,"suffix":""},{"dropping-particle":"","family":"Robinson","given":"D. Keith","non-dropping-particle":"","parse-names":false,"suffix":""}],"container-title":"McGraw-Hill","id":"ITEM-1","issued":{"date-parts":[["2003"]]},"title":"Data Reduction and Error Analysis for the Physical Sciences","type":"book"},"uris":["http://www.mendeley.com/documents/?uuid=a284199f-dab7-44fd-8334-4419e6322f40"]}],"mendeley":{"formattedCitation":"&lt;sup&gt;8&lt;/sup&gt;","plainTextFormattedCitation":"8","previouslyFormattedCitation":"&lt;sup&gt;8&lt;/sup&gt;"},"properties":{"noteIndex":0},"schema":"https://github.com/citation-style-language/schema/raw/master/csl-citation.json"}</w:instrText>
      </w:r>
      <w:r w:rsidR="00E27DDF">
        <w:fldChar w:fldCharType="separate"/>
      </w:r>
      <w:r w:rsidR="004B3600" w:rsidRPr="004B3600">
        <w:rPr>
          <w:noProof/>
          <w:vertAlign w:val="superscript"/>
        </w:rPr>
        <w:t>8</w:t>
      </w:r>
      <w:r w:rsidR="00E27DDF">
        <w:fldChar w:fldCharType="end"/>
      </w:r>
      <w:r w:rsidR="00E27DDF">
        <w:t>:</w:t>
      </w:r>
    </w:p>
    <w:p w14:paraId="0C3A766D" w14:textId="159F504C" w:rsidR="00E27DDF" w:rsidRPr="00990983" w:rsidRDefault="0074540E" w:rsidP="00E27DDF">
      <m:oMathPara>
        <m:oMath>
          <m:sSup>
            <m:sSupPr>
              <m:ctrlPr>
                <w:rPr>
                  <w:rFonts w:ascii="Cambria Math" w:hAnsi="Cambria Math"/>
                </w:rPr>
              </m:ctrlPr>
            </m:sSupPr>
            <m:e>
              <m:r>
                <m:rPr>
                  <m:sty m:val="p"/>
                </m:rPr>
                <w:rPr>
                  <w:rFonts w:ascii="Cambria Math" w:hAnsi="Cambria Math"/>
                </w:rPr>
                <m:t>χ</m:t>
              </m:r>
            </m:e>
            <m:sup>
              <m:r>
                <w:rPr>
                  <w:rFonts w:ascii="Cambria Math" w:hAnsi="Cambria Math"/>
                </w:rPr>
                <m:t>2</m:t>
              </m:r>
            </m:sup>
          </m:sSup>
          <m:r>
            <w:rPr>
              <w:rFonts w:ascii="Cambria Math" w:eastAsia="Cambria Math" w:hAnsi="Cambria Math" w:cs="Cambria Math"/>
            </w:rPr>
            <m:t>=</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147</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1</m:t>
                      </m:r>
                    </m:num>
                    <m:den>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i</m:t>
                          </m:r>
                        </m:sub>
                        <m:sup>
                          <m:r>
                            <w:rPr>
                              <w:rFonts w:ascii="Cambria Math" w:eastAsia="Cambria Math" w:hAnsi="Cambria Math" w:cs="Cambria Math"/>
                            </w:rPr>
                            <m:t>2</m:t>
                          </m:r>
                        </m:sup>
                      </m:sSubSup>
                    </m:den>
                  </m:f>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-y</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d>
                        </m:e>
                      </m:d>
                    </m:e>
                    <m:sup>
                      <m:r>
                        <w:rPr>
                          <w:rFonts w:ascii="Cambria Math" w:eastAsia="Cambria Math" w:hAnsi="Cambria Math" w:cs="Cambria Math"/>
                        </w:rPr>
                        <m:t>2</m:t>
                      </m:r>
                    </m:sup>
                  </m:sSup>
                </m:e>
              </m:d>
            </m:e>
          </m:nary>
        </m:oMath>
      </m:oMathPara>
    </w:p>
    <w:p w14:paraId="24E26D1F" w14:textId="38763272" w:rsidR="00756A11" w:rsidRDefault="00E27DDF">
      <w:pPr>
        <w:rPr>
          <w:rFonts w:eastAsiaTheme="minorEastAsia"/>
        </w:rPr>
      </w:pPr>
      <w:r>
        <w:t xml:space="preserve">Here,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Pr>
          <w:rFonts w:eastAsiaTheme="minorEastAsia"/>
        </w:rPr>
        <w:t xml:space="preserve"> is the Service Value Added in </w:t>
      </w:r>
      <w:r w:rsidR="00D617FC">
        <w:rPr>
          <w:rFonts w:eastAsiaTheme="minorEastAsia"/>
        </w:rPr>
        <w:t xml:space="preserve">US$ (2016, PPP) and </w:t>
      </w:r>
      <m:oMath>
        <m:sSub>
          <m:sSubPr>
            <m:ctrlPr>
              <w:rPr>
                <w:rFonts w:ascii="Cambria Math" w:eastAsiaTheme="minorEastAsia" w:hAnsi="Cambria Math" w:cstheme="minorHAnsi"/>
                <w:i/>
              </w:rPr>
            </m:ctrlPr>
          </m:sSubPr>
          <m:e>
            <m:r>
              <w:rPr>
                <w:rFonts w:ascii="Cambria Math" w:eastAsiaTheme="minorEastAsia" w:hAnsi="Cambria Math" w:cstheme="minorHAnsi"/>
              </w:rPr>
              <m:t>σ</m:t>
            </m:r>
          </m:e>
          <m:sub>
            <m:r>
              <w:rPr>
                <w:rFonts w:ascii="Cambria Math" w:eastAsiaTheme="minorEastAsia" w:hAnsi="Cambria Math" w:cstheme="minorHAnsi"/>
              </w:rPr>
              <m:t>i</m:t>
            </m:r>
          </m:sub>
        </m:sSub>
      </m:oMath>
      <w:r w:rsidR="00D617FC">
        <w:rPr>
          <w:rFonts w:eastAsiaTheme="minorEastAsia"/>
        </w:rPr>
        <w:t xml:space="preserve"> is the uncertainty of </w:t>
      </w:r>
      <w:r w:rsidR="009B7922">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9B7922">
        <w:rPr>
          <w:rFonts w:eastAsiaTheme="minorEastAsia"/>
        </w:rPr>
        <w:t xml:space="preserve">, so of the per capita floor space of country </w:t>
      </w:r>
      <m:oMath>
        <m:r>
          <w:rPr>
            <w:rFonts w:ascii="Cambria Math" w:eastAsiaTheme="minorEastAsia" w:hAnsi="Cambria Math"/>
          </w:rPr>
          <m:t>i</m:t>
        </m:r>
      </m:oMath>
      <w:r w:rsidR="005D3317">
        <w:rPr>
          <w:rFonts w:eastAsiaTheme="minorEastAsia"/>
        </w:rPr>
        <w:t>, measured in terms of a standard deviation</w:t>
      </w:r>
      <w:r w:rsidR="009B7922">
        <w:rPr>
          <w:rFonts w:eastAsiaTheme="minorEastAsia"/>
        </w:rPr>
        <w:t xml:space="preserve">. An unweighted model assumes an equal (but possibly unknown)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9B7922">
        <w:rPr>
          <w:rFonts w:eastAsiaTheme="minorEastAsia"/>
        </w:rPr>
        <w:t xml:space="preserve"> for all countries. There is no information on the value of these </w:t>
      </w:r>
      <m:oMath>
        <m:r>
          <w:rPr>
            <w:rFonts w:ascii="Cambria Math" w:eastAsiaTheme="minorEastAsia" w:hAnsi="Cambria Math"/>
          </w:rPr>
          <m:t>σ</m:t>
        </m:r>
      </m:oMath>
      <w:r w:rsidR="009B7922">
        <w:rPr>
          <w:rFonts w:eastAsiaTheme="minorEastAsia"/>
        </w:rPr>
        <w:t xml:space="preserve">-values. We decided to </w:t>
      </w:r>
      <w:r w:rsidR="00D617FC">
        <w:rPr>
          <w:rFonts w:eastAsiaTheme="minorEastAsia"/>
        </w:rPr>
        <w:t>construct</w:t>
      </w:r>
      <w:r w:rsidR="009B7922">
        <w:rPr>
          <w:rFonts w:eastAsiaTheme="minorEastAsia"/>
        </w:rPr>
        <w:t xml:space="preserve"> them </w:t>
      </w:r>
      <w:r w:rsidR="00D617FC">
        <w:rPr>
          <w:rFonts w:eastAsiaTheme="minorEastAsia"/>
        </w:rPr>
        <w:t>based on the (population</w:t>
      </w:r>
      <w:r w:rsidR="00FB0479">
        <w:rPr>
          <w:rFonts w:eastAsiaTheme="minorEastAsia"/>
        </w:rPr>
        <w:t xml:space="preserve"> or GDP</w:t>
      </w:r>
      <w:r w:rsidR="005E66B6">
        <w:rPr>
          <w:rFonts w:eastAsiaTheme="minorEastAsia"/>
        </w:rPr>
        <w:t xml:space="preserve"> per capita</w:t>
      </w:r>
      <w:r w:rsidR="00D617FC">
        <w:rPr>
          <w:rFonts w:eastAsiaTheme="minorEastAsia"/>
        </w:rPr>
        <w:t xml:space="preserve"> weighted) per capita floorspace</w:t>
      </w:r>
      <w:r w:rsidR="00D855B3">
        <w:rPr>
          <w:rFonts w:eastAsiaTheme="minorEastAsia"/>
        </w:rPr>
        <w:t xml:space="preserve"> </w:t>
      </w:r>
      <m:oMath>
        <m:r>
          <w:rPr>
            <w:rFonts w:ascii="Cambria Math" w:eastAsiaTheme="minorEastAsia" w:hAnsi="Cambria Math"/>
          </w:rPr>
          <m:t>y</m:t>
        </m:r>
      </m:oMath>
      <w:r w:rsidR="00D617FC">
        <w:rPr>
          <w:rFonts w:eastAsiaTheme="minorEastAsia"/>
        </w:rPr>
        <w:t xml:space="preserve"> and a </w:t>
      </w:r>
      <w:r w:rsidR="009B7922">
        <w:rPr>
          <w:rFonts w:eastAsiaTheme="minorEastAsia"/>
        </w:rPr>
        <w:t xml:space="preserve">country-specific </w:t>
      </w:r>
      <w:r w:rsidR="00367D0E">
        <w:rPr>
          <w:rFonts w:eastAsiaTheme="minorEastAsia"/>
        </w:rPr>
        <w:t xml:space="preserve">uncertainty </w:t>
      </w:r>
      <w:r w:rsidR="00D617FC">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B7922">
        <w:rPr>
          <w:rFonts w:eastAsiaTheme="minorEastAsia"/>
        </w:rPr>
        <w:t xml:space="preserve"> </w:t>
      </w:r>
      <w:r w:rsidR="00D617FC">
        <w:rPr>
          <w:rFonts w:eastAsiaTheme="minorEastAsia"/>
        </w:rPr>
        <w:t>as follows:</w:t>
      </w:r>
    </w:p>
    <w:p w14:paraId="35AD2EF1" w14:textId="568D4483" w:rsidR="00D617FC" w:rsidRPr="007E0850" w:rsidRDefault="007454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m:oMathPara>
    </w:p>
    <w:p w14:paraId="63794CA8" w14:textId="40840698" w:rsidR="007E0850" w:rsidRDefault="009B7922">
      <w:pPr>
        <w:rPr>
          <w:rFonts w:eastAsiaTheme="minorEastAsia"/>
        </w:rPr>
      </w:pPr>
      <w:r>
        <w:rPr>
          <w:rFonts w:eastAsiaTheme="minorEastAsia"/>
        </w:rPr>
        <w:t>H</w:t>
      </w:r>
      <w:r w:rsidR="001077F0">
        <w:rPr>
          <w:rFonts w:eastAsiaTheme="minorEastAsia"/>
        </w:rPr>
        <w:t xml:space="preserve">ere the </w:t>
      </w:r>
      <w:r w:rsidR="00F0184E">
        <w:rPr>
          <w:rFonts w:eastAsiaTheme="minorEastAsia"/>
        </w:rPr>
        <w:t xml:space="preserve">uncertainty </w:t>
      </w:r>
      <w:r w:rsidR="007E0850">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7E0850">
        <w:rPr>
          <w:rFonts w:eastAsiaTheme="minorEastAsia"/>
        </w:rPr>
        <w:t xml:space="preserve"> </w:t>
      </w:r>
      <w:r>
        <w:rPr>
          <w:rFonts w:eastAsiaTheme="minorEastAsia"/>
        </w:rPr>
        <w:t xml:space="preserve">is assumed to </w:t>
      </w:r>
      <w:r w:rsidR="007E0850">
        <w:rPr>
          <w:rFonts w:eastAsiaTheme="minorEastAsia"/>
        </w:rPr>
        <w:t xml:space="preserve">decrease linearly </w:t>
      </w:r>
      <w:r w:rsidR="00D17DF8">
        <w:rPr>
          <w:rFonts w:eastAsiaTheme="minorEastAsia"/>
        </w:rPr>
        <w:t>(</w:t>
      </w:r>
      <w:r w:rsidR="007E0850">
        <w:rPr>
          <w:rFonts w:eastAsiaTheme="minorEastAsia"/>
        </w:rPr>
        <w:t xml:space="preserve">with population </w:t>
      </w:r>
      <w:r w:rsidR="005D3317">
        <w:rPr>
          <w:rFonts w:eastAsiaTheme="minorEastAsia"/>
        </w:rPr>
        <w:t>size</w:t>
      </w:r>
      <w:r w:rsidR="00D17DF8">
        <w:rPr>
          <w:rFonts w:eastAsiaTheme="minorEastAsia"/>
        </w:rPr>
        <w:t xml:space="preserve"> or GDP/cap)</w:t>
      </w:r>
      <w:r w:rsidR="005D3317">
        <w:rPr>
          <w:rFonts w:eastAsiaTheme="minorEastAsia"/>
        </w:rPr>
        <w:t xml:space="preserve"> </w:t>
      </w:r>
      <w:r w:rsidR="007E0850">
        <w:rPr>
          <w:rFonts w:eastAsiaTheme="minorEastAsia"/>
        </w:rPr>
        <w:t>until a maximum reached</w:t>
      </w:r>
      <w:r w:rsidR="00D17DF8">
        <w:rPr>
          <w:rFonts w:eastAsiaTheme="minorEastAsia"/>
        </w:rPr>
        <w:t xml:space="preserve"> (200 million people or $40,000 GDP/cap, see </w:t>
      </w:r>
      <w:r w:rsidR="005D3317">
        <w:rPr>
          <w:rFonts w:eastAsiaTheme="minorEastAsia"/>
        </w:rPr>
        <w:t>Figure S.3)</w:t>
      </w:r>
      <w:r w:rsidR="007E0850">
        <w:rPr>
          <w:rFonts w:eastAsiaTheme="minorEastAsia"/>
        </w:rPr>
        <w:t>:</w:t>
      </w:r>
    </w:p>
    <w:p w14:paraId="2F818F4E" w14:textId="77777777" w:rsidR="00F0184E" w:rsidRPr="00945C6B" w:rsidRDefault="00F0184E">
      <w:pPr>
        <w:rPr>
          <w:rFonts w:eastAsiaTheme="minorEastAsia"/>
        </w:rPr>
      </w:pPr>
    </w:p>
    <w:p w14:paraId="6554B393" w14:textId="297A0925" w:rsidR="00945C6B" w:rsidRPr="005E66B6" w:rsidRDefault="0074540E" w:rsidP="00945C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population weighted</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+0.3 </m:t>
                  </m:r>
                  <m:r>
                    <m:rPr>
                      <m:sty m:val="p"/>
                    </m:rPr>
                    <w:rPr>
                      <w:rFonts w:ascii="Cambria Math" w:eastAsiaTheme="minorEastAsia" w:hAnsi="Cambria Math"/>
                    </w:rPr>
                    <m:t>if</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e>
                <m:e>
                  <m:r>
                    <w:rPr>
                      <w:rFonts w:ascii="Cambria Math" w:eastAsia="Cambria Math" w:hAnsi="Cambria Math" w:cs="Cambria Math"/>
                    </w:rPr>
                    <m:t xml:space="preserve">0.015 </m:t>
                  </m:r>
                  <m:r>
                    <m:rPr>
                      <m:sty m:val="p"/>
                    </m:rPr>
                    <w:rPr>
                      <w:rFonts w:ascii="Cambria Math" w:eastAsiaTheme="minorEastAsia" w:hAnsi="Cambria Math"/>
                    </w:rPr>
                    <m:t>if</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e>
              </m:eqArr>
            </m:e>
          </m:d>
        </m:oMath>
      </m:oMathPara>
    </w:p>
    <w:p w14:paraId="3D1D92D4" w14:textId="27FDE9D0" w:rsidR="00FB0479" w:rsidRPr="00FB0479" w:rsidRDefault="0074540E" w:rsidP="00945C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(GDP/cap weighted)=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7.125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+0.3 </m:t>
                  </m:r>
                  <m:r>
                    <m:rPr>
                      <m:sty m:val="p"/>
                    </m:rPr>
                    <w:rPr>
                      <w:rFonts w:ascii="Cambria Math" w:eastAsiaTheme="minorEastAsia" w:hAnsi="Cambria Math"/>
                    </w:rPr>
                    <m:t>if</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e>
                <m:e>
                  <m:r>
                    <w:rPr>
                      <w:rFonts w:ascii="Cambria Math" w:eastAsia="Cambria Math" w:hAnsi="Cambria Math" w:cs="Cambria Math"/>
                    </w:rPr>
                    <m:t xml:space="preserve">0.015 </m:t>
                  </m:r>
                  <m:r>
                    <m:rPr>
                      <m:sty m:val="p"/>
                    </m:rPr>
                    <w:rPr>
                      <w:rFonts w:ascii="Cambria Math" w:eastAsiaTheme="minorEastAsia" w:hAnsi="Cambria Math"/>
                    </w:rPr>
                    <m:t>if</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e>
              </m:eqArr>
            </m:e>
          </m:d>
          <m:r>
            <m:rPr>
              <m:sty m:val="p"/>
            </m:rPr>
            <w:rPr>
              <w:rFonts w:eastAsiaTheme="minorEastAsia"/>
            </w:rPr>
            <w:br/>
          </m:r>
        </m:oMath>
      </m:oMathPara>
      <w:r w:rsidR="00970CFB" w:rsidRPr="00970CFB">
        <w:rPr>
          <w:noProof/>
        </w:rPr>
        <w:drawing>
          <wp:inline distT="0" distB="0" distL="0" distR="0" wp14:anchorId="78CBDE86" wp14:editId="15FBB2B9">
            <wp:extent cx="2794000" cy="1620947"/>
            <wp:effectExtent l="0" t="0" r="635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8662" cy="1635255"/>
                    </a:xfrm>
                    <a:prstGeom prst="rect">
                      <a:avLst/>
                    </a:prstGeom>
                  </pic:spPr>
                </pic:pic>
              </a:graphicData>
            </a:graphic>
          </wp:inline>
        </w:drawing>
      </w:r>
      <w:r w:rsidR="00970CFB" w:rsidRPr="00970CFB">
        <w:rPr>
          <w:noProof/>
        </w:rPr>
        <w:drawing>
          <wp:inline distT="0" distB="0" distL="0" distR="0" wp14:anchorId="5DE21E29" wp14:editId="0F45CBB9">
            <wp:extent cx="2760345" cy="1504950"/>
            <wp:effectExtent l="0" t="0" r="190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04" b="-1970"/>
                    <a:stretch/>
                  </pic:blipFill>
                  <pic:spPr bwMode="auto">
                    <a:xfrm>
                      <a:off x="0" y="0"/>
                      <a:ext cx="2781696" cy="1516591"/>
                    </a:xfrm>
                    <a:prstGeom prst="rect">
                      <a:avLst/>
                    </a:prstGeom>
                    <a:ln>
                      <a:noFill/>
                    </a:ln>
                    <a:extLst>
                      <a:ext uri="{53640926-AAD7-44D8-BBD7-CCE9431645EC}">
                        <a14:shadowObscured xmlns:a14="http://schemas.microsoft.com/office/drawing/2010/main"/>
                      </a:ext>
                    </a:extLst>
                  </pic:spPr>
                </pic:pic>
              </a:graphicData>
            </a:graphic>
          </wp:inline>
        </w:drawing>
      </w:r>
    </w:p>
    <w:p w14:paraId="261899A7" w14:textId="7EBC0336" w:rsidR="00EC7E00" w:rsidRPr="00E369AF" w:rsidRDefault="00EC7E00" w:rsidP="00E369AF">
      <w:pPr>
        <w:rPr>
          <w:rFonts w:eastAsiaTheme="minorEastAsia"/>
          <w:i/>
          <w:sz w:val="20"/>
        </w:rPr>
      </w:pPr>
      <w:r w:rsidRPr="00E369AF">
        <w:rPr>
          <w:rFonts w:eastAsiaTheme="minorEastAsia"/>
          <w:i/>
          <w:sz w:val="20"/>
        </w:rPr>
        <w:t xml:space="preserve">Figure S.3. Graphical representation of the </w:t>
      </w:r>
      <w:r w:rsidR="00367D0E">
        <w:rPr>
          <w:rFonts w:eastAsiaTheme="minorEastAsia"/>
          <w:i/>
          <w:sz w:val="20"/>
        </w:rPr>
        <w:t xml:space="preserve">uncertainty </w:t>
      </w:r>
      <w:r w:rsidR="00970CFB">
        <w:rPr>
          <w:rFonts w:eastAsiaTheme="minorEastAsia"/>
          <w:i/>
          <w:sz w:val="20"/>
        </w:rPr>
        <w:t>weighting factors (w)</w:t>
      </w:r>
      <w:r w:rsidRPr="00E369AF">
        <w:rPr>
          <w:rFonts w:eastAsiaTheme="minorEastAsia"/>
          <w:i/>
          <w:sz w:val="20"/>
        </w:rPr>
        <w:t xml:space="preserve"> used in the weighted regression analysis.</w:t>
      </w:r>
      <w:r w:rsidR="00F0184E">
        <w:rPr>
          <w:rFonts w:eastAsiaTheme="minorEastAsia"/>
          <w:i/>
          <w:sz w:val="20"/>
        </w:rPr>
        <w:t xml:space="preserve"> Left: population weighted regression; Right: regression</w:t>
      </w:r>
      <w:r w:rsidR="00D11109">
        <w:rPr>
          <w:rFonts w:eastAsiaTheme="minorEastAsia"/>
          <w:i/>
          <w:sz w:val="20"/>
        </w:rPr>
        <w:t xml:space="preserve"> weighted by GDP per capita</w:t>
      </w:r>
      <w:r w:rsidR="00970CFB">
        <w:rPr>
          <w:rFonts w:eastAsiaTheme="minorEastAsia"/>
          <w:i/>
          <w:sz w:val="20"/>
        </w:rPr>
        <w:t>.</w:t>
      </w:r>
    </w:p>
    <w:p w14:paraId="415CB1D3" w14:textId="64D87F06" w:rsidR="00026669" w:rsidRDefault="00F0184E">
      <w:pPr>
        <w:rPr>
          <w:rFonts w:eastAsiaTheme="minorEastAsia"/>
        </w:rPr>
      </w:pPr>
      <w:r>
        <w:rPr>
          <w:rFonts w:eastAsiaTheme="minorEastAsia"/>
        </w:rPr>
        <w:br/>
      </w:r>
      <w:r w:rsidR="007E0850">
        <w:rPr>
          <w:rFonts w:eastAsiaTheme="minorEastAsia"/>
        </w:rPr>
        <w:t xml:space="preserve">This means that we introduce a relatively large </w:t>
      </w:r>
      <w:r w:rsidR="00367D0E">
        <w:rPr>
          <w:rFonts w:eastAsiaTheme="minorEastAsia"/>
        </w:rPr>
        <w:t xml:space="preserve">uncertainty </w:t>
      </w:r>
      <w:r w:rsidR="00B755B8">
        <w:rPr>
          <w:rFonts w:eastAsiaTheme="minorEastAsia"/>
        </w:rPr>
        <w:t>weight</w:t>
      </w:r>
      <w:r w:rsidR="005D3317">
        <w:rPr>
          <w:rFonts w:eastAsiaTheme="minorEastAsia"/>
        </w:rPr>
        <w:t xml:space="preserve"> (</w:t>
      </w:r>
      <m:oMath>
        <m:r>
          <w:rPr>
            <w:rFonts w:ascii="Cambria Math" w:eastAsiaTheme="minorEastAsia" w:hAnsi="Cambria Math"/>
          </w:rPr>
          <m:t>w</m:t>
        </m:r>
      </m:oMath>
      <w:r w:rsidR="005D3317">
        <w:rPr>
          <w:rFonts w:eastAsiaTheme="minorEastAsia"/>
        </w:rPr>
        <w:t>)</w:t>
      </w:r>
      <w:r w:rsidR="00B755B8">
        <w:rPr>
          <w:rFonts w:eastAsiaTheme="minorEastAsia"/>
        </w:rPr>
        <w:t xml:space="preserve">, and resulting </w:t>
      </w:r>
      <w:r w:rsidR="005D3317">
        <w:rPr>
          <w:rFonts w:eastAsiaTheme="minorEastAsia"/>
        </w:rPr>
        <w:t xml:space="preserve">relative standard deviation of the </w:t>
      </w:r>
      <w:r w:rsidR="00367D0E">
        <w:rPr>
          <w:rFonts w:eastAsiaTheme="minorEastAsia"/>
        </w:rPr>
        <w:t xml:space="preserve">service-related </w:t>
      </w:r>
      <w:r w:rsidR="005D3317">
        <w:rPr>
          <w:rFonts w:eastAsiaTheme="minorEastAsia"/>
        </w:rPr>
        <w:t xml:space="preserve">floor space </w:t>
      </w:r>
      <w:r w:rsidR="00B755B8">
        <w:rPr>
          <w:rFonts w:eastAsiaTheme="minorEastAsia"/>
        </w:rPr>
        <w:t xml:space="preserve">(of 30%) </w:t>
      </w:r>
      <w:r w:rsidR="007E0850">
        <w:rPr>
          <w:rFonts w:eastAsiaTheme="minorEastAsia"/>
        </w:rPr>
        <w:t>for countries with a small population</w:t>
      </w:r>
      <w:r w:rsidR="00B755B8">
        <w:rPr>
          <w:rFonts w:eastAsiaTheme="minorEastAsia"/>
        </w:rPr>
        <w:t xml:space="preserve"> </w:t>
      </w:r>
      <w:r w:rsidR="005D3317">
        <w:rPr>
          <w:rFonts w:eastAsiaTheme="minorEastAsia"/>
        </w:rPr>
        <w:t xml:space="preserve">size </w:t>
      </w:r>
      <w:r w:rsidR="00B755B8">
        <w:rPr>
          <w:rFonts w:eastAsiaTheme="minorEastAsia"/>
        </w:rPr>
        <w:t>(</w:t>
      </w:r>
      <m:oMath>
        <m:r>
          <w:rPr>
            <w:rFonts w:ascii="Cambria Math" w:eastAsiaTheme="minorEastAsia" w:hAnsi="Cambria Math"/>
          </w:rPr>
          <m:t>p</m:t>
        </m:r>
      </m:oMath>
      <w:r w:rsidR="00B755B8" w:rsidRPr="00B755B8">
        <w:rPr>
          <w:rFonts w:eastAsiaTheme="minorEastAsia"/>
        </w:rPr>
        <w:t>)</w:t>
      </w:r>
      <w:r w:rsidR="007E0850">
        <w:rPr>
          <w:rFonts w:eastAsiaTheme="minorEastAsia"/>
        </w:rPr>
        <w:t xml:space="preserve">, while </w:t>
      </w:r>
      <w:r w:rsidR="00B755B8">
        <w:rPr>
          <w:rFonts w:eastAsiaTheme="minorEastAsia"/>
        </w:rPr>
        <w:t xml:space="preserve">countries with a population size beyond 200 million people are assumed to have a smaller </w:t>
      </w:r>
      <w:r w:rsidR="005D3317">
        <w:rPr>
          <w:rFonts w:eastAsiaTheme="minorEastAsia"/>
        </w:rPr>
        <w:t xml:space="preserve">relative standard deviation of the </w:t>
      </w:r>
      <w:r w:rsidR="00367D0E">
        <w:rPr>
          <w:rFonts w:eastAsiaTheme="minorEastAsia"/>
        </w:rPr>
        <w:t xml:space="preserve">service-related </w:t>
      </w:r>
      <w:r w:rsidR="005D3317">
        <w:rPr>
          <w:rFonts w:eastAsiaTheme="minorEastAsia"/>
        </w:rPr>
        <w:t xml:space="preserve">floor space </w:t>
      </w:r>
      <w:r w:rsidR="00B755B8">
        <w:rPr>
          <w:rFonts w:eastAsiaTheme="minorEastAsia"/>
        </w:rPr>
        <w:t xml:space="preserve">(of </w:t>
      </w:r>
      <w:r w:rsidR="00367D0E">
        <w:rPr>
          <w:rFonts w:eastAsiaTheme="minorEastAsia"/>
        </w:rPr>
        <w:t>1.5</w:t>
      </w:r>
      <w:r w:rsidR="00B755B8">
        <w:rPr>
          <w:rFonts w:eastAsiaTheme="minorEastAsia"/>
        </w:rPr>
        <w:t xml:space="preserve">%). </w:t>
      </w:r>
      <w:r w:rsidR="001A702F">
        <w:rPr>
          <w:rFonts w:eastAsiaTheme="minorEastAsia"/>
        </w:rPr>
        <w:t>When implemented, these setting</w:t>
      </w:r>
      <w:r w:rsidR="005D3317">
        <w:rPr>
          <w:rFonts w:eastAsiaTheme="minorEastAsia"/>
        </w:rPr>
        <w:t>s</w:t>
      </w:r>
      <w:r w:rsidR="001A702F">
        <w:rPr>
          <w:rFonts w:eastAsiaTheme="minorEastAsia"/>
        </w:rPr>
        <w:t xml:space="preserve"> ensure that the model fit becomes more accurate, because it allocates more weight to data points representing countries with a larger population</w:t>
      </w:r>
      <w:r w:rsidR="00367D0E">
        <w:rPr>
          <w:rFonts w:eastAsiaTheme="minorEastAsia"/>
        </w:rPr>
        <w:t xml:space="preserve"> (since these have a lower uncertainty weight)</w:t>
      </w:r>
      <w:r w:rsidR="001A702F">
        <w:rPr>
          <w:rFonts w:eastAsiaTheme="minorEastAsia"/>
        </w:rPr>
        <w:t xml:space="preserve">. Using the estimated Gompertz parameters resulting from the weighted regression leads to a much better fit of </w:t>
      </w:r>
      <m:oMath>
        <m:r>
          <w:rPr>
            <w:rFonts w:ascii="Cambria Math" w:eastAsiaTheme="minorEastAsia" w:hAnsi="Cambria Math"/>
          </w:rPr>
          <m:t>ϕ=1.005</m:t>
        </m:r>
      </m:oMath>
      <w:r w:rsidR="001A702F">
        <w:rPr>
          <w:rFonts w:eastAsiaTheme="minorEastAsia"/>
        </w:rPr>
        <w:t xml:space="preserve"> for the year 2017, representing a mismatch </w:t>
      </w:r>
      <w:r w:rsidR="005D3317">
        <w:rPr>
          <w:rFonts w:eastAsiaTheme="minorEastAsia"/>
        </w:rPr>
        <w:t xml:space="preserve">of total global floor space </w:t>
      </w:r>
      <w:r w:rsidR="001A702F">
        <w:rPr>
          <w:rFonts w:eastAsiaTheme="minorEastAsia"/>
        </w:rPr>
        <w:t xml:space="preserve">of only 0.5%. A more accurate </w:t>
      </w:r>
      <w:r w:rsidR="001A702F" w:rsidRPr="000554B0">
        <w:rPr>
          <w:rFonts w:eastAsiaTheme="minorEastAsia"/>
        </w:rPr>
        <w:t xml:space="preserve">model verification in the year 2017, however, comes at the cost of lower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vertAlign w:val="superscript"/>
              </w:rPr>
              <m:t>2</m:t>
            </m:r>
          </m:sup>
        </m:sSup>
      </m:oMath>
      <w:r w:rsidR="001A702F" w:rsidRPr="000554B0">
        <w:rPr>
          <w:rFonts w:eastAsiaTheme="minorEastAsia"/>
        </w:rPr>
        <w:t xml:space="preserve"> values as can be seen from Figure S.2. </w:t>
      </w:r>
    </w:p>
    <w:p w14:paraId="2259B85B" w14:textId="44D74F45" w:rsidR="00C024E1" w:rsidRDefault="00026669">
      <w:pPr>
        <w:rPr>
          <w:rFonts w:eastAsiaTheme="minorEastAsia"/>
        </w:rPr>
      </w:pPr>
      <w:r>
        <w:rPr>
          <w:rFonts w:eastAsiaTheme="minorEastAsia"/>
        </w:rPr>
        <w:t>While the total service-sector floorspace is represented using a population weighted regression, thus ensuring an appropriate model fit, it was decided to follow a</w:t>
      </w:r>
      <w:r w:rsidR="00367D0E">
        <w:rPr>
          <w:rFonts w:eastAsiaTheme="minorEastAsia"/>
        </w:rPr>
        <w:t xml:space="preserve"> different</w:t>
      </w:r>
      <w:r>
        <w:rPr>
          <w:rFonts w:eastAsiaTheme="minorEastAsia"/>
        </w:rPr>
        <w:t xml:space="preserve"> approach regarding the </w:t>
      </w:r>
      <w:r w:rsidR="00C024E1">
        <w:rPr>
          <w:rFonts w:eastAsiaTheme="minorEastAsia"/>
        </w:rPr>
        <w:t>disaggregation</w:t>
      </w:r>
      <w:r>
        <w:rPr>
          <w:rFonts w:eastAsiaTheme="minorEastAsia"/>
        </w:rPr>
        <w:t xml:space="preserve"> of floorspace demand across the four service building types</w:t>
      </w:r>
      <w:r w:rsidR="00C024E1">
        <w:rPr>
          <w:rFonts w:eastAsiaTheme="minorEastAsia"/>
        </w:rPr>
        <w:t xml:space="preserve"> (Figure S.2b-c)</w:t>
      </w:r>
      <w:r>
        <w:rPr>
          <w:rFonts w:eastAsiaTheme="minorEastAsia"/>
        </w:rPr>
        <w:t xml:space="preserve">. One reason being the lower resulting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vertAlign w:val="superscript"/>
              </w:rPr>
              <m:t>2</m:t>
            </m:r>
          </m:sup>
        </m:sSup>
      </m:oMath>
      <w:r>
        <w:rPr>
          <w:rFonts w:eastAsiaTheme="minorEastAsia"/>
        </w:rPr>
        <w:t xml:space="preserve"> values from a population weighted regression. Another reason is that if the total service floorspace ensures a proper representation of the current</w:t>
      </w:r>
      <w:r w:rsidR="00C024E1">
        <w:rPr>
          <w:rFonts w:eastAsiaTheme="minorEastAsia"/>
        </w:rPr>
        <w:t xml:space="preserve"> situation</w:t>
      </w:r>
      <w:r>
        <w:rPr>
          <w:rFonts w:eastAsiaTheme="minorEastAsia"/>
        </w:rPr>
        <w:t>, the</w:t>
      </w:r>
      <w:r w:rsidR="00C024E1">
        <w:rPr>
          <w:rFonts w:eastAsiaTheme="minorEastAsia"/>
        </w:rPr>
        <w:t xml:space="preserve"> need for </w:t>
      </w:r>
      <w:r w:rsidR="00874130">
        <w:rPr>
          <w:rFonts w:eastAsiaTheme="minorEastAsia"/>
        </w:rPr>
        <w:t>population-based</w:t>
      </w:r>
      <w:r w:rsidR="00C024E1">
        <w:rPr>
          <w:rFonts w:eastAsiaTheme="minorEastAsia"/>
        </w:rPr>
        <w:t xml:space="preserve"> weighting diminishes for the specific building types. Instead we applied a more common weighting approach based on the reliability of the data. Here, we assume that reported data from countries with a higher </w:t>
      </w:r>
      <w:r w:rsidR="005E66B6">
        <w:rPr>
          <w:rFonts w:eastAsiaTheme="minorEastAsia"/>
        </w:rPr>
        <w:t xml:space="preserve">per capita </w:t>
      </w:r>
      <w:r w:rsidR="00C024E1">
        <w:rPr>
          <w:rFonts w:eastAsiaTheme="minorEastAsia"/>
        </w:rPr>
        <w:t>income have a higher reliability than data from countries with a lower income</w:t>
      </w:r>
      <w:r w:rsidR="005E66B6">
        <w:rPr>
          <w:rFonts w:eastAsiaTheme="minorEastAsia"/>
        </w:rPr>
        <w:t xml:space="preserve"> per capita</w:t>
      </w:r>
      <w:r w:rsidR="00C024E1">
        <w:rPr>
          <w:rFonts w:eastAsiaTheme="minorEastAsia"/>
        </w:rPr>
        <w:t xml:space="preserve">. This could be defended by the common view that </w:t>
      </w:r>
      <w:r w:rsidR="005E66B6">
        <w:rPr>
          <w:rFonts w:eastAsiaTheme="minorEastAsia"/>
        </w:rPr>
        <w:t>affluent</w:t>
      </w:r>
      <w:r w:rsidR="00C024E1">
        <w:rPr>
          <w:rFonts w:eastAsiaTheme="minorEastAsia"/>
        </w:rPr>
        <w:t xml:space="preserve"> countries tend to have better statistical office</w:t>
      </w:r>
      <w:r w:rsidR="00D42953">
        <w:rPr>
          <w:rFonts w:eastAsiaTheme="minorEastAsia"/>
        </w:rPr>
        <w:t>s</w:t>
      </w:r>
      <w:r w:rsidR="00C024E1">
        <w:rPr>
          <w:rFonts w:eastAsiaTheme="minorEastAsia"/>
        </w:rPr>
        <w:t xml:space="preserve"> for example. To translate a countries </w:t>
      </w:r>
      <w:r w:rsidR="005E66B6">
        <w:rPr>
          <w:rFonts w:eastAsiaTheme="minorEastAsia"/>
        </w:rPr>
        <w:t>affluence</w:t>
      </w:r>
      <w:r w:rsidR="00C024E1">
        <w:rPr>
          <w:rFonts w:eastAsiaTheme="minorEastAsia"/>
        </w:rPr>
        <w:t xml:space="preserve"> into a proxy for the data reliability we used the </w:t>
      </w:r>
      <w:r w:rsidR="005E66B6">
        <w:rPr>
          <w:rFonts w:eastAsiaTheme="minorEastAsia"/>
        </w:rPr>
        <w:t xml:space="preserve">per capita </w:t>
      </w:r>
      <w:r w:rsidR="00C024E1">
        <w:rPr>
          <w:rFonts w:eastAsiaTheme="minorEastAsia"/>
        </w:rPr>
        <w:t>GDP (2016 US</w:t>
      </w:r>
      <w:r w:rsidR="00FB0479">
        <w:rPr>
          <w:rFonts w:eastAsiaTheme="minorEastAsia"/>
        </w:rPr>
        <w:t>$</w:t>
      </w:r>
      <w:r w:rsidR="005E66B6">
        <w:rPr>
          <w:rFonts w:eastAsiaTheme="minorEastAsia"/>
        </w:rPr>
        <w:t>/cap</w:t>
      </w:r>
      <w:r w:rsidR="00FB0479">
        <w:rPr>
          <w:rFonts w:eastAsiaTheme="minorEastAsia"/>
        </w:rPr>
        <w:t>, PPP</w:t>
      </w:r>
      <w:r w:rsidR="00C024E1">
        <w:rPr>
          <w:rFonts w:eastAsiaTheme="minorEastAsia"/>
        </w:rPr>
        <w:t xml:space="preserve">). </w:t>
      </w:r>
      <w:r w:rsidR="00FB0479">
        <w:rPr>
          <w:rFonts w:eastAsiaTheme="minorEastAsia"/>
        </w:rPr>
        <w:t xml:space="preserve">Similar to the population weighted approach we </w:t>
      </w:r>
      <w:r w:rsidR="00367D0E">
        <w:rPr>
          <w:rFonts w:eastAsiaTheme="minorEastAsia"/>
        </w:rPr>
        <w:t xml:space="preserve">use a high uncertainty weight of 30% at low income levels, and assume a linear decrease to 1.5% at high levels of </w:t>
      </w:r>
      <w:r w:rsidR="009A1439">
        <w:rPr>
          <w:rFonts w:eastAsiaTheme="minorEastAsia"/>
        </w:rPr>
        <w:t>GDP per capita</w:t>
      </w:r>
      <w:r w:rsidR="00367D0E">
        <w:rPr>
          <w:rFonts w:eastAsiaTheme="minorEastAsia"/>
        </w:rPr>
        <w:t xml:space="preserve"> (beyond 40.000 US$/capita yr</w:t>
      </w:r>
      <w:r w:rsidR="00367D0E">
        <w:rPr>
          <w:rFonts w:eastAsiaTheme="minorEastAsia"/>
          <w:vertAlign w:val="superscript"/>
        </w:rPr>
        <w:t>-1</w:t>
      </w:r>
      <w:r w:rsidR="00367D0E">
        <w:rPr>
          <w:rFonts w:eastAsiaTheme="minorEastAsia"/>
        </w:rPr>
        <w:t xml:space="preserve">), as shown in Figure S.3. </w:t>
      </w:r>
    </w:p>
    <w:p w14:paraId="03D51B9D" w14:textId="66BA217B" w:rsidR="00EC7E00" w:rsidRDefault="00EC7E00">
      <w:pPr>
        <w:rPr>
          <w:rFonts w:eastAsiaTheme="minorEastAsia"/>
        </w:rPr>
      </w:pPr>
      <w:r w:rsidRPr="000554B0">
        <w:rPr>
          <w:rFonts w:eastAsiaTheme="minorEastAsia"/>
        </w:rPr>
        <w:t xml:space="preserve">The disaggregation of the total commercial floor space demand (based on the weighted regression) was done based on the relative contribution according to the </w:t>
      </w:r>
      <w:r w:rsidR="00367D0E">
        <w:rPr>
          <w:rFonts w:eastAsiaTheme="minorEastAsia"/>
        </w:rPr>
        <w:t>GDP</w:t>
      </w:r>
      <w:r w:rsidR="009A1439">
        <w:rPr>
          <w:rFonts w:eastAsiaTheme="minorEastAsia"/>
        </w:rPr>
        <w:t>/cap</w:t>
      </w:r>
      <w:r w:rsidR="00367D0E">
        <w:rPr>
          <w:rFonts w:eastAsiaTheme="minorEastAsia"/>
        </w:rPr>
        <w:t xml:space="preserve"> </w:t>
      </w:r>
      <w:r w:rsidR="00367D0E" w:rsidRPr="000554B0">
        <w:rPr>
          <w:rFonts w:eastAsiaTheme="minorEastAsia"/>
        </w:rPr>
        <w:t xml:space="preserve">weighted </w:t>
      </w:r>
      <w:r w:rsidR="00847CF4" w:rsidRPr="000554B0">
        <w:rPr>
          <w:rFonts w:eastAsiaTheme="minorEastAsia"/>
        </w:rPr>
        <w:t xml:space="preserve">regression fits for the four </w:t>
      </w:r>
      <w:r w:rsidR="00970CFB">
        <w:rPr>
          <w:rFonts w:eastAsiaTheme="minorEastAsia"/>
        </w:rPr>
        <w:t>service-related</w:t>
      </w:r>
      <w:r w:rsidR="00970CFB" w:rsidRPr="000554B0">
        <w:rPr>
          <w:rFonts w:eastAsiaTheme="minorEastAsia"/>
        </w:rPr>
        <w:t xml:space="preserve"> </w:t>
      </w:r>
      <w:r w:rsidR="00847CF4" w:rsidRPr="000554B0">
        <w:rPr>
          <w:rFonts w:eastAsiaTheme="minorEastAsia"/>
        </w:rPr>
        <w:t>building types</w:t>
      </w:r>
      <w:r w:rsidR="00F945DE" w:rsidRPr="000554B0">
        <w:rPr>
          <w:rFonts w:eastAsiaTheme="minorEastAsia"/>
        </w:rPr>
        <w:t>, as can be found in Figure S.4 a&amp;b</w:t>
      </w:r>
      <w:r w:rsidR="00847CF4" w:rsidRPr="000554B0">
        <w:rPr>
          <w:rFonts w:eastAsiaTheme="minorEastAsia"/>
        </w:rPr>
        <w:t>.</w:t>
      </w:r>
      <w:r w:rsidR="00847CF4">
        <w:rPr>
          <w:rFonts w:eastAsiaTheme="minorEastAsia"/>
        </w:rPr>
        <w:t xml:space="preserve"> </w:t>
      </w:r>
    </w:p>
    <w:p w14:paraId="72AE0C3F" w14:textId="17B4D605" w:rsidR="00847CF4" w:rsidRDefault="00C54645">
      <w:pPr>
        <w:rPr>
          <w:rFonts w:eastAsiaTheme="minorEastAsia"/>
        </w:rPr>
      </w:pPr>
      <w:r>
        <w:rPr>
          <w:noProof/>
        </w:rPr>
        <w:lastRenderedPageBreak/>
        <mc:AlternateContent>
          <mc:Choice Requires="wps">
            <w:drawing>
              <wp:anchor distT="45720" distB="45720" distL="114300" distR="114300" simplePos="0" relativeHeight="251646976" behindDoc="0" locked="0" layoutInCell="1" allowOverlap="1" wp14:anchorId="4F1C80FD" wp14:editId="311EC911">
                <wp:simplePos x="0" y="0"/>
                <wp:positionH relativeFrom="column">
                  <wp:posOffset>5796915</wp:posOffset>
                </wp:positionH>
                <wp:positionV relativeFrom="paragraph">
                  <wp:posOffset>91127</wp:posOffset>
                </wp:positionV>
                <wp:extent cx="262255" cy="262255"/>
                <wp:effectExtent l="0" t="0" r="0" b="4445"/>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35157034" w14:textId="7AD33033" w:rsidR="00874130" w:rsidRPr="006D7AE1" w:rsidRDefault="00874130" w:rsidP="00C54645">
                            <w:pPr>
                              <w:rPr>
                                <w:sz w:val="24"/>
                              </w:rPr>
                            </w:pPr>
                            <w:r>
                              <w:rPr>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1C80FD" id="_x0000_s1058" type="#_x0000_t202" style="position:absolute;margin-left:456.45pt;margin-top:7.2pt;width:20.65pt;height:20.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" filled="f" stroked="f">
                <v:textbox>
                  <w:txbxContent>
                    <w:p w14:paraId="35157034" w14:textId="7AD33033" w:rsidR="00874130" w:rsidRPr="006D7AE1" w:rsidRDefault="00874130" w:rsidP="00C54645">
                      <w:pPr>
                        <w:rPr>
                          <w:sz w:val="24"/>
                        </w:rPr>
                      </w:pPr>
                      <w:r>
                        <w:rPr>
                          <w:sz w:val="24"/>
                        </w:rPr>
                        <w:t>b</w:t>
                      </w:r>
                    </w:p>
                  </w:txbxContent>
                </v:textbox>
              </v:shape>
            </w:pict>
          </mc:Fallback>
        </mc:AlternateContent>
      </w:r>
      <w:r>
        <w:rPr>
          <w:noProof/>
        </w:rPr>
        <mc:AlternateContent>
          <mc:Choice Requires="wps">
            <w:drawing>
              <wp:anchor distT="45720" distB="45720" distL="114300" distR="114300" simplePos="0" relativeHeight="251626496" behindDoc="0" locked="0" layoutInCell="1" allowOverlap="1" wp14:anchorId="27E837DE" wp14:editId="24358AAA">
                <wp:simplePos x="0" y="0"/>
                <wp:positionH relativeFrom="column">
                  <wp:posOffset>-211455</wp:posOffset>
                </wp:positionH>
                <wp:positionV relativeFrom="paragraph">
                  <wp:posOffset>36195</wp:posOffset>
                </wp:positionV>
                <wp:extent cx="262255" cy="2622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14F0E4D8" w14:textId="77777777" w:rsidR="00874130" w:rsidRPr="006D7AE1" w:rsidRDefault="00874130" w:rsidP="00C54645">
                            <w:pPr>
                              <w:rPr>
                                <w:sz w:val="24"/>
                              </w:rPr>
                            </w:pPr>
                            <w:r w:rsidRPr="006D7AE1">
                              <w:rPr>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E837DE" id="_x0000_s1059" type="#_x0000_t202" style="position:absolute;margin-left:-16.65pt;margin-top:2.85pt;width:20.65pt;height:20.6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" filled="f" stroked="f">
                <v:textbox>
                  <w:txbxContent>
                    <w:p w14:paraId="14F0E4D8" w14:textId="77777777" w:rsidR="00874130" w:rsidRPr="006D7AE1" w:rsidRDefault="00874130" w:rsidP="00C54645">
                      <w:pPr>
                        <w:rPr>
                          <w:sz w:val="24"/>
                        </w:rPr>
                      </w:pPr>
                      <w:r w:rsidRPr="006D7AE1">
                        <w:rPr>
                          <w:sz w:val="24"/>
                        </w:rPr>
                        <w:t>a</w:t>
                      </w:r>
                    </w:p>
                  </w:txbxContent>
                </v:textbox>
              </v:shape>
            </w:pict>
          </mc:Fallback>
        </mc:AlternateContent>
      </w:r>
      <w:r w:rsidR="00C06D27" w:rsidRPr="00C06D27">
        <w:rPr>
          <w:noProof/>
        </w:rPr>
        <w:t xml:space="preserve"> </w:t>
      </w:r>
      <w:r w:rsidR="00C06D27">
        <w:rPr>
          <w:noProof/>
        </w:rPr>
        <w:drawing>
          <wp:inline distT="0" distB="0" distL="0" distR="0" wp14:anchorId="622B9F2C" wp14:editId="61880049">
            <wp:extent cx="2787015" cy="16637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093" r="2812" b="-4433"/>
                    <a:stretch/>
                  </pic:blipFill>
                  <pic:spPr bwMode="auto">
                    <a:xfrm>
                      <a:off x="0" y="0"/>
                      <a:ext cx="2805768" cy="1674895"/>
                    </a:xfrm>
                    <a:prstGeom prst="rect">
                      <a:avLst/>
                    </a:prstGeom>
                    <a:noFill/>
                    <a:ln>
                      <a:noFill/>
                    </a:ln>
                    <a:extLst>
                      <a:ext uri="{53640926-AAD7-44D8-BBD7-CCE9431645EC}">
                        <a14:shadowObscured xmlns:a14="http://schemas.microsoft.com/office/drawing/2010/main"/>
                      </a:ext>
                    </a:extLst>
                  </pic:spPr>
                </pic:pic>
              </a:graphicData>
            </a:graphic>
          </wp:inline>
        </w:drawing>
      </w:r>
      <w:r w:rsidR="00C06D27">
        <w:rPr>
          <w:noProof/>
        </w:rPr>
        <w:drawing>
          <wp:inline distT="0" distB="0" distL="0" distR="0" wp14:anchorId="68967B89" wp14:editId="20F0898A">
            <wp:extent cx="3084884" cy="1975485"/>
            <wp:effectExtent l="0" t="0" r="127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859" b="2"/>
                    <a:stretch/>
                  </pic:blipFill>
                  <pic:spPr bwMode="auto">
                    <a:xfrm>
                      <a:off x="0" y="0"/>
                      <a:ext cx="3101501" cy="1986126"/>
                    </a:xfrm>
                    <a:prstGeom prst="rect">
                      <a:avLst/>
                    </a:prstGeom>
                    <a:noFill/>
                    <a:ln>
                      <a:noFill/>
                    </a:ln>
                    <a:extLst>
                      <a:ext uri="{53640926-AAD7-44D8-BBD7-CCE9431645EC}">
                        <a14:shadowObscured xmlns:a14="http://schemas.microsoft.com/office/drawing/2010/main"/>
                      </a:ext>
                    </a:extLst>
                  </pic:spPr>
                </pic:pic>
              </a:graphicData>
            </a:graphic>
          </wp:inline>
        </w:drawing>
      </w:r>
    </w:p>
    <w:p w14:paraId="6DA457F1" w14:textId="6D08E739" w:rsidR="00E27DDF" w:rsidRDefault="00847CF4">
      <w:pPr>
        <w:rPr>
          <w:rFonts w:eastAsiaTheme="minorEastAsia"/>
          <w:i/>
          <w:sz w:val="20"/>
        </w:rPr>
      </w:pPr>
      <w:r w:rsidRPr="00F945DE">
        <w:rPr>
          <w:rFonts w:eastAsiaTheme="minorEastAsia"/>
          <w:i/>
          <w:sz w:val="20"/>
        </w:rPr>
        <w:t xml:space="preserve">Figure S.4. Per capita floor space demand for four </w:t>
      </w:r>
      <w:r w:rsidR="00B47BD6">
        <w:rPr>
          <w:rFonts w:eastAsiaTheme="minorEastAsia"/>
          <w:i/>
          <w:sz w:val="20"/>
        </w:rPr>
        <w:t>service sector</w:t>
      </w:r>
      <w:r w:rsidR="00B47BD6" w:rsidRPr="00F945DE">
        <w:rPr>
          <w:rFonts w:eastAsiaTheme="minorEastAsia"/>
          <w:i/>
          <w:sz w:val="20"/>
        </w:rPr>
        <w:t xml:space="preserve"> </w:t>
      </w:r>
      <w:r w:rsidRPr="00F945DE">
        <w:rPr>
          <w:rFonts w:eastAsiaTheme="minorEastAsia"/>
          <w:i/>
          <w:sz w:val="20"/>
        </w:rPr>
        <w:t xml:space="preserve">building types, used to disaggregate the total </w:t>
      </w:r>
      <w:r w:rsidR="00B47BD6">
        <w:rPr>
          <w:rFonts w:eastAsiaTheme="minorEastAsia"/>
          <w:i/>
          <w:sz w:val="20"/>
        </w:rPr>
        <w:t>service-related</w:t>
      </w:r>
      <w:r w:rsidR="00F945DE" w:rsidRPr="00F945DE">
        <w:rPr>
          <w:rFonts w:eastAsiaTheme="minorEastAsia"/>
          <w:i/>
          <w:sz w:val="20"/>
        </w:rPr>
        <w:t xml:space="preserve"> floorspace demand (blue line </w:t>
      </w:r>
      <w:r w:rsidR="00F945DE" w:rsidRPr="000554B0">
        <w:rPr>
          <w:rFonts w:eastAsiaTheme="minorEastAsia"/>
          <w:i/>
          <w:sz w:val="20"/>
        </w:rPr>
        <w:t>in Figure S.2a).</w:t>
      </w:r>
      <w:r w:rsidR="00F945DE" w:rsidRPr="00F945DE">
        <w:rPr>
          <w:rFonts w:eastAsiaTheme="minorEastAsia"/>
          <w:i/>
          <w:sz w:val="20"/>
        </w:rPr>
        <w:t xml:space="preserve"> a) Four regression models used for the four commercial building types (the corresponding Gompertz parameters for these curves can be found in Table 1 of the main text). b) Relative contribution of the four </w:t>
      </w:r>
      <w:r w:rsidR="00B47BD6">
        <w:rPr>
          <w:rFonts w:eastAsiaTheme="minorEastAsia"/>
          <w:i/>
          <w:sz w:val="20"/>
        </w:rPr>
        <w:t>service</w:t>
      </w:r>
      <w:r w:rsidR="00F945DE" w:rsidRPr="00F945DE">
        <w:rPr>
          <w:rFonts w:eastAsiaTheme="minorEastAsia"/>
          <w:i/>
          <w:sz w:val="20"/>
        </w:rPr>
        <w:t xml:space="preserve"> building types to the total </w:t>
      </w:r>
      <w:r w:rsidR="00B47BD6">
        <w:rPr>
          <w:rFonts w:eastAsiaTheme="minorEastAsia"/>
          <w:i/>
          <w:sz w:val="20"/>
        </w:rPr>
        <w:t>service sector</w:t>
      </w:r>
      <w:r w:rsidR="00B47BD6" w:rsidRPr="00F945DE">
        <w:rPr>
          <w:rFonts w:eastAsiaTheme="minorEastAsia"/>
          <w:i/>
          <w:sz w:val="20"/>
        </w:rPr>
        <w:t xml:space="preserve"> </w:t>
      </w:r>
      <w:r w:rsidR="00F945DE" w:rsidRPr="00F945DE">
        <w:rPr>
          <w:rFonts w:eastAsiaTheme="minorEastAsia"/>
          <w:i/>
          <w:sz w:val="20"/>
        </w:rPr>
        <w:t>floorspace demand</w:t>
      </w:r>
      <w:r w:rsidR="00B47BD6">
        <w:rPr>
          <w:rFonts w:eastAsiaTheme="minorEastAsia"/>
          <w:i/>
          <w:sz w:val="20"/>
        </w:rPr>
        <w:t>,</w:t>
      </w:r>
      <w:r w:rsidR="00C06D27">
        <w:rPr>
          <w:rFonts w:eastAsiaTheme="minorEastAsia"/>
          <w:i/>
          <w:sz w:val="20"/>
        </w:rPr>
        <w:t xml:space="preserve"> at different levels</w:t>
      </w:r>
      <w:r w:rsidR="008845DD">
        <w:rPr>
          <w:rFonts w:eastAsiaTheme="minorEastAsia"/>
          <w:i/>
          <w:sz w:val="20"/>
        </w:rPr>
        <w:t xml:space="preserve"> of Service Value Added (in US$/capita yr</w:t>
      </w:r>
      <w:r w:rsidR="008845DD">
        <w:rPr>
          <w:rFonts w:eastAsiaTheme="minorEastAsia"/>
          <w:i/>
          <w:sz w:val="20"/>
          <w:vertAlign w:val="superscript"/>
        </w:rPr>
        <w:t>-1</w:t>
      </w:r>
      <w:r w:rsidR="008845DD">
        <w:rPr>
          <w:rFonts w:eastAsiaTheme="minorEastAsia"/>
          <w:i/>
          <w:sz w:val="20"/>
        </w:rPr>
        <w:t>)</w:t>
      </w:r>
      <w:r w:rsidR="00F945DE" w:rsidRPr="00F945DE">
        <w:rPr>
          <w:rFonts w:eastAsiaTheme="minorEastAsia"/>
          <w:i/>
          <w:sz w:val="20"/>
        </w:rPr>
        <w:t>.</w:t>
      </w:r>
    </w:p>
    <w:p w14:paraId="14F28682" w14:textId="77777777" w:rsidR="00445553" w:rsidRDefault="00445553" w:rsidP="00445553">
      <w:pPr>
        <w:pStyle w:val="Heading2"/>
      </w:pPr>
      <w:bookmarkStart w:id="3" w:name="_Toc10807385"/>
      <w:r>
        <w:t>2.2. Reflection on model specification</w:t>
      </w:r>
      <w:bookmarkEnd w:id="3"/>
    </w:p>
    <w:p w14:paraId="371ED3A3" w14:textId="77777777" w:rsidR="00445553" w:rsidRPr="003A51FF" w:rsidRDefault="00445553" w:rsidP="00445553"/>
    <w:p w14:paraId="34A9E6B6" w14:textId="6CD02FF1" w:rsidR="00445553" w:rsidRDefault="00445553" w:rsidP="00445553">
      <w:r>
        <w:t xml:space="preserve">In the current model </w:t>
      </w:r>
      <w:r w:rsidR="00874130">
        <w:t>specification,</w:t>
      </w:r>
      <w:r>
        <w:t xml:space="preserve"> we use national data on per capita service value added to derive the development of the per capita floorspace for non-residential buildings. However, this does not mean that service value added is the only possible independent variable to explain the development of non-residential floorspace demand. From literature we know, for example, that the amount of some shops seems to be correlated with population density at the local level</w:t>
      </w:r>
      <w:r>
        <w:fldChar w:fldCharType="begin" w:fldLock="1"/>
      </w:r>
      <w:r w:rsidR="00B12458">
        <w:instrText>ADDIN CSL_CITATION {"citationItems":[{"id":"ITEM-1","itemData":{"DOI":"10.1103/PhysRevE.74.035101","ISSN":"1539-3755","author":[{"dropping-particle":"","family":"Jensen","given":"Pablo","non-dropping-particle":"","parse-names":false,"suffix":""}],"container-title":"Physical Review E","id":"ITEM-1","issue":"3","issued":{"date-parts":[["2006","9","8"]]},"page":"035101","title":"Network-based predictions of retail store commercial categories and optimal locations","type":"article-journal","volume":"74"},"uris":["http://www.mendeley.com/documents/?uuid=4b187eb8-ca8c-4fa6-91b8-205a3349b2f0"]}],"mendeley":{"formattedCitation":"&lt;sup&gt;9&lt;/sup&gt;","plainTextFormattedCitation":"9","previouslyFormattedCitation":"&lt;sup&gt;9&lt;/sup&gt;"},"properties":{"noteIndex":0},"schema":"https://github.com/citation-style-language/schema/raw/master/csl-citation.json"}</w:instrText>
      </w:r>
      <w:r>
        <w:fldChar w:fldCharType="separate"/>
      </w:r>
      <w:r w:rsidRPr="00445553">
        <w:rPr>
          <w:noProof/>
          <w:vertAlign w:val="superscript"/>
        </w:rPr>
        <w:t>9</w:t>
      </w:r>
      <w:r>
        <w:fldChar w:fldCharType="end"/>
      </w:r>
      <w:r>
        <w:t xml:space="preserve">. To see if this is true for our data, we displayed the per capita floorspace demand for four non-residential building types in relation to the population density in Figure </w:t>
      </w:r>
      <w:r w:rsidRPr="00445553">
        <w:t>S</w:t>
      </w:r>
      <w:r>
        <w:t>.5. Using the figure one can identify some of the city-states, but other than that, the figures do not suggest any clear relationship between non-residential floorspace demand and population density.</w:t>
      </w:r>
    </w:p>
    <w:p w14:paraId="014727A8" w14:textId="6030010E" w:rsidR="00445553" w:rsidRDefault="00445553" w:rsidP="00445553">
      <w:r>
        <w:t>That does not mean, however, that such relationship does not exist. If data on non-residential floorspace demand would be specified for smaller regions, or if it would distinguish between urban and rural areas, one may expect to find not only a better regression, but perhaps a better model by incorporating a second independent variable such as population density. The current model specification is therefore chosen based on data-availability, given the global scope of our research.</w:t>
      </w:r>
    </w:p>
    <w:p w14:paraId="4E14041D" w14:textId="77777777" w:rsidR="00445553" w:rsidRDefault="00445553" w:rsidP="00445553">
      <w:r>
        <w:t xml:space="preserve">Furthermore, in the definition of a global model describing a generic development path we inevitably lose sight of exceptional regional factors such as culture and lifestyle, which surely play a role in floorspace demand. We would like to emphasize that therefore careful interpretation is required when using regional model outcomes. For this exact reason we provide both the data and the model used, which should make it easy to build and improve upon our work, for example by improving the regional representation. </w:t>
      </w:r>
    </w:p>
    <w:p w14:paraId="51F1C661" w14:textId="43546169" w:rsidR="00445553" w:rsidRDefault="00445553" w:rsidP="00445553"/>
    <w:p w14:paraId="1729E1BF" w14:textId="3CC625BE" w:rsidR="00445553" w:rsidRDefault="00445553" w:rsidP="00445553"/>
    <w:p w14:paraId="18A2BD32" w14:textId="3640F278" w:rsidR="00445553" w:rsidRDefault="00445553" w:rsidP="00445553"/>
    <w:p w14:paraId="74A2AE1F" w14:textId="1FFED4DF" w:rsidR="00445553" w:rsidRDefault="00445553" w:rsidP="00445553"/>
    <w:p w14:paraId="0E39415C" w14:textId="458D31CD" w:rsidR="00445553" w:rsidRDefault="00445553" w:rsidP="00445553"/>
    <w:p w14:paraId="54BC54F8" w14:textId="77777777" w:rsidR="00445553" w:rsidRPr="00445553" w:rsidRDefault="00445553" w:rsidP="00445553"/>
    <w:p w14:paraId="7504AD6E" w14:textId="77777777" w:rsidR="00445553" w:rsidRPr="00264217" w:rsidRDefault="00445553" w:rsidP="00445553">
      <w:pPr>
        <w:rPr>
          <w:lang w:val="nl-NL"/>
        </w:rPr>
      </w:pPr>
      <w:r>
        <w:rPr>
          <w:noProof/>
        </w:rPr>
        <w:drawing>
          <wp:anchor distT="0" distB="0" distL="114300" distR="114300" simplePos="0" relativeHeight="251820032" behindDoc="1" locked="0" layoutInCell="1" allowOverlap="1" wp14:anchorId="577995F2" wp14:editId="6E7A5B13">
            <wp:simplePos x="0" y="0"/>
            <wp:positionH relativeFrom="column">
              <wp:posOffset>2482850</wp:posOffset>
            </wp:positionH>
            <wp:positionV relativeFrom="paragraph">
              <wp:posOffset>10160</wp:posOffset>
            </wp:positionV>
            <wp:extent cx="2042795" cy="1730375"/>
            <wp:effectExtent l="0" t="0" r="0" b="3175"/>
            <wp:wrapTight wrapText="bothSides">
              <wp:wrapPolygon edited="0">
                <wp:start x="0" y="0"/>
                <wp:lineTo x="0" y="21402"/>
                <wp:lineTo x="21352" y="21402"/>
                <wp:lineTo x="21352" y="0"/>
                <wp:lineTo x="0"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290" b="4974"/>
                    <a:stretch/>
                  </pic:blipFill>
                  <pic:spPr bwMode="auto">
                    <a:xfrm>
                      <a:off x="0" y="0"/>
                      <a:ext cx="2042795" cy="1730375"/>
                    </a:xfrm>
                    <a:prstGeom prst="rect">
                      <a:avLst/>
                    </a:prstGeom>
                    <a:noFill/>
                    <a:ln>
                      <a:noFill/>
                    </a:ln>
                    <a:extLst>
                      <a:ext uri="{53640926-AAD7-44D8-BBD7-CCE9431645EC}">
                        <a14:shadowObscured xmlns:a14="http://schemas.microsoft.com/office/drawing/2010/main"/>
                      </a:ext>
                    </a:extLst>
                  </pic:spPr>
                </pic:pic>
              </a:graphicData>
            </a:graphic>
          </wp:anchor>
        </w:drawing>
      </w:r>
      <w:r w:rsidRPr="00445553">
        <w:t xml:space="preserve">    </w:t>
      </w:r>
      <w:r>
        <w:rPr>
          <w:noProof/>
        </w:rPr>
        <w:drawing>
          <wp:inline distT="0" distB="0" distL="0" distR="0" wp14:anchorId="6704D2E6" wp14:editId="3F1BAA14">
            <wp:extent cx="1963420" cy="1740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11" t="10614" b="5382"/>
                    <a:stretch/>
                  </pic:blipFill>
                  <pic:spPr bwMode="auto">
                    <a:xfrm>
                      <a:off x="0" y="0"/>
                      <a:ext cx="1964268" cy="1740783"/>
                    </a:xfrm>
                    <a:prstGeom prst="rect">
                      <a:avLst/>
                    </a:prstGeom>
                    <a:noFill/>
                    <a:ln>
                      <a:noFill/>
                    </a:ln>
                    <a:extLst>
                      <a:ext uri="{53640926-AAD7-44D8-BBD7-CCE9431645EC}">
                        <a14:shadowObscured xmlns:a14="http://schemas.microsoft.com/office/drawing/2010/main"/>
                      </a:ext>
                    </a:extLst>
                  </pic:spPr>
                </pic:pic>
              </a:graphicData>
            </a:graphic>
          </wp:inline>
        </w:drawing>
      </w:r>
      <w:r w:rsidRPr="00264217">
        <w:rPr>
          <w:lang w:val="nl-NL"/>
        </w:rPr>
        <w:tab/>
      </w:r>
      <w:r w:rsidRPr="00264217">
        <w:rPr>
          <w:lang w:val="nl-NL"/>
        </w:rPr>
        <w:tab/>
      </w:r>
      <w:r w:rsidRPr="00264217">
        <w:rPr>
          <w:lang w:val="nl-NL"/>
        </w:rPr>
        <w:tab/>
      </w:r>
    </w:p>
    <w:p w14:paraId="4F7E4295" w14:textId="77777777" w:rsidR="00445553" w:rsidRDefault="00445553" w:rsidP="00445553">
      <w:r>
        <w:rPr>
          <w:noProof/>
        </w:rPr>
        <w:drawing>
          <wp:anchor distT="0" distB="0" distL="114300" distR="114300" simplePos="0" relativeHeight="251821056" behindDoc="1" locked="0" layoutInCell="1" allowOverlap="1" wp14:anchorId="2358AA04" wp14:editId="1B7F32BF">
            <wp:simplePos x="0" y="0"/>
            <wp:positionH relativeFrom="column">
              <wp:posOffset>2451100</wp:posOffset>
            </wp:positionH>
            <wp:positionV relativeFrom="paragraph">
              <wp:posOffset>5080</wp:posOffset>
            </wp:positionV>
            <wp:extent cx="2087245" cy="1823085"/>
            <wp:effectExtent l="0" t="0" r="8255" b="5715"/>
            <wp:wrapTight wrapText="bothSides">
              <wp:wrapPolygon edited="0">
                <wp:start x="0" y="0"/>
                <wp:lineTo x="0" y="21442"/>
                <wp:lineTo x="21488" y="21442"/>
                <wp:lineTo x="21488"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369" b="3275"/>
                    <a:stretch/>
                  </pic:blipFill>
                  <pic:spPr bwMode="auto">
                    <a:xfrm>
                      <a:off x="0" y="0"/>
                      <a:ext cx="2087245" cy="18230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79CA9450" wp14:editId="6BA8B37A">
            <wp:extent cx="2078182" cy="175731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539" b="4901"/>
                    <a:stretch/>
                  </pic:blipFill>
                  <pic:spPr bwMode="auto">
                    <a:xfrm>
                      <a:off x="0" y="0"/>
                      <a:ext cx="2092196" cy="1769167"/>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tab/>
      </w:r>
    </w:p>
    <w:p w14:paraId="39CD1E14" w14:textId="6EBEA00C" w:rsidR="00445553" w:rsidRPr="00D6432D" w:rsidRDefault="00445553" w:rsidP="00445553">
      <w:pPr>
        <w:rPr>
          <w:i/>
          <w:sz w:val="20"/>
        </w:rPr>
      </w:pPr>
      <w:r w:rsidRPr="00D6432D">
        <w:rPr>
          <w:i/>
          <w:sz w:val="20"/>
        </w:rPr>
        <w:t>Figure S</w:t>
      </w:r>
      <w:r>
        <w:rPr>
          <w:i/>
          <w:sz w:val="20"/>
        </w:rPr>
        <w:t>.5</w:t>
      </w:r>
      <w:r w:rsidRPr="00D6432D">
        <w:rPr>
          <w:i/>
          <w:sz w:val="20"/>
        </w:rPr>
        <w:t>. Per capita floorspace demand in 4 non-residential building types (top-left: offices; top-right: retail+; bottom-left: hotels+; bottom-right: other) versus the population density. Data points represent countries, including outliers (N=176).</w:t>
      </w:r>
    </w:p>
    <w:p w14:paraId="5C766AD6" w14:textId="60F667ED" w:rsidR="0034010C" w:rsidRPr="00445553" w:rsidRDefault="00445553">
      <w:r>
        <w:t>Finally, the assumption of a fixed relation between demand (floor-space) and income (SVA) is only valid under a presumption of a ‘business as usual’ development. This is a legitimate assumption under the SSP2 scenario, as it explicitly assumes a “path in which social, economic, and technological trends do not shift markedly from historical patterns” according to Riahi et al.</w:t>
      </w:r>
      <w:r>
        <w:fldChar w:fldCharType="begin" w:fldLock="1"/>
      </w:r>
      <w:r w:rsidR="00B12458">
        <w:instrText>ADDIN CSL_CITATION {"citationItems":[{"id":"ITEM-1","itemData":{"DOI":"https://doi.org/10.1016/j.gloenvcha.2016.05.009","ISSN":"0959-3780","abstract":"Abstract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400–1200 EJ in 2100, and feature vastly different land-use dynamics, ranging from a possible reduction in cropland area up to a massive expansion by more than 700 million hectares by 2100. The associated annual CO2 emissions of the baseline scenarios range from about 25 GtCO2 to more than 120 GtCO2 per year by 2100. With respect to mitigation, we find that associated costs strongly depend on three factors: (1) the policy assumptions, (2) the socio-economic narrative, and (3) the stringency of the target. The carbon price for reaching the target of 2.6 W/m2 that is consistent with a temperature change limit of 2 °C,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the new …","author":[{"dropping-particle":"","family":"Riahi","given":"Keywan","non-dropping-particle":"","parse-names":false,"suffix":""},{"dropping-particle":"","family":"Vuuren","given":"Detlef P","non-dropping-particle":"van","parse-names":false,"suffix":""},{"dropping-particle":"","family":"Kriegler","given":"Elmar","non-dropping-particle":"","parse-names":false,"suffix":""},{"dropping-particle":"","family":"Edmonds","given":"Jae","non-dropping-particle":"","parse-names":false,"suffix":""},{"dropping-particle":"","family":"O’Neill","given":"Brian C","non-dropping-particle":"","parse-names":false,"suffix":""},{"dropping-particle":"","family":"Fujimori","given":"Shinichiro","non-dropping-particle":"","parse-names":false,"suffix":""},{"dropping-particle":"","family":"Bauer","given":"Nico","non-dropping-particle":"","parse-names":false,"suffix":""},{"dropping-particle":"","family":"Calvin","given":"Katherine","non-dropping-particle":"","parse-names":false,"suffix":""},{"dropping-particle":"","family":"Dellink","given":"Rob","non-dropping-particle":"","parse-names":false,"suffix":""},{"dropping-particle":"","family":"Fricko","given":"Oliver","non-dropping-particle":"","parse-names":false,"suffix":""},{"dropping-particle":"","family":"Lutz","given":"Wolfgang","non-dropping-particle":"","parse-names":false,"suffix":""},{"dropping-particle":"","family":"Popp","given":"Alexander","non-dropping-particle":"","parse-names":false,"suffix":""},{"dropping-particle":"","family":"Cuaresma","given":"Jesus Crespo","non-dropping-particle":"","parse-names":false,"suffix":""},{"dropping-particle":"","family":"KC","given":"Samir","non-dropping-particle":"","parse-names":false,"suffix":""},{"dropping-particle":"","family":"Leimbach","given":"Marian","non-dropping-particle":"","parse-names":false,"suffix":""},{"dropping-particle":"","family":"Jiang","given":"Leiwen","non-dropping-particle":"","parse-names":false,"suffix":""},{"dropping-particle":"","family":"Kram","given":"Tom","non-dropping-particle":"","parse-names":false,"suffix":""},{"dropping-particle":"","family":"Rao","given":"Shilpa","non-dropping-particle":"","parse-names":false,"suffix":""},{"dropping-particle":"","family":"Emmerling","given":"Johannes","non-dropping-particle":"","parse-names":false,"suffix":""},{"dropping-particle":"","family":"Ebi","given":"Kristie","non-dropping-particle":"","parse-names":false,"suffix":""},{"dropping-particle":"","family":"Hasegawa","given":"Tomoko","non-dropping-particle":"","parse-names":false,"suffix":""},{"dropping-particle":"","family":"Havlik","given":"Petr","non-dropping-particle":"","parse-names":false,"suffix":""},{"dropping-particle":"","family":"Humpenöder","given":"Florian","non-dropping-particle":"","parse-names":false,"suffix":""},{"dropping-particle":"","family":"Silva","given":"Lara Aleluia","non-dropping-particle":"Da","parse-names":false,"suffix":""},{"dropping-particle":"","family":"Smith","given":"Steve","non-dropping-particle":"","parse-names":false,"suffix":""},{"dropping-particle":"","family":"Stehfest","given":"Elke","non-dropping-particle":"","parse-names":false,"suffix":""},{"dropping-particle":"","family":"Bosetti","given":"Valentina","non-dropping-particle":"","parse-names":false,"suffix":""},{"dropping-particle":"","family":"Eom","given":"Jiyong","non-dropping-particle":"","parse-names":false,"suffix":""},{"dropping-particle":"","family":"Gernaat","given":"David","non-dropping-particle":"","parse-names":false,"suffix":""},{"dropping-particle":"","family":"Masui","given":"Toshihiko","non-dropping-particle":"","parse-names":false,"suffix":""},{"dropping-particle":"","family":"Rogelj","given":"Joeri","non-dropping-particle":"","parse-names":false,"suffix":""},{"dropping-particle":"","family":"Strefler","given":"Jessica","non-dropping-particle":"","parse-names":false,"suffix":""},{"dropping-particle":"","family":"Drouet","given":"Laurent","non-dropping-particle":"","parse-names":false,"suffix":""},{"dropping-particle":"","family":"Krey","given":"Volker","non-dropping-particle":"","parse-names":false,"suffix":""},{"dropping-particle":"","family":"Luderer","given":"Gunnar","non-dropping-particle":"","parse-names":false,"suffix":""},{"dropping-particle":"","family":"Harmsen","given":"Mathijs","non-dropping-particle":"","parse-names":false,"suffix":""},{"dropping-particle":"","family":"Takahashi","given":"Kiyoshi","non-dropping-particle":"","parse-names":false,"suffix":""},{"dropping-particle":"","family":"Baumstark","given":"Lavinia","non-dropping-particle":"","parse-names":false,"suffix":""},{"dropping-particle":"","family":"Doelman","given":"Jonathan C","non-dropping-particle":"","parse-names":false,"suffix":""},{"dropping-particle":"","family":"Kainuma","given":"Mikiko","non-dropping-particle":"","parse-names":false,"suffix":""},{"dropping-particle":"","family":"Klimont","given":"Zbigniew","non-dropping-particle":"","parse-names":false,"suffix":""},{"dropping-particle":"","family":"Marangoni","given":"Giacomo","non-dropping-particle":"","parse-names":false,"suffix":""},{"dropping-particle":"","family":"Lotze-Campen","given":"Hermann","non-dropping-particle":"","parse-names":false,"suffix":""},{"dropping-particle":"","family":"Obersteiner","given":"Michael","non-dropping-particle":"","parse-names":false,"suffix":""},{"dropping-particle":"","family":"Tabeau","given":"Andrzej","non-dropping-particle":"","parse-names":false,"suffix":""},{"dropping-particle":"","family":"Tavoni","given":"Massimo","non-dropping-particle":"","parse-names":false,"suffix":""}],"container-title":"Global Environmental Change","id":"ITEM-1","issued":{"date-parts":[["2017","1"]]},"page":"153-168","title":"The Shared Socioeconomic Pathways and their energy, land use, and greenhouse gas emissions implications: An overview","type":"article-journal","volume":"42"},"uris":["http://www.mendeley.com/documents/?uuid=dcd11267-98f2-4e3e-b0dc-f6300a8dc91e"]}],"mendeley":{"formattedCitation":"&lt;sup&gt;10&lt;/sup&gt;","plainTextFormattedCitation":"10","previouslyFormattedCitation":"&lt;sup&gt;10&lt;/sup&gt;"},"properties":{"noteIndex":0},"schema":"https://github.com/citation-style-language/schema/raw/master/csl-citation.json"}</w:instrText>
      </w:r>
      <w:r>
        <w:fldChar w:fldCharType="separate"/>
      </w:r>
      <w:r w:rsidRPr="00445553">
        <w:rPr>
          <w:noProof/>
          <w:vertAlign w:val="superscript"/>
        </w:rPr>
        <w:t>10</w:t>
      </w:r>
      <w:r>
        <w:fldChar w:fldCharType="end"/>
      </w:r>
      <w:r>
        <w:t xml:space="preserve">. However, implementation of our model under different scenarios (SSP or other) could mean that this relation between service sector floorspace demand and SVA needs to be revisited. </w:t>
      </w:r>
    </w:p>
    <w:p w14:paraId="310F7398" w14:textId="742E7158" w:rsidR="00422557" w:rsidRPr="00422557" w:rsidRDefault="00FA4960" w:rsidP="00422557">
      <w:pPr>
        <w:pStyle w:val="Heading2"/>
        <w:numPr>
          <w:ilvl w:val="0"/>
          <w:numId w:val="2"/>
        </w:numPr>
      </w:pPr>
      <w:bookmarkStart w:id="4" w:name="_Toc10807386"/>
      <w:r>
        <w:t xml:space="preserve">Dynamic Stock modelling for </w:t>
      </w:r>
      <w:r w:rsidR="00B47BD6">
        <w:t xml:space="preserve">Service Sector </w:t>
      </w:r>
      <w:r>
        <w:t>Floorspace</w:t>
      </w:r>
      <w:bookmarkEnd w:id="4"/>
      <w:r w:rsidR="00422557">
        <w:br/>
      </w:r>
    </w:p>
    <w:p w14:paraId="724C6BE7" w14:textId="54DEF53E" w:rsidR="009649B6" w:rsidRDefault="009649B6" w:rsidP="009649B6">
      <w:pPr>
        <w:pStyle w:val="Heading3"/>
      </w:pPr>
      <w:bookmarkStart w:id="5" w:name="_Toc10807387"/>
      <w:r>
        <w:t>3.1 Lifetime assumptions</w:t>
      </w:r>
      <w:bookmarkEnd w:id="5"/>
    </w:p>
    <w:p w14:paraId="73A0D19D" w14:textId="5A16DFE7" w:rsidR="00146EE8" w:rsidRDefault="00081978" w:rsidP="00FA4960">
      <w:r>
        <w:t xml:space="preserve">The </w:t>
      </w:r>
      <w:r w:rsidR="00146EE8">
        <w:t>d</w:t>
      </w:r>
      <w:r>
        <w:t>ynamic stock model</w:t>
      </w:r>
      <w:r w:rsidR="00146EE8">
        <w:t xml:space="preserve"> used was originally developed by Pauliuk</w:t>
      </w:r>
      <w:r w:rsidR="000D2E7B">
        <w:t xml:space="preserve"> and co-contributors</w:t>
      </w:r>
      <w:r w:rsidR="00146EE8">
        <w:fldChar w:fldCharType="begin" w:fldLock="1"/>
      </w:r>
      <w:r w:rsidR="00B12458">
        <w:instrText>ADDIN CSL_CITATION {"citationItems":[{"id":"ITEM-1","itemData":{"author":[{"dropping-particle":"","family":"Pauliuk","given":"Stefan","non-dropping-particle":"","parse-names":false,"suffix":""},{"dropping-particle":"","family":"Heeren","given":"Niko","non-dropping-particle":"","parse-names":false,"suffix":""}],"id":"ITEM-1","issued":{"date-parts":[["2018"]]},"number":"4dabd17 (Oct 20th 2018)","title":"Open Dynamic Material Systems Model","type":"article"},"uris":["http://www.mendeley.com/documents/?uuid=e65e67ad-5f91-4d93-ad84-ee22841b615f"]}],"mendeley":{"formattedCitation":"&lt;sup&gt;11&lt;/sup&gt;","plainTextFormattedCitation":"11","previouslyFormattedCitation":"&lt;sup&gt;11&lt;/sup&gt;"},"properties":{"noteIndex":0},"schema":"https://github.com/citation-style-language/schema/raw/master/csl-citation.json"}</w:instrText>
      </w:r>
      <w:r w:rsidR="00146EE8">
        <w:fldChar w:fldCharType="separate"/>
      </w:r>
      <w:r w:rsidR="00445553" w:rsidRPr="00445553">
        <w:rPr>
          <w:noProof/>
          <w:vertAlign w:val="superscript"/>
        </w:rPr>
        <w:t>11</w:t>
      </w:r>
      <w:r w:rsidR="00146EE8">
        <w:fldChar w:fldCharType="end"/>
      </w:r>
      <w:r w:rsidR="00146EE8">
        <w:t xml:space="preserve">, and was applied in this study using a stock-driven approach. This requires lifetime assumptions for the buildings in our model, which were based on the Weibull </w:t>
      </w:r>
      <w:r w:rsidR="00146EE8" w:rsidRPr="000554B0">
        <w:t xml:space="preserve">distribution parameters as found in literature. </w:t>
      </w:r>
      <w:r w:rsidR="000D2E7B" w:rsidRPr="000554B0">
        <w:t xml:space="preserve">Table 3 in </w:t>
      </w:r>
      <w:r w:rsidR="000D2E7B" w:rsidRPr="000554B0">
        <w:lastRenderedPageBreak/>
        <w:t>the main text shows the averaged Weibull parameters used, but as indicated in the main text, we used building-specific Weibull</w:t>
      </w:r>
      <w:r w:rsidR="00C54645" w:rsidRPr="000554B0">
        <w:t xml:space="preserve"> parameters where possible. Table S.2 shows</w:t>
      </w:r>
      <w:r w:rsidR="00C54645">
        <w:t xml:space="preserve"> the parameters used.</w:t>
      </w:r>
    </w:p>
    <w:p w14:paraId="0E340808" w14:textId="74BBAA63" w:rsidR="00EC2991" w:rsidRDefault="00890C15">
      <w:r>
        <w:t>Averaging lifetime distributions based on given</w:t>
      </w:r>
      <w:r w:rsidR="008064CD">
        <w:t xml:space="preserve"> Weibull parameters</w:t>
      </w:r>
      <w:r>
        <w:t xml:space="preserve"> cannot simply be done by averaging the available shape parameters and the available scale parameters. Therefore, we </w:t>
      </w:r>
      <w:r w:rsidR="007B2156">
        <w:t>used</w:t>
      </w:r>
      <w:r>
        <w:t xml:space="preserve"> a python</w:t>
      </w:r>
      <w:r w:rsidR="007B2156">
        <w:t xml:space="preserve"> least squares</w:t>
      </w:r>
      <w:r>
        <w:t xml:space="preserve"> </w:t>
      </w:r>
      <w:r w:rsidR="007B2156">
        <w:t xml:space="preserve">optimization </w:t>
      </w:r>
      <w:r>
        <w:t xml:space="preserve">routine to find the closest </w:t>
      </w:r>
      <w:r w:rsidR="00422557">
        <w:t xml:space="preserve">representation of the average, </w:t>
      </w:r>
      <w:r>
        <w:t xml:space="preserve">given multiple Weibull curves. </w:t>
      </w:r>
      <w:r w:rsidR="00422557">
        <w:t xml:space="preserve">In case we used an average to represent the multiple Weibull parameters found in literature, we indicate the coefficient of determination for the fitted curve with respect to the average of multiple curves (2 to maximum 5 curves) in brackets. </w:t>
      </w:r>
      <w:r w:rsidR="00874130">
        <w:t>Thus,</w:t>
      </w:r>
      <w:r w:rsidR="00422557">
        <w:t xml:space="preserve"> representing how well our parameter settings matches the average of the </w:t>
      </w:r>
      <w:r w:rsidR="007B2156">
        <w:t xml:space="preserve">lifetimes found in literature. For an example, please </w:t>
      </w:r>
      <w:r w:rsidR="007B2156" w:rsidRPr="000554B0">
        <w:t>see Figure S.</w:t>
      </w:r>
      <w:r w:rsidR="00445553">
        <w:t>6</w:t>
      </w:r>
      <w:r w:rsidR="007B2156" w:rsidRPr="000554B0">
        <w:t>.</w:t>
      </w:r>
      <w:r w:rsidR="00E369AF">
        <w:t xml:space="preserve"> </w:t>
      </w:r>
    </w:p>
    <w:tbl>
      <w:tblPr>
        <w:tblStyle w:val="TableGrid"/>
        <w:tblpPr w:leftFromText="180" w:rightFromText="180" w:vertAnchor="text" w:horzAnchor="margin" w:tblpY="10"/>
        <w:tblW w:w="10475" w:type="dxa"/>
        <w:tblLayout w:type="fixed"/>
        <w:tblLook w:val="04A0" w:firstRow="1" w:lastRow="0" w:firstColumn="1" w:lastColumn="0" w:noHBand="0" w:noVBand="1"/>
      </w:tblPr>
      <w:tblGrid>
        <w:gridCol w:w="1792"/>
        <w:gridCol w:w="2521"/>
        <w:gridCol w:w="840"/>
        <w:gridCol w:w="933"/>
        <w:gridCol w:w="4389"/>
      </w:tblGrid>
      <w:tr w:rsidR="009A1439" w14:paraId="317284EF" w14:textId="77777777" w:rsidTr="009A1439">
        <w:trPr>
          <w:trHeight w:val="197"/>
        </w:trPr>
        <w:tc>
          <w:tcPr>
            <w:tcW w:w="1792" w:type="dxa"/>
          </w:tcPr>
          <w:p w14:paraId="11680D09" w14:textId="77777777" w:rsidR="009A1439" w:rsidRPr="00422557" w:rsidRDefault="009A1439" w:rsidP="009A1439">
            <w:pPr>
              <w:rPr>
                <w:b/>
                <w:sz w:val="20"/>
                <w:szCs w:val="20"/>
                <w:lang w:val="en-US"/>
              </w:rPr>
            </w:pPr>
            <w:r w:rsidRPr="00422557">
              <w:rPr>
                <w:b/>
                <w:sz w:val="20"/>
                <w:szCs w:val="20"/>
                <w:lang w:val="en-US"/>
              </w:rPr>
              <w:t>Region</w:t>
            </w:r>
          </w:p>
        </w:tc>
        <w:tc>
          <w:tcPr>
            <w:tcW w:w="2521" w:type="dxa"/>
          </w:tcPr>
          <w:p w14:paraId="5FC8D195" w14:textId="77777777" w:rsidR="009A1439" w:rsidRPr="00422557" w:rsidRDefault="009A1439" w:rsidP="009A1439">
            <w:pPr>
              <w:rPr>
                <w:b/>
                <w:sz w:val="20"/>
                <w:szCs w:val="20"/>
                <w:lang w:val="en-US"/>
              </w:rPr>
            </w:pPr>
            <w:r w:rsidRPr="00422557">
              <w:rPr>
                <w:b/>
                <w:sz w:val="20"/>
                <w:szCs w:val="20"/>
                <w:lang w:val="en-US"/>
              </w:rPr>
              <w:t>Building type</w:t>
            </w:r>
          </w:p>
        </w:tc>
        <w:tc>
          <w:tcPr>
            <w:tcW w:w="840" w:type="dxa"/>
          </w:tcPr>
          <w:p w14:paraId="361D2DA0" w14:textId="77777777" w:rsidR="009A1439" w:rsidRPr="00422557" w:rsidRDefault="009A1439" w:rsidP="009A1439">
            <w:pPr>
              <w:rPr>
                <w:b/>
                <w:sz w:val="20"/>
                <w:szCs w:val="20"/>
              </w:rPr>
            </w:pPr>
            <w:r w:rsidRPr="00422557">
              <w:rPr>
                <w:b/>
                <w:sz w:val="20"/>
                <w:szCs w:val="20"/>
                <w:lang w:val="en-US"/>
              </w:rPr>
              <w:t>shape</w:t>
            </w:r>
          </w:p>
        </w:tc>
        <w:tc>
          <w:tcPr>
            <w:tcW w:w="933" w:type="dxa"/>
          </w:tcPr>
          <w:p w14:paraId="186C2D91" w14:textId="77777777" w:rsidR="009A1439" w:rsidRPr="00422557" w:rsidRDefault="009A1439" w:rsidP="009A1439">
            <w:pPr>
              <w:rPr>
                <w:b/>
                <w:sz w:val="20"/>
                <w:szCs w:val="20"/>
                <w:lang w:val="en-US"/>
              </w:rPr>
            </w:pPr>
            <w:r w:rsidRPr="00422557">
              <w:rPr>
                <w:b/>
                <w:sz w:val="20"/>
                <w:szCs w:val="20"/>
                <w:lang w:val="en-US"/>
              </w:rPr>
              <w:t>scale</w:t>
            </w:r>
          </w:p>
        </w:tc>
        <w:tc>
          <w:tcPr>
            <w:tcW w:w="4389" w:type="dxa"/>
          </w:tcPr>
          <w:p w14:paraId="091CD05F" w14:textId="77777777" w:rsidR="009A1439" w:rsidRPr="00422557" w:rsidRDefault="009A1439" w:rsidP="009A1439">
            <w:pPr>
              <w:rPr>
                <w:b/>
                <w:sz w:val="20"/>
                <w:szCs w:val="20"/>
                <w:lang w:val="en-US"/>
              </w:rPr>
            </w:pPr>
            <w:r w:rsidRPr="00422557">
              <w:rPr>
                <w:b/>
                <w:sz w:val="20"/>
                <w:szCs w:val="20"/>
                <w:lang w:val="en-US"/>
              </w:rPr>
              <w:t>Comment</w:t>
            </w:r>
          </w:p>
        </w:tc>
      </w:tr>
      <w:tr w:rsidR="009A1439" w14:paraId="5DCC8217" w14:textId="77777777" w:rsidTr="009A1439">
        <w:trPr>
          <w:trHeight w:val="197"/>
        </w:trPr>
        <w:tc>
          <w:tcPr>
            <w:tcW w:w="1792" w:type="dxa"/>
          </w:tcPr>
          <w:p w14:paraId="1162960D" w14:textId="77777777" w:rsidR="009A1439" w:rsidRPr="00422557" w:rsidRDefault="009A1439" w:rsidP="009A1439">
            <w:pPr>
              <w:rPr>
                <w:sz w:val="20"/>
                <w:szCs w:val="20"/>
                <w:lang w:val="en-US"/>
              </w:rPr>
            </w:pPr>
            <w:r w:rsidRPr="00422557">
              <w:rPr>
                <w:sz w:val="20"/>
                <w:szCs w:val="20"/>
                <w:lang w:val="en-US"/>
              </w:rPr>
              <w:t>Japan</w:t>
            </w:r>
          </w:p>
        </w:tc>
        <w:tc>
          <w:tcPr>
            <w:tcW w:w="2521" w:type="dxa"/>
          </w:tcPr>
          <w:p w14:paraId="0E23204E" w14:textId="77777777" w:rsidR="009A1439" w:rsidRPr="00422557" w:rsidRDefault="009A1439" w:rsidP="009A1439">
            <w:pPr>
              <w:rPr>
                <w:sz w:val="20"/>
                <w:szCs w:val="20"/>
                <w:lang w:val="en-US"/>
              </w:rPr>
            </w:pPr>
            <w:r w:rsidRPr="00422557">
              <w:rPr>
                <w:sz w:val="20"/>
                <w:szCs w:val="20"/>
                <w:lang w:val="en-US"/>
              </w:rPr>
              <w:t>Detached</w:t>
            </w:r>
          </w:p>
        </w:tc>
        <w:tc>
          <w:tcPr>
            <w:tcW w:w="840" w:type="dxa"/>
            <w:vAlign w:val="bottom"/>
          </w:tcPr>
          <w:p w14:paraId="749B10EC" w14:textId="77777777" w:rsidR="009A1439" w:rsidRPr="00422557" w:rsidRDefault="009A1439" w:rsidP="009A1439">
            <w:pPr>
              <w:rPr>
                <w:sz w:val="20"/>
                <w:szCs w:val="20"/>
              </w:rPr>
            </w:pPr>
            <w:r w:rsidRPr="00422557">
              <w:rPr>
                <w:rFonts w:ascii="Calibri" w:hAnsi="Calibri"/>
                <w:color w:val="000000"/>
                <w:sz w:val="20"/>
                <w:szCs w:val="20"/>
              </w:rPr>
              <w:t>1.88</w:t>
            </w:r>
          </w:p>
        </w:tc>
        <w:tc>
          <w:tcPr>
            <w:tcW w:w="933" w:type="dxa"/>
            <w:vAlign w:val="bottom"/>
          </w:tcPr>
          <w:p w14:paraId="7BE51D99" w14:textId="77777777" w:rsidR="009A1439" w:rsidRPr="00422557" w:rsidRDefault="009A1439" w:rsidP="009A1439">
            <w:pPr>
              <w:rPr>
                <w:sz w:val="20"/>
                <w:szCs w:val="20"/>
                <w:lang w:val="en-US"/>
              </w:rPr>
            </w:pPr>
            <w:r w:rsidRPr="00422557">
              <w:rPr>
                <w:rFonts w:ascii="Calibri" w:hAnsi="Calibri"/>
                <w:color w:val="000000"/>
                <w:sz w:val="20"/>
                <w:szCs w:val="20"/>
              </w:rPr>
              <w:t>41.23</w:t>
            </w:r>
          </w:p>
        </w:tc>
        <w:tc>
          <w:tcPr>
            <w:tcW w:w="4389" w:type="dxa"/>
            <w:vMerge w:val="restart"/>
          </w:tcPr>
          <w:p w14:paraId="1FAD7E21" w14:textId="27376913" w:rsidR="009A1439" w:rsidRPr="00422557" w:rsidRDefault="009A1439" w:rsidP="009A1439">
            <w:pPr>
              <w:rPr>
                <w:sz w:val="20"/>
                <w:szCs w:val="20"/>
                <w:lang w:val="en-US"/>
              </w:rPr>
            </w:pPr>
            <w:r w:rsidRPr="00422557">
              <w:rPr>
                <w:sz w:val="20"/>
                <w:szCs w:val="20"/>
                <w:lang w:val="en-US"/>
              </w:rPr>
              <w:t xml:space="preserve">Building Specific Weibull parameters according to the average found in two studies </w:t>
            </w:r>
            <w:r w:rsidRPr="00422557">
              <w:rPr>
                <w:sz w:val="20"/>
                <w:szCs w:val="20"/>
              </w:rPr>
              <w:fldChar w:fldCharType="begin" w:fldLock="1"/>
            </w:r>
            <w:r w:rsidR="00B12458">
              <w:rPr>
                <w:sz w:val="20"/>
                <w:szCs w:val="20"/>
                <w:lang w:val="en-US"/>
              </w:rPr>
              <w:instrText>ADDIN CSL_CITATION {"citationItems":[{"id":"ITEM-1","itemData":{"DOI":"https://doi.org/10.1016/j.procir.2016.11.221","ISSN":"2212-8271","abstract":"By using the balance equation between input, output, and net addition to stock, we developed a method to estimate the lifetime distributions for buildings by statistics and some parameters from former studies. Understandable lifetime distributions were obtained from 1987 to 2010 in the type of lifetime distributions for cohort demolished in each year (D-based lifetime distribution), which was based on a hypothesis that demolition would be decided by some reasons at the time of demolition. We found that time-series change of the average lifetime depends on the economic situation, at least in the country where replacement is the dominant method of construction.","author":[{"dropping-particle":"","family":"Daigo","given":"Ichiro","non-dropping-particle":"","parse-names":false,"suffix":""},{"dropping-particle":"","family":"Iwata","given":"Kohei","non-dropping-particle":"","parse-names":false,"suffix":""},{"dropping-particle":"","family":"Oguchi","given":"Masahiro","non-dropping-particle":"","parse-names":false,"suffix":""},{"dropping-particle":"","family":"Goto","given":"Yoshikazu","non-dropping-particle":"","parse-names":false,"suffix":""}],"container-title":"Procedia CIRP","id":"ITEM-1","issued":{"date-parts":[["2017"]]},"note":"The 24th CIRP Conference on Life Cycle Engineering","page":"146-151","title":"Lifetime Distribution of Buildings Decided by Economic Situation at Demolition: D-based Lifetime Distribution","type":"article-journal","volume":"61"},"uris":["http://www.mendeley.com/documents/?uuid=1cfdecaa-16b2-45b3-b095-099ca49b64c7"]}],"mendeley":{"formattedCitation":"&lt;sup&gt;12&lt;/sup&gt;","plainTextFormattedCitation":"12","previouslyFormattedCitation":"&lt;sup&gt;12&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12</w:t>
            </w:r>
            <w:r w:rsidRPr="00422557">
              <w:rPr>
                <w:sz w:val="20"/>
                <w:szCs w:val="20"/>
              </w:rPr>
              <w:fldChar w:fldCharType="end"/>
            </w:r>
            <w:r w:rsidRPr="00422557">
              <w:rPr>
                <w:sz w:val="20"/>
                <w:szCs w:val="20"/>
                <w:vertAlign w:val="superscript"/>
                <w:lang w:val="en-US"/>
              </w:rPr>
              <w:t>,</w:t>
            </w:r>
            <w:r w:rsidRPr="00422557">
              <w:rPr>
                <w:sz w:val="20"/>
                <w:szCs w:val="20"/>
              </w:rPr>
              <w:fldChar w:fldCharType="begin" w:fldLock="1"/>
            </w:r>
            <w:r w:rsidR="00B12458">
              <w:rPr>
                <w:sz w:val="20"/>
                <w:szCs w:val="20"/>
                <w:lang w:val="en-US"/>
              </w:rPr>
              <w:instrText>ADDIN CSL_CITATION {"citationItems":[{"id":"ITEM-1","itemData":{"abstract":"This p aper estimates the asset service liv es and the rate s of depreciation based on a finely - defined classification of assets , which distinguishes 3 69 asset types in total , using data of the retired assets collected in the Survey on Capital Expenditures and Disposals in Japan from 2006 to 2012. T h is survey collected 83 8 thousand data of dispos ed assets from business accounts of private corporations, of which around 60 thousand are sold for continuous use in the production process with positive prices . The disposed assets are classified in to five ty pes to more accurately determine the remained values in retired assets. The difference in the definitions of remained values on the retired assets generates a 1.4 percentage point gap in the estimated rate of depreciation for the whole asset stock owned by private corporations , and in turn may have a significant impact on the measurement of capital stock level . The estimated rates of depreciation on average are 20.4% for machinery and equipment and 11.3% for building and construction , in which Japan’s rates are higher than Canada and the U.S. It may reflect the higher prices of land and the separate consideration of renovation in building investment .","author":[{"dropping-particle":"","family":"Nomura","given":"Koji","non-dropping-particle":"","parse-names":false,"suffix":""},{"dropping-particle":"","family":"Suga","given":"Yutaka","non-dropping-particle":"","parse-names":false,"suffix":""}],"id":"ITEM-1","issued":{"date-parts":[["2013"]]},"number-of-pages":"29","title":"Asset Service Lives and Depreciation Rates bas ed on Disposal Data in Japan","type":"report"},"uris":["http://www.mendeley.com/documents/?uuid=c7f7062f-c032-4b75-a743-bb68c5527c22"]}],"mendeley":{"formattedCitation":"&lt;sup&gt;13&lt;/sup&gt;","plainTextFormattedCitation":"13","previouslyFormattedCitation":"&lt;sup&gt;13&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13</w:t>
            </w:r>
            <w:r w:rsidRPr="00422557">
              <w:rPr>
                <w:sz w:val="20"/>
                <w:szCs w:val="20"/>
              </w:rPr>
              <w:fldChar w:fldCharType="end"/>
            </w:r>
            <w:r w:rsidRPr="00422557">
              <w:rPr>
                <w:sz w:val="20"/>
                <w:szCs w:val="20"/>
                <w:lang w:val="en-US"/>
              </w:rPr>
              <w:t xml:space="preserve"> (R</w:t>
            </w:r>
            <w:r w:rsidRPr="00422557">
              <w:rPr>
                <w:sz w:val="20"/>
                <w:szCs w:val="20"/>
                <w:vertAlign w:val="superscript"/>
                <w:lang w:val="en-US"/>
              </w:rPr>
              <w:t>2</w:t>
            </w:r>
            <w:r w:rsidRPr="00422557">
              <w:rPr>
                <w:sz w:val="20"/>
                <w:szCs w:val="20"/>
                <w:lang w:val="en-US"/>
              </w:rPr>
              <w:t xml:space="preserve"> = 0.99)</w:t>
            </w:r>
          </w:p>
        </w:tc>
      </w:tr>
      <w:tr w:rsidR="009A1439" w14:paraId="23F4B94C" w14:textId="77777777" w:rsidTr="009A1439">
        <w:trPr>
          <w:trHeight w:val="197"/>
        </w:trPr>
        <w:tc>
          <w:tcPr>
            <w:tcW w:w="1792" w:type="dxa"/>
          </w:tcPr>
          <w:p w14:paraId="09A79ED9" w14:textId="77777777" w:rsidR="009A1439" w:rsidRPr="00422557" w:rsidRDefault="009A1439" w:rsidP="009A1439">
            <w:pPr>
              <w:rPr>
                <w:sz w:val="20"/>
                <w:szCs w:val="20"/>
                <w:lang w:val="en-US"/>
              </w:rPr>
            </w:pPr>
          </w:p>
        </w:tc>
        <w:tc>
          <w:tcPr>
            <w:tcW w:w="2521" w:type="dxa"/>
          </w:tcPr>
          <w:p w14:paraId="7E85B349" w14:textId="77777777" w:rsidR="009A1439" w:rsidRPr="00422557" w:rsidRDefault="009A1439" w:rsidP="009A1439">
            <w:pPr>
              <w:rPr>
                <w:sz w:val="20"/>
                <w:szCs w:val="20"/>
                <w:lang w:val="en-US"/>
              </w:rPr>
            </w:pPr>
            <w:r w:rsidRPr="00422557">
              <w:rPr>
                <w:sz w:val="20"/>
                <w:szCs w:val="20"/>
                <w:lang w:val="en-US"/>
              </w:rPr>
              <w:t>Semi-detached</w:t>
            </w:r>
          </w:p>
        </w:tc>
        <w:tc>
          <w:tcPr>
            <w:tcW w:w="840" w:type="dxa"/>
            <w:vAlign w:val="bottom"/>
          </w:tcPr>
          <w:p w14:paraId="6A3BEA28" w14:textId="77777777" w:rsidR="009A1439" w:rsidRPr="00422557" w:rsidRDefault="009A1439" w:rsidP="009A1439">
            <w:pPr>
              <w:rPr>
                <w:sz w:val="20"/>
                <w:szCs w:val="20"/>
                <w:lang w:val="en-US"/>
              </w:rPr>
            </w:pPr>
            <w:r w:rsidRPr="00422557">
              <w:rPr>
                <w:rFonts w:ascii="Calibri" w:hAnsi="Calibri"/>
                <w:color w:val="000000"/>
                <w:sz w:val="20"/>
                <w:szCs w:val="20"/>
                <w:lang w:val="en-US"/>
              </w:rPr>
              <w:t>1.89</w:t>
            </w:r>
          </w:p>
        </w:tc>
        <w:tc>
          <w:tcPr>
            <w:tcW w:w="933" w:type="dxa"/>
            <w:vAlign w:val="bottom"/>
          </w:tcPr>
          <w:p w14:paraId="1792FD71" w14:textId="77777777" w:rsidR="009A1439" w:rsidRPr="00422557" w:rsidRDefault="009A1439" w:rsidP="009A1439">
            <w:pPr>
              <w:rPr>
                <w:sz w:val="20"/>
                <w:szCs w:val="20"/>
                <w:lang w:val="en-US"/>
              </w:rPr>
            </w:pPr>
            <w:r w:rsidRPr="00422557">
              <w:rPr>
                <w:rFonts w:ascii="Calibri" w:hAnsi="Calibri"/>
                <w:color w:val="000000"/>
                <w:sz w:val="20"/>
                <w:szCs w:val="20"/>
                <w:lang w:val="en-US"/>
              </w:rPr>
              <w:t>42.58</w:t>
            </w:r>
          </w:p>
        </w:tc>
        <w:tc>
          <w:tcPr>
            <w:tcW w:w="4389" w:type="dxa"/>
            <w:vMerge/>
          </w:tcPr>
          <w:p w14:paraId="7D1183A8" w14:textId="77777777" w:rsidR="009A1439" w:rsidRPr="00422557" w:rsidRDefault="009A1439" w:rsidP="009A1439">
            <w:pPr>
              <w:rPr>
                <w:sz w:val="20"/>
                <w:szCs w:val="20"/>
                <w:lang w:val="en-US"/>
              </w:rPr>
            </w:pPr>
          </w:p>
        </w:tc>
      </w:tr>
      <w:tr w:rsidR="009A1439" w14:paraId="562E0880" w14:textId="77777777" w:rsidTr="009A1439">
        <w:trPr>
          <w:trHeight w:val="197"/>
        </w:trPr>
        <w:tc>
          <w:tcPr>
            <w:tcW w:w="1792" w:type="dxa"/>
          </w:tcPr>
          <w:p w14:paraId="7E75566C" w14:textId="77777777" w:rsidR="009A1439" w:rsidRPr="00422557" w:rsidRDefault="009A1439" w:rsidP="009A1439">
            <w:pPr>
              <w:rPr>
                <w:sz w:val="20"/>
                <w:szCs w:val="20"/>
                <w:lang w:val="en-US"/>
              </w:rPr>
            </w:pPr>
          </w:p>
        </w:tc>
        <w:tc>
          <w:tcPr>
            <w:tcW w:w="2521" w:type="dxa"/>
          </w:tcPr>
          <w:p w14:paraId="768167D0" w14:textId="77777777" w:rsidR="009A1439" w:rsidRPr="00422557" w:rsidRDefault="009A1439" w:rsidP="009A1439">
            <w:pPr>
              <w:rPr>
                <w:sz w:val="20"/>
                <w:szCs w:val="20"/>
                <w:lang w:val="en-US"/>
              </w:rPr>
            </w:pPr>
            <w:r w:rsidRPr="00422557">
              <w:rPr>
                <w:sz w:val="20"/>
                <w:szCs w:val="20"/>
                <w:lang w:val="en-US"/>
              </w:rPr>
              <w:t>Apartments</w:t>
            </w:r>
          </w:p>
        </w:tc>
        <w:tc>
          <w:tcPr>
            <w:tcW w:w="840" w:type="dxa"/>
            <w:vAlign w:val="bottom"/>
          </w:tcPr>
          <w:p w14:paraId="5D789D0F" w14:textId="77777777" w:rsidR="009A1439" w:rsidRPr="00422557" w:rsidRDefault="009A1439" w:rsidP="009A1439">
            <w:pPr>
              <w:rPr>
                <w:sz w:val="20"/>
                <w:szCs w:val="20"/>
                <w:lang w:val="en-US"/>
              </w:rPr>
            </w:pPr>
            <w:r w:rsidRPr="00422557">
              <w:rPr>
                <w:rFonts w:ascii="Calibri" w:hAnsi="Calibri"/>
                <w:color w:val="000000"/>
                <w:sz w:val="20"/>
                <w:szCs w:val="20"/>
                <w:lang w:val="en-US"/>
              </w:rPr>
              <w:t>1.90</w:t>
            </w:r>
          </w:p>
        </w:tc>
        <w:tc>
          <w:tcPr>
            <w:tcW w:w="933" w:type="dxa"/>
            <w:vAlign w:val="bottom"/>
          </w:tcPr>
          <w:p w14:paraId="772E2415" w14:textId="77777777" w:rsidR="009A1439" w:rsidRPr="00422557" w:rsidRDefault="009A1439" w:rsidP="009A1439">
            <w:pPr>
              <w:rPr>
                <w:sz w:val="20"/>
                <w:szCs w:val="20"/>
                <w:lang w:val="en-US"/>
              </w:rPr>
            </w:pPr>
            <w:r w:rsidRPr="00422557">
              <w:rPr>
                <w:rFonts w:ascii="Calibri" w:hAnsi="Calibri"/>
                <w:color w:val="000000"/>
                <w:sz w:val="20"/>
                <w:szCs w:val="20"/>
                <w:lang w:val="en-US"/>
              </w:rPr>
              <w:t>43.95</w:t>
            </w:r>
          </w:p>
        </w:tc>
        <w:tc>
          <w:tcPr>
            <w:tcW w:w="4389" w:type="dxa"/>
            <w:vMerge/>
          </w:tcPr>
          <w:p w14:paraId="402B3F73" w14:textId="77777777" w:rsidR="009A1439" w:rsidRPr="00422557" w:rsidRDefault="009A1439" w:rsidP="009A1439">
            <w:pPr>
              <w:rPr>
                <w:sz w:val="20"/>
                <w:szCs w:val="20"/>
                <w:lang w:val="en-US"/>
              </w:rPr>
            </w:pPr>
          </w:p>
        </w:tc>
      </w:tr>
      <w:tr w:rsidR="009A1439" w14:paraId="6F98B04A" w14:textId="77777777" w:rsidTr="009A1439">
        <w:trPr>
          <w:trHeight w:val="197"/>
        </w:trPr>
        <w:tc>
          <w:tcPr>
            <w:tcW w:w="1792" w:type="dxa"/>
          </w:tcPr>
          <w:p w14:paraId="3F08FBA7" w14:textId="77777777" w:rsidR="009A1439" w:rsidRPr="00422557" w:rsidRDefault="009A1439" w:rsidP="009A1439">
            <w:pPr>
              <w:rPr>
                <w:sz w:val="20"/>
                <w:szCs w:val="20"/>
                <w:lang w:val="en-US"/>
              </w:rPr>
            </w:pPr>
          </w:p>
        </w:tc>
        <w:tc>
          <w:tcPr>
            <w:tcW w:w="2521" w:type="dxa"/>
          </w:tcPr>
          <w:p w14:paraId="56AB17BF" w14:textId="77777777" w:rsidR="009A1439" w:rsidRPr="00422557" w:rsidRDefault="009A1439" w:rsidP="009A1439">
            <w:pPr>
              <w:rPr>
                <w:sz w:val="20"/>
                <w:szCs w:val="20"/>
                <w:lang w:val="en-US"/>
              </w:rPr>
            </w:pPr>
            <w:r w:rsidRPr="00422557">
              <w:rPr>
                <w:sz w:val="20"/>
                <w:szCs w:val="20"/>
                <w:lang w:val="en-US"/>
              </w:rPr>
              <w:t>High-rise</w:t>
            </w:r>
          </w:p>
        </w:tc>
        <w:tc>
          <w:tcPr>
            <w:tcW w:w="840" w:type="dxa"/>
            <w:vAlign w:val="bottom"/>
          </w:tcPr>
          <w:p w14:paraId="7CBAF1AB" w14:textId="77777777" w:rsidR="009A1439" w:rsidRPr="00422557" w:rsidRDefault="009A1439" w:rsidP="009A1439">
            <w:pPr>
              <w:rPr>
                <w:sz w:val="20"/>
                <w:szCs w:val="20"/>
                <w:lang w:val="en-US"/>
              </w:rPr>
            </w:pPr>
            <w:r w:rsidRPr="00422557">
              <w:rPr>
                <w:rFonts w:ascii="Calibri" w:hAnsi="Calibri"/>
                <w:color w:val="000000"/>
                <w:sz w:val="20"/>
                <w:szCs w:val="20"/>
                <w:lang w:val="en-US"/>
              </w:rPr>
              <w:t>2.56</w:t>
            </w:r>
          </w:p>
        </w:tc>
        <w:tc>
          <w:tcPr>
            <w:tcW w:w="933" w:type="dxa"/>
            <w:vAlign w:val="bottom"/>
          </w:tcPr>
          <w:p w14:paraId="2AD633EB" w14:textId="77777777" w:rsidR="009A1439" w:rsidRPr="00422557" w:rsidRDefault="009A1439" w:rsidP="009A1439">
            <w:pPr>
              <w:rPr>
                <w:sz w:val="20"/>
                <w:szCs w:val="20"/>
                <w:lang w:val="en-US"/>
              </w:rPr>
            </w:pPr>
            <w:r w:rsidRPr="00422557">
              <w:rPr>
                <w:rFonts w:ascii="Calibri" w:hAnsi="Calibri"/>
                <w:color w:val="000000"/>
                <w:sz w:val="20"/>
                <w:szCs w:val="20"/>
                <w:lang w:val="en-US"/>
              </w:rPr>
              <w:t>34.05</w:t>
            </w:r>
          </w:p>
        </w:tc>
        <w:tc>
          <w:tcPr>
            <w:tcW w:w="4389" w:type="dxa"/>
            <w:vMerge/>
          </w:tcPr>
          <w:p w14:paraId="76928F84" w14:textId="77777777" w:rsidR="009A1439" w:rsidRPr="00422557" w:rsidRDefault="009A1439" w:rsidP="009A1439">
            <w:pPr>
              <w:rPr>
                <w:sz w:val="20"/>
                <w:szCs w:val="20"/>
                <w:lang w:val="en-US"/>
              </w:rPr>
            </w:pPr>
          </w:p>
        </w:tc>
      </w:tr>
      <w:tr w:rsidR="009A1439" w14:paraId="264535CF" w14:textId="77777777" w:rsidTr="009A1439">
        <w:trPr>
          <w:trHeight w:val="197"/>
        </w:trPr>
        <w:tc>
          <w:tcPr>
            <w:tcW w:w="1792" w:type="dxa"/>
          </w:tcPr>
          <w:p w14:paraId="4FAFF21B" w14:textId="77777777" w:rsidR="009A1439" w:rsidRPr="00422557" w:rsidRDefault="009A1439" w:rsidP="009A1439">
            <w:pPr>
              <w:rPr>
                <w:sz w:val="20"/>
                <w:szCs w:val="20"/>
                <w:lang w:val="en-US"/>
              </w:rPr>
            </w:pPr>
            <w:r w:rsidRPr="00422557">
              <w:rPr>
                <w:sz w:val="20"/>
                <w:szCs w:val="20"/>
                <w:lang w:val="en-US"/>
              </w:rPr>
              <w:t>China</w:t>
            </w:r>
          </w:p>
        </w:tc>
        <w:tc>
          <w:tcPr>
            <w:tcW w:w="2521" w:type="dxa"/>
          </w:tcPr>
          <w:p w14:paraId="2BE7CCF4" w14:textId="77777777" w:rsidR="009A1439" w:rsidRPr="00422557" w:rsidRDefault="009A1439" w:rsidP="009A1439">
            <w:pPr>
              <w:rPr>
                <w:sz w:val="20"/>
                <w:szCs w:val="20"/>
                <w:lang w:val="en-US"/>
              </w:rPr>
            </w:pPr>
            <w:r w:rsidRPr="00422557">
              <w:rPr>
                <w:sz w:val="20"/>
                <w:szCs w:val="20"/>
                <w:lang w:val="en-US"/>
              </w:rPr>
              <w:t>Urban: detached</w:t>
            </w:r>
          </w:p>
        </w:tc>
        <w:tc>
          <w:tcPr>
            <w:tcW w:w="840" w:type="dxa"/>
            <w:vAlign w:val="bottom"/>
          </w:tcPr>
          <w:p w14:paraId="76AE69A1" w14:textId="77777777" w:rsidR="009A1439" w:rsidRPr="00422557" w:rsidRDefault="009A1439" w:rsidP="009A1439">
            <w:pPr>
              <w:rPr>
                <w:sz w:val="20"/>
                <w:szCs w:val="20"/>
                <w:lang w:val="en-US"/>
              </w:rPr>
            </w:pPr>
            <w:r w:rsidRPr="00422557">
              <w:rPr>
                <w:rFonts w:ascii="Calibri" w:hAnsi="Calibri"/>
                <w:color w:val="000000"/>
                <w:sz w:val="20"/>
                <w:szCs w:val="20"/>
                <w:lang w:val="en-US"/>
              </w:rPr>
              <w:t>2</w:t>
            </w:r>
          </w:p>
        </w:tc>
        <w:tc>
          <w:tcPr>
            <w:tcW w:w="933" w:type="dxa"/>
            <w:vAlign w:val="bottom"/>
          </w:tcPr>
          <w:p w14:paraId="1C174026" w14:textId="77777777" w:rsidR="009A1439" w:rsidRPr="00422557" w:rsidRDefault="009A1439" w:rsidP="009A1439">
            <w:pPr>
              <w:rPr>
                <w:sz w:val="20"/>
                <w:szCs w:val="20"/>
                <w:lang w:val="en-US"/>
              </w:rPr>
            </w:pPr>
            <w:r w:rsidRPr="00422557">
              <w:rPr>
                <w:rFonts w:ascii="Calibri" w:hAnsi="Calibri"/>
                <w:color w:val="000000"/>
                <w:sz w:val="20"/>
                <w:szCs w:val="20"/>
                <w:lang w:val="en-US"/>
              </w:rPr>
              <w:t>33.85</w:t>
            </w:r>
          </w:p>
        </w:tc>
        <w:tc>
          <w:tcPr>
            <w:tcW w:w="4389" w:type="dxa"/>
            <w:vMerge w:val="restart"/>
          </w:tcPr>
          <w:p w14:paraId="4304B29E" w14:textId="615BBC07" w:rsidR="009A1439" w:rsidRPr="00422557" w:rsidRDefault="009A1439" w:rsidP="009A1439">
            <w:pPr>
              <w:rPr>
                <w:sz w:val="20"/>
                <w:szCs w:val="20"/>
                <w:lang w:val="en-US"/>
              </w:rPr>
            </w:pPr>
            <w:r w:rsidRPr="00422557">
              <w:rPr>
                <w:sz w:val="20"/>
                <w:szCs w:val="20"/>
                <w:lang w:val="en-US"/>
              </w:rPr>
              <w:t>Region specific shape parameter and building specific scale parameter according to the mean indicated in Wang et al.</w:t>
            </w:r>
            <w:r w:rsidRPr="00422557">
              <w:rPr>
                <w:sz w:val="20"/>
                <w:szCs w:val="20"/>
              </w:rPr>
              <w:fldChar w:fldCharType="begin" w:fldLock="1"/>
            </w:r>
            <w:r w:rsidR="00B12458">
              <w:rPr>
                <w:sz w:val="20"/>
                <w:szCs w:val="20"/>
                <w:lang w:val="en-US"/>
              </w:rPr>
              <w:instrText>ADDIN CSL_CITATION {"citationItems":[{"id":"ITEM-1","itemData":{"DOI":"https://doi.org/10.1016/j.resconrec.2015.07.021","ISSN":"0921-3449","abstract":"Urbanization and real estate development are two mighty impetuses for the growth of China. An enhanced dynamic modeling has been devised to explore stocks and flows of buildings in the country and to quantify the related steel cycle. The uncertainties of the variables and results are investigated by the means of Monte Carlo method and sampling analysis. The building stocks are expected to increase to some 85–130 billion m2 in the mid-century, about 40–100% up from the current level. Throughout China but in urban areas in particular, concrete structures are replacing the buildings made of wood, clay brick, and primitive materials. By 2050 every two out of three buildings in China will be reinforced concrete- or steel-framed, leading to substantial demand for ferrous metals. Scenarios analysis shows that a slowing down in the building stock expansion will likely occur in China in no more than ten years. This may open up a transition with profound industrial and resource implications. Increasing businesses for the construction industry may emerge from maintenance, retrofitting, and end-of-life management of existing buildings. The steel industry shall reform its capacity to conform to the growingly available secondary resources and the declining requirement for construction steel. Efficient and appropriate recycling of steel content from waste concrete will play an important role in material conservation. A collaboration of improvements in process material efficiency with lifetime extension and application of high-strength steel may save nearly 40% of primary iron ores for building use in the coming four decades.","author":[{"dropping-particle":"","family":"Wang","given":"Tao","non-dropping-particle":"","parse-names":false,"suffix":""},{"dropping-particle":"","family":"Tian","given":"Xin","non-dropping-particle":"","parse-names":false,"suffix":""},{"dropping-particle":"","family":"Hashimoto","given":"Seiji","non-dropping-particle":"","parse-names":false,"suffix":""},{"dropping-particle":"","family":"Tanikawa","given":"Hiroki","non-dropping-particle":"","parse-names":false,"suffix":""}],"container-title":"Resources, Conservation and Recycling","id":"ITEM-1","issued":{"date-parts":[["2015"]]},"page":"205-215","title":"Concrete transformation of buildings in China and implications for the steel cycle","type":"article-journal","volume":"103"},"uris":["http://www.mendeley.com/documents/?uuid=8a2e3d65-d2b8-48f8-8bc3-c8a71e1692a6"]}],"mendeley":{"formattedCitation":"&lt;sup&gt;14&lt;/sup&gt;","plainTextFormattedCitation":"14","previouslyFormattedCitation":"&lt;sup&gt;14&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14</w:t>
            </w:r>
            <w:r w:rsidRPr="00422557">
              <w:rPr>
                <w:sz w:val="20"/>
                <w:szCs w:val="20"/>
              </w:rPr>
              <w:fldChar w:fldCharType="end"/>
            </w:r>
          </w:p>
        </w:tc>
      </w:tr>
      <w:tr w:rsidR="009A1439" w14:paraId="253930A0" w14:textId="77777777" w:rsidTr="009A1439">
        <w:trPr>
          <w:trHeight w:val="197"/>
        </w:trPr>
        <w:tc>
          <w:tcPr>
            <w:tcW w:w="1792" w:type="dxa"/>
          </w:tcPr>
          <w:p w14:paraId="482E1AF1" w14:textId="77777777" w:rsidR="009A1439" w:rsidRPr="00422557" w:rsidRDefault="009A1439" w:rsidP="009A1439">
            <w:pPr>
              <w:rPr>
                <w:sz w:val="20"/>
                <w:szCs w:val="20"/>
                <w:lang w:val="en-US"/>
              </w:rPr>
            </w:pPr>
          </w:p>
        </w:tc>
        <w:tc>
          <w:tcPr>
            <w:tcW w:w="2521" w:type="dxa"/>
          </w:tcPr>
          <w:p w14:paraId="2BCC7A1A" w14:textId="77777777" w:rsidR="009A1439" w:rsidRPr="00422557" w:rsidRDefault="009A1439" w:rsidP="009A1439">
            <w:pPr>
              <w:rPr>
                <w:sz w:val="20"/>
                <w:szCs w:val="20"/>
                <w:lang w:val="en-US"/>
              </w:rPr>
            </w:pPr>
            <w:r w:rsidRPr="00422557">
              <w:rPr>
                <w:sz w:val="20"/>
                <w:szCs w:val="20"/>
                <w:lang w:val="en-US"/>
              </w:rPr>
              <w:t>Urban: semi-detached</w:t>
            </w:r>
          </w:p>
        </w:tc>
        <w:tc>
          <w:tcPr>
            <w:tcW w:w="840" w:type="dxa"/>
            <w:vAlign w:val="bottom"/>
          </w:tcPr>
          <w:p w14:paraId="5E74F629" w14:textId="77777777" w:rsidR="009A1439" w:rsidRPr="00422557" w:rsidRDefault="009A1439" w:rsidP="009A1439">
            <w:pPr>
              <w:rPr>
                <w:sz w:val="20"/>
                <w:szCs w:val="20"/>
                <w:lang w:val="en-US"/>
              </w:rPr>
            </w:pPr>
            <w:r w:rsidRPr="00422557">
              <w:rPr>
                <w:rFonts w:ascii="Calibri" w:hAnsi="Calibri"/>
                <w:color w:val="000000"/>
                <w:sz w:val="20"/>
                <w:szCs w:val="20"/>
                <w:lang w:val="en-US"/>
              </w:rPr>
              <w:t>2</w:t>
            </w:r>
          </w:p>
        </w:tc>
        <w:tc>
          <w:tcPr>
            <w:tcW w:w="933" w:type="dxa"/>
            <w:vAlign w:val="bottom"/>
          </w:tcPr>
          <w:p w14:paraId="48145E02" w14:textId="77777777" w:rsidR="009A1439" w:rsidRPr="00422557" w:rsidRDefault="009A1439" w:rsidP="009A1439">
            <w:pPr>
              <w:rPr>
                <w:sz w:val="20"/>
                <w:szCs w:val="20"/>
                <w:lang w:val="en-US"/>
              </w:rPr>
            </w:pPr>
            <w:r w:rsidRPr="00422557">
              <w:rPr>
                <w:rFonts w:ascii="Calibri" w:hAnsi="Calibri"/>
                <w:color w:val="000000"/>
                <w:sz w:val="20"/>
                <w:szCs w:val="20"/>
                <w:lang w:val="en-US"/>
              </w:rPr>
              <w:t>39.49</w:t>
            </w:r>
          </w:p>
        </w:tc>
        <w:tc>
          <w:tcPr>
            <w:tcW w:w="4389" w:type="dxa"/>
            <w:vMerge/>
          </w:tcPr>
          <w:p w14:paraId="506747C5" w14:textId="77777777" w:rsidR="009A1439" w:rsidRPr="00422557" w:rsidRDefault="009A1439" w:rsidP="009A1439">
            <w:pPr>
              <w:rPr>
                <w:sz w:val="20"/>
                <w:szCs w:val="20"/>
                <w:lang w:val="en-US"/>
              </w:rPr>
            </w:pPr>
          </w:p>
        </w:tc>
      </w:tr>
      <w:tr w:rsidR="009A1439" w14:paraId="109EF94D" w14:textId="77777777" w:rsidTr="009A1439">
        <w:trPr>
          <w:trHeight w:val="197"/>
        </w:trPr>
        <w:tc>
          <w:tcPr>
            <w:tcW w:w="1792" w:type="dxa"/>
          </w:tcPr>
          <w:p w14:paraId="1E0B3EB9" w14:textId="77777777" w:rsidR="009A1439" w:rsidRPr="00422557" w:rsidRDefault="009A1439" w:rsidP="009A1439">
            <w:pPr>
              <w:rPr>
                <w:sz w:val="20"/>
                <w:szCs w:val="20"/>
                <w:lang w:val="en-US"/>
              </w:rPr>
            </w:pPr>
          </w:p>
        </w:tc>
        <w:tc>
          <w:tcPr>
            <w:tcW w:w="2521" w:type="dxa"/>
          </w:tcPr>
          <w:p w14:paraId="3071F575" w14:textId="77777777" w:rsidR="009A1439" w:rsidRPr="00422557" w:rsidRDefault="009A1439" w:rsidP="009A1439">
            <w:pPr>
              <w:rPr>
                <w:sz w:val="20"/>
                <w:szCs w:val="20"/>
                <w:lang w:val="en-US"/>
              </w:rPr>
            </w:pPr>
            <w:r w:rsidRPr="00422557">
              <w:rPr>
                <w:sz w:val="20"/>
                <w:szCs w:val="20"/>
                <w:lang w:val="en-US"/>
              </w:rPr>
              <w:t>Rural: (semi)-detached</w:t>
            </w:r>
          </w:p>
        </w:tc>
        <w:tc>
          <w:tcPr>
            <w:tcW w:w="840" w:type="dxa"/>
            <w:vAlign w:val="bottom"/>
          </w:tcPr>
          <w:p w14:paraId="1EE25077" w14:textId="77777777" w:rsidR="009A1439" w:rsidRPr="00422557" w:rsidRDefault="009A1439" w:rsidP="009A1439">
            <w:pPr>
              <w:rPr>
                <w:sz w:val="20"/>
                <w:szCs w:val="20"/>
                <w:lang w:val="en-US"/>
              </w:rPr>
            </w:pPr>
            <w:r w:rsidRPr="00422557">
              <w:rPr>
                <w:rFonts w:ascii="Calibri" w:hAnsi="Calibri"/>
                <w:color w:val="000000"/>
                <w:sz w:val="20"/>
                <w:szCs w:val="20"/>
                <w:lang w:val="en-US"/>
              </w:rPr>
              <w:t>2</w:t>
            </w:r>
          </w:p>
        </w:tc>
        <w:tc>
          <w:tcPr>
            <w:tcW w:w="933" w:type="dxa"/>
            <w:vAlign w:val="bottom"/>
          </w:tcPr>
          <w:p w14:paraId="6B35993A" w14:textId="77777777" w:rsidR="009A1439" w:rsidRPr="00422557" w:rsidRDefault="009A1439" w:rsidP="009A1439">
            <w:pPr>
              <w:rPr>
                <w:sz w:val="20"/>
                <w:szCs w:val="20"/>
                <w:lang w:val="en-US"/>
              </w:rPr>
            </w:pPr>
            <w:r w:rsidRPr="00422557">
              <w:rPr>
                <w:rFonts w:ascii="Calibri" w:hAnsi="Calibri"/>
                <w:color w:val="000000"/>
                <w:sz w:val="20"/>
                <w:szCs w:val="20"/>
                <w:lang w:val="en-US"/>
              </w:rPr>
              <w:t>31.03</w:t>
            </w:r>
          </w:p>
        </w:tc>
        <w:tc>
          <w:tcPr>
            <w:tcW w:w="4389" w:type="dxa"/>
            <w:vMerge/>
          </w:tcPr>
          <w:p w14:paraId="02444886" w14:textId="77777777" w:rsidR="009A1439" w:rsidRPr="00422557" w:rsidRDefault="009A1439" w:rsidP="009A1439">
            <w:pPr>
              <w:rPr>
                <w:sz w:val="20"/>
                <w:szCs w:val="20"/>
                <w:lang w:val="en-US"/>
              </w:rPr>
            </w:pPr>
          </w:p>
        </w:tc>
      </w:tr>
      <w:tr w:rsidR="009A1439" w14:paraId="2E06D547" w14:textId="77777777" w:rsidTr="009A1439">
        <w:trPr>
          <w:trHeight w:val="206"/>
        </w:trPr>
        <w:tc>
          <w:tcPr>
            <w:tcW w:w="1792" w:type="dxa"/>
          </w:tcPr>
          <w:p w14:paraId="3DCEB06E" w14:textId="77777777" w:rsidR="009A1439" w:rsidRPr="00422557" w:rsidRDefault="009A1439" w:rsidP="009A1439">
            <w:pPr>
              <w:rPr>
                <w:sz w:val="20"/>
                <w:szCs w:val="20"/>
                <w:lang w:val="en-US"/>
              </w:rPr>
            </w:pPr>
          </w:p>
        </w:tc>
        <w:tc>
          <w:tcPr>
            <w:tcW w:w="2521" w:type="dxa"/>
          </w:tcPr>
          <w:p w14:paraId="3D5331F2" w14:textId="77777777" w:rsidR="009A1439" w:rsidRPr="00422557" w:rsidRDefault="009A1439" w:rsidP="009A1439">
            <w:pPr>
              <w:rPr>
                <w:sz w:val="20"/>
                <w:szCs w:val="20"/>
                <w:lang w:val="en-US"/>
              </w:rPr>
            </w:pPr>
            <w:r w:rsidRPr="00422557">
              <w:rPr>
                <w:sz w:val="20"/>
                <w:szCs w:val="20"/>
                <w:lang w:val="en-US"/>
              </w:rPr>
              <w:t>Apartments</w:t>
            </w:r>
          </w:p>
        </w:tc>
        <w:tc>
          <w:tcPr>
            <w:tcW w:w="840" w:type="dxa"/>
            <w:vAlign w:val="bottom"/>
          </w:tcPr>
          <w:p w14:paraId="3BAFDD6B" w14:textId="77777777" w:rsidR="009A1439" w:rsidRPr="00422557" w:rsidRDefault="009A1439" w:rsidP="009A1439">
            <w:pPr>
              <w:rPr>
                <w:sz w:val="20"/>
                <w:szCs w:val="20"/>
                <w:lang w:val="en-US"/>
              </w:rPr>
            </w:pPr>
            <w:r w:rsidRPr="00422557">
              <w:rPr>
                <w:rFonts w:ascii="Calibri" w:hAnsi="Calibri"/>
                <w:color w:val="000000"/>
                <w:sz w:val="20"/>
                <w:szCs w:val="20"/>
                <w:lang w:val="en-US"/>
              </w:rPr>
              <w:t>2</w:t>
            </w:r>
          </w:p>
        </w:tc>
        <w:tc>
          <w:tcPr>
            <w:tcW w:w="933" w:type="dxa"/>
            <w:vAlign w:val="bottom"/>
          </w:tcPr>
          <w:p w14:paraId="64CE16CE" w14:textId="77777777" w:rsidR="009A1439" w:rsidRPr="00422557" w:rsidRDefault="009A1439" w:rsidP="009A1439">
            <w:pPr>
              <w:rPr>
                <w:sz w:val="20"/>
                <w:szCs w:val="20"/>
                <w:lang w:val="en-US"/>
              </w:rPr>
            </w:pPr>
            <w:r w:rsidRPr="00422557">
              <w:rPr>
                <w:rFonts w:ascii="Calibri" w:hAnsi="Calibri"/>
                <w:color w:val="000000"/>
                <w:sz w:val="20"/>
                <w:szCs w:val="20"/>
                <w:lang w:val="en-US"/>
              </w:rPr>
              <w:t>53.60</w:t>
            </w:r>
          </w:p>
        </w:tc>
        <w:tc>
          <w:tcPr>
            <w:tcW w:w="4389" w:type="dxa"/>
            <w:vMerge/>
          </w:tcPr>
          <w:p w14:paraId="514DBADF" w14:textId="77777777" w:rsidR="009A1439" w:rsidRPr="00422557" w:rsidRDefault="009A1439" w:rsidP="009A1439">
            <w:pPr>
              <w:rPr>
                <w:sz w:val="20"/>
                <w:szCs w:val="20"/>
                <w:lang w:val="en-US"/>
              </w:rPr>
            </w:pPr>
          </w:p>
        </w:tc>
      </w:tr>
      <w:tr w:rsidR="009A1439" w14:paraId="779D604A" w14:textId="77777777" w:rsidTr="009A1439">
        <w:trPr>
          <w:trHeight w:val="197"/>
        </w:trPr>
        <w:tc>
          <w:tcPr>
            <w:tcW w:w="1792" w:type="dxa"/>
          </w:tcPr>
          <w:p w14:paraId="5730DD95" w14:textId="77777777" w:rsidR="009A1439" w:rsidRPr="00422557" w:rsidRDefault="009A1439" w:rsidP="009A1439">
            <w:pPr>
              <w:rPr>
                <w:sz w:val="20"/>
                <w:szCs w:val="20"/>
                <w:lang w:val="en-US"/>
              </w:rPr>
            </w:pPr>
          </w:p>
        </w:tc>
        <w:tc>
          <w:tcPr>
            <w:tcW w:w="2521" w:type="dxa"/>
          </w:tcPr>
          <w:p w14:paraId="08B18056" w14:textId="77777777" w:rsidR="009A1439" w:rsidRPr="00422557" w:rsidRDefault="009A1439" w:rsidP="009A1439">
            <w:pPr>
              <w:rPr>
                <w:sz w:val="20"/>
                <w:szCs w:val="20"/>
                <w:lang w:val="en-US"/>
              </w:rPr>
            </w:pPr>
            <w:r w:rsidRPr="00422557">
              <w:rPr>
                <w:sz w:val="20"/>
                <w:szCs w:val="20"/>
                <w:lang w:val="en-US"/>
              </w:rPr>
              <w:t>High-rise</w:t>
            </w:r>
          </w:p>
        </w:tc>
        <w:tc>
          <w:tcPr>
            <w:tcW w:w="840" w:type="dxa"/>
            <w:vAlign w:val="bottom"/>
          </w:tcPr>
          <w:p w14:paraId="1C95299A" w14:textId="77777777" w:rsidR="009A1439" w:rsidRPr="00422557" w:rsidRDefault="009A1439" w:rsidP="009A1439">
            <w:pPr>
              <w:rPr>
                <w:sz w:val="20"/>
                <w:szCs w:val="20"/>
                <w:lang w:val="en-US"/>
              </w:rPr>
            </w:pPr>
            <w:r w:rsidRPr="00422557">
              <w:rPr>
                <w:rFonts w:ascii="Calibri" w:hAnsi="Calibri"/>
                <w:color w:val="000000"/>
                <w:sz w:val="20"/>
                <w:szCs w:val="20"/>
                <w:lang w:val="en-US"/>
              </w:rPr>
              <w:t>2</w:t>
            </w:r>
          </w:p>
        </w:tc>
        <w:tc>
          <w:tcPr>
            <w:tcW w:w="933" w:type="dxa"/>
            <w:vAlign w:val="bottom"/>
          </w:tcPr>
          <w:p w14:paraId="2169C1ED" w14:textId="77777777" w:rsidR="009A1439" w:rsidRPr="00422557" w:rsidRDefault="009A1439" w:rsidP="009A1439">
            <w:pPr>
              <w:rPr>
                <w:sz w:val="20"/>
                <w:szCs w:val="20"/>
                <w:lang w:val="en-US"/>
              </w:rPr>
            </w:pPr>
            <w:r w:rsidRPr="00422557">
              <w:rPr>
                <w:rFonts w:ascii="Calibri" w:hAnsi="Calibri"/>
                <w:color w:val="000000"/>
                <w:sz w:val="20"/>
                <w:szCs w:val="20"/>
                <w:lang w:val="en-US"/>
              </w:rPr>
              <w:t>56.42</w:t>
            </w:r>
          </w:p>
        </w:tc>
        <w:tc>
          <w:tcPr>
            <w:tcW w:w="4389" w:type="dxa"/>
            <w:vMerge/>
          </w:tcPr>
          <w:p w14:paraId="714177C9" w14:textId="77777777" w:rsidR="009A1439" w:rsidRPr="00422557" w:rsidRDefault="009A1439" w:rsidP="009A1439">
            <w:pPr>
              <w:rPr>
                <w:sz w:val="20"/>
                <w:szCs w:val="20"/>
                <w:lang w:val="en-US"/>
              </w:rPr>
            </w:pPr>
          </w:p>
        </w:tc>
      </w:tr>
      <w:tr w:rsidR="009A1439" w14:paraId="7A9A1BE4" w14:textId="77777777" w:rsidTr="009A1439">
        <w:trPr>
          <w:trHeight w:val="197"/>
        </w:trPr>
        <w:tc>
          <w:tcPr>
            <w:tcW w:w="1792" w:type="dxa"/>
          </w:tcPr>
          <w:p w14:paraId="6B83E3E7" w14:textId="77777777" w:rsidR="009A1439" w:rsidRPr="00422557" w:rsidRDefault="009A1439" w:rsidP="009A1439">
            <w:pPr>
              <w:rPr>
                <w:sz w:val="20"/>
                <w:szCs w:val="20"/>
                <w:lang w:val="en-US"/>
              </w:rPr>
            </w:pPr>
            <w:r w:rsidRPr="00422557">
              <w:rPr>
                <w:sz w:val="20"/>
                <w:szCs w:val="20"/>
                <w:lang w:val="en-US"/>
              </w:rPr>
              <w:t>Eastern Europe</w:t>
            </w:r>
          </w:p>
        </w:tc>
        <w:tc>
          <w:tcPr>
            <w:tcW w:w="2521" w:type="dxa"/>
          </w:tcPr>
          <w:p w14:paraId="3DCAF9D9" w14:textId="77777777" w:rsidR="009A1439" w:rsidRPr="00422557" w:rsidRDefault="009A1439" w:rsidP="009A1439">
            <w:pPr>
              <w:rPr>
                <w:sz w:val="20"/>
                <w:szCs w:val="20"/>
                <w:lang w:val="en-US"/>
              </w:rPr>
            </w:pPr>
            <w:r w:rsidRPr="00422557">
              <w:rPr>
                <w:sz w:val="20"/>
                <w:szCs w:val="20"/>
                <w:lang w:val="en-US"/>
              </w:rPr>
              <w:t>(semi)-detached</w:t>
            </w:r>
          </w:p>
        </w:tc>
        <w:tc>
          <w:tcPr>
            <w:tcW w:w="840" w:type="dxa"/>
            <w:vAlign w:val="bottom"/>
          </w:tcPr>
          <w:p w14:paraId="2EDFC716" w14:textId="77777777" w:rsidR="009A1439" w:rsidRPr="00422557" w:rsidRDefault="009A1439" w:rsidP="009A1439">
            <w:pPr>
              <w:rPr>
                <w:sz w:val="20"/>
                <w:szCs w:val="20"/>
                <w:lang w:val="en-US"/>
              </w:rPr>
            </w:pPr>
            <w:r w:rsidRPr="00422557">
              <w:rPr>
                <w:rFonts w:ascii="Calibri" w:hAnsi="Calibri"/>
                <w:color w:val="000000"/>
                <w:sz w:val="20"/>
                <w:szCs w:val="20"/>
                <w:lang w:val="en-US"/>
              </w:rPr>
              <w:t>2.5</w:t>
            </w:r>
          </w:p>
        </w:tc>
        <w:tc>
          <w:tcPr>
            <w:tcW w:w="933" w:type="dxa"/>
            <w:vAlign w:val="bottom"/>
          </w:tcPr>
          <w:p w14:paraId="59E554E2" w14:textId="77777777" w:rsidR="009A1439" w:rsidRPr="00422557" w:rsidRDefault="009A1439" w:rsidP="009A1439">
            <w:pPr>
              <w:rPr>
                <w:sz w:val="20"/>
                <w:szCs w:val="20"/>
                <w:lang w:val="en-US"/>
              </w:rPr>
            </w:pPr>
            <w:r w:rsidRPr="00422557">
              <w:rPr>
                <w:rFonts w:ascii="Calibri" w:hAnsi="Calibri"/>
                <w:color w:val="000000"/>
                <w:sz w:val="20"/>
                <w:szCs w:val="20"/>
                <w:lang w:val="en-US"/>
              </w:rPr>
              <w:t>73.26</w:t>
            </w:r>
          </w:p>
        </w:tc>
        <w:tc>
          <w:tcPr>
            <w:tcW w:w="4389" w:type="dxa"/>
            <w:vMerge w:val="restart"/>
          </w:tcPr>
          <w:p w14:paraId="4DF63D4A" w14:textId="1BC622A4" w:rsidR="009A1439" w:rsidRPr="00422557" w:rsidRDefault="009A1439" w:rsidP="009A1439">
            <w:pPr>
              <w:rPr>
                <w:sz w:val="20"/>
                <w:szCs w:val="20"/>
                <w:lang w:val="en-US"/>
              </w:rPr>
            </w:pPr>
            <w:r w:rsidRPr="00422557">
              <w:rPr>
                <w:sz w:val="20"/>
                <w:szCs w:val="20"/>
                <w:lang w:val="en-US"/>
              </w:rPr>
              <w:t>Region specific shape parameter according to Novikova et al.</w:t>
            </w:r>
            <w:r w:rsidRPr="00422557">
              <w:rPr>
                <w:sz w:val="20"/>
                <w:szCs w:val="20"/>
              </w:rPr>
              <w:fldChar w:fldCharType="begin" w:fldLock="1"/>
            </w:r>
            <w:r w:rsidR="00B12458">
              <w:rPr>
                <w:sz w:val="20"/>
                <w:szCs w:val="20"/>
                <w:lang w:val="en-US"/>
              </w:rPr>
              <w:instrText>ADDIN CSL_CITATION {"citationItems":[{"id":"ITEM-1","itemData":{"DOI":"10.1007/s12053-017-9604-6","ISSN":"1570-6478","abstract":"The paper presents the residential sector building typology, thermal energy balance, and scenarios prepared at several levels of sector segmentation to assist the design of low-carbon development policies for Albania, Serbia, and Montenegro. The research is breakthrough for developing Europe and could be replicated in its countries. The paper describes methodological steps and selected results. First, representative building types were identified; their energy performances by end-use, retrofit packages, as well as associated costs were assessed. Second, this information was inserted into a bottom-up simulation model prepared in the Long-range Energy Alternatives Planning System (LEAP) software. Using it, sector energy balances, the reference scenario, as well as moderate and advanced low-carbon high-thermal-comfort scenarios were prepared. The low-carbon scenarios assumed ambitious regulatory and financial policies. It was found that due to fuel poverty partial and intermittent heating is a typical situation; therefore, the thermal demand as predicted by the models applied to the different segments of the dwelling stock is much higher than its actual consumption. Also, actual consumption by energy source was found not fitting official energy balances because households use more wood and more heating systems than officially reported. In 2030, the moderate and ambitious scenarios lead to a reduction of CO2 emissions by 23--73% and 16--73% respectively versus the reference, offering however at the same time higher thermal comfort. The priority is to retrofit small buildings constructed after 1991 in Albania and those built in 1971--1990 in Montenegro and Serbia. Assuming the discount rate of 4% and counting saved energy costs as benefits, almost all scenarios are cost-effective as a whole on the country level, however not for many building categories. Therefore, not only saved energy costs but also other benefits should be monetized and compared to the scenario costs that present the next research opportunity.","author":[{"dropping-particle":"","family":"Novikova","given":"Aleksandra","non-dropping-particle":"","parse-names":false,"suffix":""},{"dropping-particle":"","family":"Csoknyai","given":"Tamás","non-dropping-particle":"","parse-names":false,"suffix":""},{"dropping-particle":"","family":"Szalay","given":"Zsuzsa","non-dropping-particle":"","parse-names":false,"suffix":""}],"container-title":"Energy Efficiency","id":"ITEM-1","issue":"4","issued":{"date-parts":[["2018","4"]]},"page":"845-875","title":"Low carbon scenarios for higher thermal comfort in the residential building sector of South Eastern Europe","type":"article-journal","volume":"11"},"uris":["http://www.mendeley.com/documents/?uuid=d6306487-ca8c-4de6-9cab-e286940effd6"]}],"mendeley":{"formattedCitation":"&lt;sup&gt;15&lt;/sup&gt;","plainTextFormattedCitation":"15","previouslyFormattedCitation":"&lt;sup&gt;15&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15</w:t>
            </w:r>
            <w:r w:rsidRPr="00422557">
              <w:rPr>
                <w:sz w:val="20"/>
                <w:szCs w:val="20"/>
              </w:rPr>
              <w:fldChar w:fldCharType="end"/>
            </w:r>
            <w:r w:rsidRPr="00422557">
              <w:rPr>
                <w:sz w:val="20"/>
                <w:szCs w:val="20"/>
                <w:vertAlign w:val="superscript"/>
                <w:lang w:val="en-US"/>
              </w:rPr>
              <w:t>,</w:t>
            </w:r>
            <w:r w:rsidRPr="00422557">
              <w:rPr>
                <w:sz w:val="20"/>
                <w:szCs w:val="20"/>
              </w:rPr>
              <w:fldChar w:fldCharType="begin" w:fldLock="1"/>
            </w:r>
            <w:r w:rsidR="00B12458">
              <w:rPr>
                <w:sz w:val="20"/>
                <w:szCs w:val="20"/>
                <w:lang w:val="en-US"/>
              </w:rPr>
              <w:instrText>ADDIN CSL_CITATION {"citationItems":[{"id":"ITEM-1","itemData":{"author":[{"dropping-particle":"","family":"Novikova","given":"Aleksandra","non-dropping-particle":"","parse-names":false,"suffix":""},{"dropping-particle":"","family":"Szalay","given":"Zsuzsa","non-dropping-particle":"","parse-names":false,"suffix":""},{"dropping-particle":"","family":"Simaku","given":"Gjergji","non-dropping-particle":"","parse-names":false,"suffix":""},{"dropping-particle":"","family":"Salamon","given":"Balint","non-dropping-particle":"","parse-names":false,"suffix":""},{"dropping-particle":"","family":"Plaku","given":"Thimjo","non-dropping-particle":"","parse-names":false,"suffix":""},{"dropping-particle":"","family":"Csoknyai","given":"Tamás","non-dropping-particle":"","parse-names":false,"suffix":""}],"id":"ITEM-1","issued":{"date-parts":[["2015"]]},"number-of-pages":"136","title":"The typology of the residential building stock in Albania and the modelling of its low-carbon transformation","type":"report"},"uris":["http://www.mendeley.com/documents/?uuid=87a5de98-0083-403a-bb39-b082607a06b2"]}],"mendeley":{"formattedCitation":"&lt;sup&gt;16&lt;/sup&gt;","plainTextFormattedCitation":"16","previouslyFormattedCitation":"&lt;sup&gt;16&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16</w:t>
            </w:r>
            <w:r w:rsidRPr="00422557">
              <w:rPr>
                <w:sz w:val="20"/>
                <w:szCs w:val="20"/>
              </w:rPr>
              <w:fldChar w:fldCharType="end"/>
            </w:r>
          </w:p>
        </w:tc>
      </w:tr>
      <w:tr w:rsidR="009A1439" w14:paraId="1ADD772A" w14:textId="77777777" w:rsidTr="009A1439">
        <w:trPr>
          <w:trHeight w:val="197"/>
        </w:trPr>
        <w:tc>
          <w:tcPr>
            <w:tcW w:w="1792" w:type="dxa"/>
          </w:tcPr>
          <w:p w14:paraId="052CFC22" w14:textId="77777777" w:rsidR="009A1439" w:rsidRPr="00422557" w:rsidRDefault="009A1439" w:rsidP="009A1439">
            <w:pPr>
              <w:rPr>
                <w:sz w:val="20"/>
                <w:szCs w:val="20"/>
                <w:lang w:val="en-US"/>
              </w:rPr>
            </w:pPr>
          </w:p>
        </w:tc>
        <w:tc>
          <w:tcPr>
            <w:tcW w:w="2521" w:type="dxa"/>
          </w:tcPr>
          <w:p w14:paraId="29D15309" w14:textId="77777777" w:rsidR="009A1439" w:rsidRPr="00422557" w:rsidRDefault="009A1439" w:rsidP="009A1439">
            <w:pPr>
              <w:rPr>
                <w:sz w:val="20"/>
                <w:szCs w:val="20"/>
                <w:lang w:val="en-US"/>
              </w:rPr>
            </w:pPr>
            <w:r w:rsidRPr="00422557">
              <w:rPr>
                <w:sz w:val="20"/>
                <w:szCs w:val="20"/>
                <w:lang w:val="en-US"/>
              </w:rPr>
              <w:t>Appartments</w:t>
            </w:r>
          </w:p>
        </w:tc>
        <w:tc>
          <w:tcPr>
            <w:tcW w:w="840" w:type="dxa"/>
            <w:vAlign w:val="bottom"/>
          </w:tcPr>
          <w:p w14:paraId="5E6B39F6" w14:textId="77777777" w:rsidR="009A1439" w:rsidRPr="00422557" w:rsidRDefault="009A1439" w:rsidP="009A1439">
            <w:pPr>
              <w:rPr>
                <w:sz w:val="20"/>
                <w:szCs w:val="20"/>
                <w:lang w:val="en-US"/>
              </w:rPr>
            </w:pPr>
            <w:r w:rsidRPr="00422557">
              <w:rPr>
                <w:rFonts w:ascii="Calibri" w:hAnsi="Calibri"/>
                <w:color w:val="000000"/>
                <w:sz w:val="20"/>
                <w:szCs w:val="20"/>
                <w:lang w:val="en-US"/>
              </w:rPr>
              <w:t>2.5</w:t>
            </w:r>
          </w:p>
        </w:tc>
        <w:tc>
          <w:tcPr>
            <w:tcW w:w="933" w:type="dxa"/>
            <w:vAlign w:val="bottom"/>
          </w:tcPr>
          <w:p w14:paraId="529B8D53" w14:textId="77777777" w:rsidR="009A1439" w:rsidRPr="00422557" w:rsidRDefault="009A1439" w:rsidP="009A1439">
            <w:pPr>
              <w:rPr>
                <w:sz w:val="20"/>
                <w:szCs w:val="20"/>
                <w:lang w:val="en-US"/>
              </w:rPr>
            </w:pPr>
            <w:r w:rsidRPr="00422557">
              <w:rPr>
                <w:rFonts w:ascii="Calibri" w:hAnsi="Calibri"/>
                <w:color w:val="000000"/>
                <w:sz w:val="20"/>
                <w:szCs w:val="20"/>
                <w:lang w:val="en-US"/>
              </w:rPr>
              <w:t>101.43</w:t>
            </w:r>
          </w:p>
        </w:tc>
        <w:tc>
          <w:tcPr>
            <w:tcW w:w="4389" w:type="dxa"/>
            <w:vMerge/>
          </w:tcPr>
          <w:p w14:paraId="348985C4" w14:textId="77777777" w:rsidR="009A1439" w:rsidRPr="00422557" w:rsidRDefault="009A1439" w:rsidP="009A1439">
            <w:pPr>
              <w:rPr>
                <w:sz w:val="20"/>
                <w:szCs w:val="20"/>
                <w:lang w:val="en-US"/>
              </w:rPr>
            </w:pPr>
          </w:p>
        </w:tc>
      </w:tr>
      <w:tr w:rsidR="009A1439" w14:paraId="1EEB2C58" w14:textId="77777777" w:rsidTr="009A1439">
        <w:trPr>
          <w:trHeight w:val="197"/>
        </w:trPr>
        <w:tc>
          <w:tcPr>
            <w:tcW w:w="1792" w:type="dxa"/>
          </w:tcPr>
          <w:p w14:paraId="3D313A42" w14:textId="77777777" w:rsidR="009A1439" w:rsidRPr="00422557" w:rsidRDefault="009A1439" w:rsidP="009A1439">
            <w:pPr>
              <w:rPr>
                <w:sz w:val="20"/>
                <w:szCs w:val="20"/>
                <w:lang w:val="en-US"/>
              </w:rPr>
            </w:pPr>
          </w:p>
        </w:tc>
        <w:tc>
          <w:tcPr>
            <w:tcW w:w="2521" w:type="dxa"/>
          </w:tcPr>
          <w:p w14:paraId="2494D211" w14:textId="77777777" w:rsidR="009A1439" w:rsidRPr="00422557" w:rsidRDefault="009A1439" w:rsidP="009A1439">
            <w:pPr>
              <w:rPr>
                <w:sz w:val="20"/>
                <w:szCs w:val="20"/>
                <w:lang w:val="en-US"/>
              </w:rPr>
            </w:pPr>
            <w:r w:rsidRPr="00422557">
              <w:rPr>
                <w:sz w:val="20"/>
                <w:szCs w:val="20"/>
                <w:lang w:val="en-US"/>
              </w:rPr>
              <w:t>High-rise</w:t>
            </w:r>
          </w:p>
        </w:tc>
        <w:tc>
          <w:tcPr>
            <w:tcW w:w="840" w:type="dxa"/>
            <w:vAlign w:val="bottom"/>
          </w:tcPr>
          <w:p w14:paraId="7C4B92B7" w14:textId="77777777" w:rsidR="009A1439" w:rsidRPr="00422557" w:rsidRDefault="009A1439" w:rsidP="009A1439">
            <w:pPr>
              <w:rPr>
                <w:sz w:val="20"/>
                <w:szCs w:val="20"/>
                <w:lang w:val="en-US"/>
              </w:rPr>
            </w:pPr>
            <w:r w:rsidRPr="00422557">
              <w:rPr>
                <w:rFonts w:ascii="Calibri" w:hAnsi="Calibri"/>
                <w:color w:val="000000"/>
                <w:sz w:val="20"/>
                <w:szCs w:val="20"/>
                <w:lang w:val="en-US"/>
              </w:rPr>
              <w:t>1.97</w:t>
            </w:r>
          </w:p>
        </w:tc>
        <w:tc>
          <w:tcPr>
            <w:tcW w:w="933" w:type="dxa"/>
            <w:vAlign w:val="bottom"/>
          </w:tcPr>
          <w:p w14:paraId="7A486DB0" w14:textId="77777777" w:rsidR="009A1439" w:rsidRPr="00422557" w:rsidRDefault="009A1439" w:rsidP="009A1439">
            <w:pPr>
              <w:rPr>
                <w:sz w:val="20"/>
                <w:szCs w:val="20"/>
                <w:lang w:val="en-US"/>
              </w:rPr>
            </w:pPr>
            <w:r w:rsidRPr="00422557">
              <w:rPr>
                <w:rFonts w:ascii="Calibri" w:hAnsi="Calibri"/>
                <w:color w:val="000000"/>
                <w:sz w:val="20"/>
                <w:szCs w:val="20"/>
                <w:lang w:val="en-US"/>
              </w:rPr>
              <w:t>67.36</w:t>
            </w:r>
          </w:p>
        </w:tc>
        <w:tc>
          <w:tcPr>
            <w:tcW w:w="4389" w:type="dxa"/>
          </w:tcPr>
          <w:p w14:paraId="47A4F8D7" w14:textId="77777777" w:rsidR="009A1439" w:rsidRPr="00422557" w:rsidRDefault="009A1439" w:rsidP="009A1439">
            <w:pPr>
              <w:rPr>
                <w:sz w:val="20"/>
                <w:szCs w:val="20"/>
                <w:lang w:val="en-US"/>
              </w:rPr>
            </w:pPr>
            <w:r w:rsidRPr="00422557">
              <w:rPr>
                <w:sz w:val="20"/>
                <w:szCs w:val="20"/>
                <w:lang w:val="en-US"/>
              </w:rPr>
              <w:t>Global Average (see below)</w:t>
            </w:r>
          </w:p>
        </w:tc>
      </w:tr>
      <w:tr w:rsidR="009A1439" w14:paraId="4833A5B1" w14:textId="77777777" w:rsidTr="009A1439">
        <w:trPr>
          <w:trHeight w:val="394"/>
        </w:trPr>
        <w:tc>
          <w:tcPr>
            <w:tcW w:w="1792" w:type="dxa"/>
          </w:tcPr>
          <w:p w14:paraId="3F10F673" w14:textId="77777777" w:rsidR="009A1439" w:rsidRPr="00422557" w:rsidRDefault="009A1439" w:rsidP="009A1439">
            <w:pPr>
              <w:rPr>
                <w:sz w:val="20"/>
                <w:szCs w:val="20"/>
                <w:lang w:val="en-US"/>
              </w:rPr>
            </w:pPr>
            <w:r w:rsidRPr="00422557">
              <w:rPr>
                <w:sz w:val="20"/>
                <w:szCs w:val="20"/>
                <w:lang w:val="en-US"/>
              </w:rPr>
              <w:t>United States</w:t>
            </w:r>
          </w:p>
        </w:tc>
        <w:tc>
          <w:tcPr>
            <w:tcW w:w="2521" w:type="dxa"/>
          </w:tcPr>
          <w:p w14:paraId="08CB6263" w14:textId="77777777" w:rsidR="009A1439" w:rsidRPr="00422557" w:rsidRDefault="009A1439" w:rsidP="009A1439">
            <w:pPr>
              <w:rPr>
                <w:sz w:val="20"/>
                <w:szCs w:val="20"/>
                <w:lang w:val="en-US"/>
              </w:rPr>
            </w:pPr>
            <w:r w:rsidRPr="00422557">
              <w:rPr>
                <w:sz w:val="20"/>
                <w:szCs w:val="20"/>
                <w:lang w:val="en-US"/>
              </w:rPr>
              <w:t>All</w:t>
            </w:r>
          </w:p>
        </w:tc>
        <w:tc>
          <w:tcPr>
            <w:tcW w:w="840" w:type="dxa"/>
            <w:vAlign w:val="bottom"/>
          </w:tcPr>
          <w:p w14:paraId="7D8A23D0" w14:textId="77777777" w:rsidR="009A1439" w:rsidRPr="00422557" w:rsidRDefault="009A1439" w:rsidP="009A1439">
            <w:pPr>
              <w:rPr>
                <w:sz w:val="20"/>
                <w:szCs w:val="20"/>
                <w:lang w:val="en-US"/>
              </w:rPr>
            </w:pPr>
            <w:r w:rsidRPr="00422557">
              <w:rPr>
                <w:rFonts w:ascii="Calibri" w:hAnsi="Calibri"/>
                <w:color w:val="000000"/>
                <w:sz w:val="20"/>
                <w:szCs w:val="20"/>
                <w:lang w:val="en-US"/>
              </w:rPr>
              <w:t>4.16</w:t>
            </w:r>
          </w:p>
        </w:tc>
        <w:tc>
          <w:tcPr>
            <w:tcW w:w="933" w:type="dxa"/>
            <w:vAlign w:val="bottom"/>
          </w:tcPr>
          <w:p w14:paraId="378CD714" w14:textId="77777777" w:rsidR="009A1439" w:rsidRPr="00422557" w:rsidRDefault="009A1439" w:rsidP="009A1439">
            <w:pPr>
              <w:rPr>
                <w:sz w:val="20"/>
                <w:szCs w:val="20"/>
                <w:lang w:val="en-US"/>
              </w:rPr>
            </w:pPr>
            <w:r w:rsidRPr="00422557">
              <w:rPr>
                <w:rFonts w:ascii="Calibri" w:hAnsi="Calibri"/>
                <w:color w:val="000000"/>
                <w:sz w:val="20"/>
                <w:szCs w:val="20"/>
                <w:lang w:val="en-US"/>
              </w:rPr>
              <w:t>85.19</w:t>
            </w:r>
          </w:p>
        </w:tc>
        <w:tc>
          <w:tcPr>
            <w:tcW w:w="4389" w:type="dxa"/>
          </w:tcPr>
          <w:p w14:paraId="3123DF20" w14:textId="48BC133D" w:rsidR="009A1439" w:rsidRPr="00422557" w:rsidRDefault="009A1439" w:rsidP="009A1439">
            <w:pPr>
              <w:rPr>
                <w:sz w:val="20"/>
                <w:szCs w:val="20"/>
                <w:lang w:val="en-US"/>
              </w:rPr>
            </w:pPr>
            <w:r w:rsidRPr="00422557">
              <w:rPr>
                <w:sz w:val="20"/>
                <w:szCs w:val="20"/>
                <w:lang w:val="en-US"/>
              </w:rPr>
              <w:t xml:space="preserve">Region specific parameters according to average </w:t>
            </w:r>
            <w:r w:rsidRPr="00422557">
              <w:rPr>
                <w:sz w:val="20"/>
                <w:szCs w:val="20"/>
              </w:rPr>
              <w:fldChar w:fldCharType="begin" w:fldLock="1"/>
            </w:r>
            <w:r w:rsidR="00B12458">
              <w:rPr>
                <w:sz w:val="20"/>
                <w:szCs w:val="20"/>
                <w:lang w:val="en-US"/>
              </w:rPr>
              <w:instrText>ADDIN CSL_CITATION {"citationItems":[{"id":"ITEM-1","itemData":{"author":[{"dropping-particle":"","family":"Olson","given":"Brent Davis","non-dropping-particle":"","parse-names":false,"suffix":""}],"id":"ITEM-1","issued":{"date-parts":[["2011"]]},"number-of-pages":"173","publisher":"Washington State University","title":"Residential Building Material Reuse in Sustainable Construction","type":"book"},"uris":["http://www.mendeley.com/documents/?uuid=e8a6010d-9845-4493-acd7-67ad65e784e6"]},{"id":"ITEM-2","itemData":{"DOI":"10.1111/j.1530-9290.2008.00055.x","abstract":"Summary A dynamic substance-flow model is developed to characterize the stocks and flows of cement utilized during the 20th century in the United States, using the generic cement life cycle as a systems boundary. The motivation for estimating historical inventories of cement stocks and flows is to provide accurate estimates of contemporary cement in-use stocks in U.S. infrastructure and future discards to relevant stakeholders in U.S. infrastructure, such as the federal and state highway administrators, departments of transportation, public and private utilities, and the construction and cement industries. Such information will assist in planning future rehabilitation projects and better life cycle management of infrastructure systems. In the present policy environment of climate negotiations, estimates of in-use cement infrastructure can provide insights about to what extent built environment can act as a carbon sink over its lifetime. The rate of addition of new stock, its composition, and the repair of existing stock are key determinants of infrastructure sustainability. Based upon a probability of failure approach, a dynamic stock and flow model was developed utilizing three statistical lifetime distributions—Weibull, gamma, and lognormal—for each cement end-use. The model-derived estimate of the “in-use” cement stocks in the United States is in the range of 4.2 to 4.4 billion metric tons (gigatonnes, Gt). This indicates that 82% to 87% of cement utilized during the last century is still in use. On a per capita basis, this is equivalent to 14.3 to 15.0 tonnes of in-use cement stock per person. The in-use cement stock per capita has doubled over the last 50 years, although the rate of growth has slowed.","author":[{"dropping-particle":"","family":"Kapur","given":"Amit","non-dropping-particle":"","parse-names":false,"suffix":""},{"dropping-particle":"","family":"Keoleian","given":"Gregory","non-dropping-particle":"","parse-names":false,"suffix":""},{"dropping-particle":"","family":"Kendall","given":"Alissa","non-dropping-particle":"","parse-names":false,"suffix":""},{"dropping-particle":"","family":"Kesler","given":"Stephen E","non-dropping-particle":"","parse-names":false,"suffix":""}],"container-title":"Journal of Industrial Ecology","id":"ITEM-2","issue":"4","issued":{"date-parts":[["2008"]]},"page":"539-556","title":"Dynamic Modeling of In-Use Cement Stocks in the United States","type":"article-journal","volume":"12"},"uris":["http://www.mendeley.com/documents/?uuid=b209b7f5-5172-4047-87a4-e752797d7c1c"]},{"id":"ITEM-3","itemData":{"DOI":"10.2320/matertrans.MRA2008337","author":[{"dropping-particle":"","family":"Hatayama","given":"Hiroki","non-dropping-particle":"","parse-names":false,"suffix":""},{"dropping-particle":"","family":"Daigo","given":"Ichiro","non-dropping-particle":"","parse-names":false,"suffix":""},{"dropping-particle":"","family":"Matsuno","given":"Yasunari","non-dropping-particle":"","parse-names":false,"suffix":""},{"dropping-particle":"","family":"Adachi","given":"Yoshihiro","non-dropping-particle":"","parse-names":false,"suffix":""}],"container-title":"MATERIALS TRANSACTIONS","id":"ITEM-3","issue":"3","issued":{"date-parts":[["2009"]]},"page":"650-656","title":"Assessment of the Recycling Potential of Aluminum in Japan, the United States, Europe and China","type":"article-journal","volume":"50"},"uris":["http://www.mendeley.com/documents/?uuid=78f64424-cad5-4099-87a4-507d857548ba"]}],"mendeley":{"formattedCitation":"&lt;sup&gt;17–19&lt;/sup&gt;","plainTextFormattedCitation":"17–19","previouslyFormattedCitation":"&lt;sup&gt;17–19&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17–19</w:t>
            </w:r>
            <w:r w:rsidRPr="00422557">
              <w:rPr>
                <w:sz w:val="20"/>
                <w:szCs w:val="20"/>
              </w:rPr>
              <w:fldChar w:fldCharType="end"/>
            </w:r>
            <w:r w:rsidRPr="00422557">
              <w:rPr>
                <w:sz w:val="20"/>
                <w:szCs w:val="20"/>
                <w:lang w:val="en-US"/>
              </w:rPr>
              <w:t xml:space="preserve"> (R</w:t>
            </w:r>
            <w:r w:rsidRPr="00422557">
              <w:rPr>
                <w:sz w:val="20"/>
                <w:szCs w:val="20"/>
                <w:vertAlign w:val="superscript"/>
                <w:lang w:val="en-US"/>
              </w:rPr>
              <w:t>2</w:t>
            </w:r>
            <w:r w:rsidRPr="00422557">
              <w:rPr>
                <w:sz w:val="20"/>
                <w:szCs w:val="20"/>
                <w:lang w:val="en-US"/>
              </w:rPr>
              <w:t xml:space="preserve"> = 0.951)</w:t>
            </w:r>
          </w:p>
        </w:tc>
      </w:tr>
      <w:tr w:rsidR="009A1439" w14:paraId="7661D128" w14:textId="77777777" w:rsidTr="009A1439">
        <w:trPr>
          <w:trHeight w:val="394"/>
        </w:trPr>
        <w:tc>
          <w:tcPr>
            <w:tcW w:w="1792" w:type="dxa"/>
          </w:tcPr>
          <w:p w14:paraId="006853B1" w14:textId="77777777" w:rsidR="009A1439" w:rsidRPr="00422557" w:rsidRDefault="009A1439" w:rsidP="009A1439">
            <w:pPr>
              <w:rPr>
                <w:sz w:val="20"/>
                <w:szCs w:val="20"/>
                <w:lang w:val="en-US"/>
              </w:rPr>
            </w:pPr>
            <w:r w:rsidRPr="00422557">
              <w:rPr>
                <w:sz w:val="20"/>
                <w:szCs w:val="20"/>
                <w:lang w:val="en-US"/>
              </w:rPr>
              <w:t>Western Europe</w:t>
            </w:r>
          </w:p>
        </w:tc>
        <w:tc>
          <w:tcPr>
            <w:tcW w:w="2521" w:type="dxa"/>
          </w:tcPr>
          <w:p w14:paraId="3D5F5F5A" w14:textId="77777777" w:rsidR="009A1439" w:rsidRPr="00422557" w:rsidRDefault="009A1439" w:rsidP="009A1439">
            <w:pPr>
              <w:rPr>
                <w:sz w:val="20"/>
                <w:szCs w:val="20"/>
                <w:lang w:val="en-US"/>
              </w:rPr>
            </w:pPr>
            <w:r w:rsidRPr="00422557">
              <w:rPr>
                <w:sz w:val="20"/>
                <w:szCs w:val="20"/>
                <w:lang w:val="en-US"/>
              </w:rPr>
              <w:t>All</w:t>
            </w:r>
          </w:p>
        </w:tc>
        <w:tc>
          <w:tcPr>
            <w:tcW w:w="840" w:type="dxa"/>
            <w:vAlign w:val="bottom"/>
          </w:tcPr>
          <w:p w14:paraId="0ED9E66D" w14:textId="77777777" w:rsidR="009A1439" w:rsidRPr="00422557" w:rsidRDefault="009A1439" w:rsidP="009A1439">
            <w:pPr>
              <w:rPr>
                <w:sz w:val="20"/>
                <w:szCs w:val="20"/>
                <w:lang w:val="en-US"/>
              </w:rPr>
            </w:pPr>
            <w:r w:rsidRPr="00422557">
              <w:rPr>
                <w:rFonts w:ascii="Calibri" w:hAnsi="Calibri"/>
                <w:color w:val="000000"/>
                <w:sz w:val="20"/>
                <w:szCs w:val="20"/>
                <w:lang w:val="en-US"/>
              </w:rPr>
              <w:t>2.95</w:t>
            </w:r>
          </w:p>
        </w:tc>
        <w:tc>
          <w:tcPr>
            <w:tcW w:w="933" w:type="dxa"/>
            <w:vAlign w:val="bottom"/>
          </w:tcPr>
          <w:p w14:paraId="5869A695" w14:textId="77777777" w:rsidR="009A1439" w:rsidRPr="00422557" w:rsidRDefault="009A1439" w:rsidP="009A1439">
            <w:pPr>
              <w:rPr>
                <w:sz w:val="20"/>
                <w:szCs w:val="20"/>
                <w:lang w:val="en-US"/>
              </w:rPr>
            </w:pPr>
            <w:r w:rsidRPr="00422557">
              <w:rPr>
                <w:rFonts w:ascii="Calibri" w:hAnsi="Calibri"/>
                <w:color w:val="000000"/>
                <w:sz w:val="20"/>
                <w:szCs w:val="20"/>
                <w:lang w:val="en-US"/>
              </w:rPr>
              <w:t>70.82</w:t>
            </w:r>
          </w:p>
        </w:tc>
        <w:tc>
          <w:tcPr>
            <w:tcW w:w="4389" w:type="dxa"/>
          </w:tcPr>
          <w:p w14:paraId="68288ACD" w14:textId="1C01A485" w:rsidR="009A1439" w:rsidRPr="00422557" w:rsidRDefault="009A1439" w:rsidP="009A1439">
            <w:pPr>
              <w:rPr>
                <w:sz w:val="20"/>
                <w:szCs w:val="20"/>
                <w:lang w:val="en-US"/>
              </w:rPr>
            </w:pPr>
            <w:r w:rsidRPr="00422557">
              <w:rPr>
                <w:sz w:val="20"/>
                <w:szCs w:val="20"/>
                <w:lang w:val="en-US"/>
              </w:rPr>
              <w:t xml:space="preserve">Region specific parameters according to average </w:t>
            </w:r>
            <w:r w:rsidRPr="00422557">
              <w:rPr>
                <w:sz w:val="20"/>
                <w:szCs w:val="20"/>
              </w:rPr>
              <w:fldChar w:fldCharType="begin" w:fldLock="1"/>
            </w:r>
            <w:r w:rsidR="00B12458">
              <w:rPr>
                <w:sz w:val="20"/>
                <w:szCs w:val="20"/>
                <w:lang w:val="en-US"/>
              </w:rPr>
              <w:instrText>ADDIN CSL_CITATION {"citationItems":[{"id":"ITEM-1","itemData":{"DOI":"10.1021/acs.est.5b01735","ISSN":"0013-936X","author":[{"dropping-particle":"","family":"Heeren","given":"Niko","non-dropping-particle":"","parse-names":false,"suffix":""},{"dropping-particle":"","family":"Mutel","given":"Christopher L","non-dropping-particle":"","parse-names":false,"suffix":""},{"dropping-particle":"","family":"Steubing","given":"Bernhard","non-dropping-particle":"","parse-names":false,"suffix":""},{"dropping-particle":"","family":"Ostermeyer","given":"York","non-dropping-particle":"","parse-names":false,"suffix":""},{"dropping-particle":"","family":"Wallbaum","given":"Holger","non-dropping-particle":"","parse-names":false,"suffix":""},{"dropping-particle":"","family":"Hellweg","given":"Stefanie","non-dropping-particle":"","parse-names":false,"suffix":""}],"container-title":"Environmental Science &amp; Technology","id":"ITEM-1","issue":"16","issued":{"date-parts":[["2015","8","18"]]},"note":"doi: 10.1021/acs.est.5b01735","page":"9832-9841","publisher":"American Chemical Society","title":"Environmental Impact of Buildings—What Matters?","type":"article-journal","volume":"49"},"uris":["http://www.mendeley.com/documents/?uuid=cec4f8e9-cbb0-4f09-a4ba-cec2a56de0d0"]},{"id":"ITEM-2","itemData":{"DOI":"https://doi.org/10.1016/j.resconrec.2006.08.007","ISSN":"0921-3449","abstract":"This paper presents an analysis of the use of iron and steel in the UK and explores how much of the iron and steel is recycled when it becomes obsolete after use. The first part of this paper series investigated production and consumption trends of iron and steel in the UK, whereas this paper focuses on scrap generation and recycling. Information on the amounts of iron and steel going into different groups of goods, together with values for their estimated lifetimes, have enabled modelling of the annual release of iron and steel from the use phase in the form of end-of-life scrap. This is an application to material flow accounting of the theory of residence time distributions used routinely in chemical reaction engineering. By comparing modelled generation of scrap with actual scrap consumption in the UK, we obtain estimates of loss or accumulation of iron and steel scrap in the UK. The model indicates that as much as 30% of the scrap that was potentially available in 2001 as end-of-life scrap has either been accumulated within the economic system or lost to landfill.","author":[{"dropping-particle":"","family":"Davis","given":"J","non-dropping-particle":"","parse-names":false,"suffix":""},{"dropping-particle":"","family":"Geyer","given":"R","non-dropping-particle":"","parse-names":false,"suffix":""},{"dropping-particle":"","family":"Ley","given":"J","non-dropping-particle":"","parse-names":false,"suffix":""},{"dropping-particle":"","family":"He","given":"J","non-dropping-particle":"","parse-names":false,"suffix":""},{"dropping-particle":"","family":"Clift","given":"R","non-dropping-particle":"","parse-names":false,"suffix":""},{"dropping-particle":"","family":"Kwan","given":"A","non-dropping-particle":"","parse-names":false,"suffix":""},{"dropping-particle":"","family":"Sansom","given":"M","non-dropping-particle":"","parse-names":false,"suffix":""},{"dropping-particle":"","family":"Jackson","given":"T","non-dropping-particle":"","parse-names":false,"suffix":""}],"container-title":"Resources, Conservation and Recycling","id":"ITEM-2","issue":"1","issued":{"date-parts":[["2007"]]},"page":"118-140","title":"Time-dependent material flow analysis of iron and steel in the UK: Part 2. Scrap generation and recycling","type":"article-journal","volume":"51"},"uris":["http://www.mendeley.com/documents/?uuid=01606f87-34c8-4383-b2b4-2c4f24fe5449"]},{"id":"ITEM-3","itemData":{"DOI":"10.2320/matertrans.MRA2008337","author":[{"dropping-particle":"","family":"Hatayama","given":"Hiroki","non-dropping-particle":"","parse-names":false,"suffix":""},{"dropping-particle":"","family":"Daigo","given":"Ichiro","non-dropping-particle":"","parse-names":false,"suffix":""},{"dropping-particle":"","family":"Matsuno","given":"Yasunari","non-dropping-particle":"","parse-names":false,"suffix":""},{"dropping-particle":"","family":"Adachi","given":"Yoshihiro","non-dropping-particle":"","parse-names":false,"suffix":""}],"container-title":"MATERIALS TRANSACTIONS","id":"ITEM-3","issue":"3","issued":{"date-parts":[["2009"]]},"page":"650-656","title":"Assessment of the Recycling Potential of Aluminum in Japan, the United States, Europe and China","type":"article-journal","volume":"50"},"uris":["http://www.mendeley.com/documents/?uuid=78f64424-cad5-4099-87a4-507d857548ba"]}],"mendeley":{"formattedCitation":"&lt;sup&gt;19–21&lt;/sup&gt;","plainTextFormattedCitation":"19–21","previouslyFormattedCitation":"&lt;sup&gt;19–21&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19–21</w:t>
            </w:r>
            <w:r w:rsidRPr="00422557">
              <w:rPr>
                <w:sz w:val="20"/>
                <w:szCs w:val="20"/>
              </w:rPr>
              <w:fldChar w:fldCharType="end"/>
            </w:r>
            <w:r w:rsidRPr="00422557">
              <w:rPr>
                <w:sz w:val="20"/>
                <w:szCs w:val="20"/>
              </w:rPr>
              <w:t xml:space="preserve"> (R</w:t>
            </w:r>
            <w:r w:rsidRPr="00422557">
              <w:rPr>
                <w:sz w:val="20"/>
                <w:szCs w:val="20"/>
                <w:vertAlign w:val="superscript"/>
              </w:rPr>
              <w:t>2</w:t>
            </w:r>
            <w:r w:rsidRPr="00422557">
              <w:rPr>
                <w:sz w:val="20"/>
                <w:szCs w:val="20"/>
              </w:rPr>
              <w:t xml:space="preserve"> = 0.965)</w:t>
            </w:r>
          </w:p>
        </w:tc>
      </w:tr>
      <w:tr w:rsidR="009A1439" w14:paraId="2C4476E5" w14:textId="77777777" w:rsidTr="009A1439">
        <w:trPr>
          <w:trHeight w:val="197"/>
        </w:trPr>
        <w:tc>
          <w:tcPr>
            <w:tcW w:w="1792" w:type="dxa"/>
          </w:tcPr>
          <w:p w14:paraId="21A1E0F2" w14:textId="77777777" w:rsidR="009A1439" w:rsidRPr="00422557" w:rsidRDefault="009A1439" w:rsidP="009A1439">
            <w:pPr>
              <w:rPr>
                <w:sz w:val="20"/>
                <w:szCs w:val="20"/>
                <w:lang w:val="en-US"/>
              </w:rPr>
            </w:pPr>
            <w:r w:rsidRPr="00422557">
              <w:rPr>
                <w:sz w:val="20"/>
                <w:szCs w:val="20"/>
                <w:lang w:val="en-US"/>
              </w:rPr>
              <w:t>Canada</w:t>
            </w:r>
          </w:p>
        </w:tc>
        <w:tc>
          <w:tcPr>
            <w:tcW w:w="2521" w:type="dxa"/>
          </w:tcPr>
          <w:p w14:paraId="5A3F6FAA" w14:textId="77777777" w:rsidR="009A1439" w:rsidRPr="00422557" w:rsidRDefault="009A1439" w:rsidP="009A1439">
            <w:pPr>
              <w:rPr>
                <w:sz w:val="20"/>
                <w:szCs w:val="20"/>
                <w:lang w:val="en-US"/>
              </w:rPr>
            </w:pPr>
            <w:r w:rsidRPr="00422557">
              <w:rPr>
                <w:sz w:val="20"/>
                <w:szCs w:val="20"/>
                <w:lang w:val="en-US"/>
              </w:rPr>
              <w:t>All</w:t>
            </w:r>
          </w:p>
        </w:tc>
        <w:tc>
          <w:tcPr>
            <w:tcW w:w="840" w:type="dxa"/>
          </w:tcPr>
          <w:p w14:paraId="4EABBF19" w14:textId="77777777" w:rsidR="009A1439" w:rsidRPr="00422557" w:rsidRDefault="009A1439" w:rsidP="009A1439">
            <w:pPr>
              <w:rPr>
                <w:sz w:val="20"/>
                <w:szCs w:val="20"/>
                <w:lang w:val="en-US"/>
              </w:rPr>
            </w:pPr>
            <w:r w:rsidRPr="00422557">
              <w:rPr>
                <w:sz w:val="20"/>
                <w:szCs w:val="20"/>
                <w:lang w:val="en-US"/>
              </w:rPr>
              <w:t>1.97</w:t>
            </w:r>
          </w:p>
        </w:tc>
        <w:tc>
          <w:tcPr>
            <w:tcW w:w="933" w:type="dxa"/>
          </w:tcPr>
          <w:p w14:paraId="2DCF02F7" w14:textId="77777777" w:rsidR="009A1439" w:rsidRPr="00422557" w:rsidRDefault="009A1439" w:rsidP="009A1439">
            <w:pPr>
              <w:rPr>
                <w:rFonts w:ascii="Calibri" w:hAnsi="Calibri"/>
                <w:color w:val="000000"/>
                <w:sz w:val="20"/>
                <w:szCs w:val="20"/>
                <w:lang w:val="en-US"/>
              </w:rPr>
            </w:pPr>
            <w:r w:rsidRPr="00422557">
              <w:rPr>
                <w:rFonts w:ascii="Calibri" w:hAnsi="Calibri"/>
                <w:color w:val="000000"/>
                <w:sz w:val="20"/>
                <w:szCs w:val="20"/>
                <w:lang w:val="en-US"/>
              </w:rPr>
              <w:t>57.53</w:t>
            </w:r>
          </w:p>
        </w:tc>
        <w:tc>
          <w:tcPr>
            <w:tcW w:w="4389" w:type="dxa"/>
          </w:tcPr>
          <w:p w14:paraId="79B1923F" w14:textId="55A1119B" w:rsidR="009A1439" w:rsidRPr="00422557" w:rsidRDefault="009A1439" w:rsidP="009A1439">
            <w:pPr>
              <w:rPr>
                <w:sz w:val="20"/>
                <w:szCs w:val="20"/>
                <w:lang w:val="en-US"/>
              </w:rPr>
            </w:pPr>
            <w:r w:rsidRPr="00422557">
              <w:rPr>
                <w:sz w:val="20"/>
                <w:szCs w:val="20"/>
                <w:lang w:val="en-US"/>
              </w:rPr>
              <w:t xml:space="preserve">Global shape, regional mean </w:t>
            </w:r>
            <w:r w:rsidRPr="00422557">
              <w:rPr>
                <w:sz w:val="20"/>
                <w:szCs w:val="20"/>
              </w:rPr>
              <w:fldChar w:fldCharType="begin" w:fldLock="1"/>
            </w:r>
            <w:r w:rsidR="00B12458">
              <w:rPr>
                <w:sz w:val="20"/>
                <w:szCs w:val="20"/>
                <w:lang w:val="en-US"/>
              </w:rPr>
              <w:instrText>ADDIN CSL_CITATION {"citationItems":[{"id":"ITEM-1","itemData":{"DOI":"https://doi.org/10.1016/j.rser.2013.05.001","ISSN":"1364-0321","abstract":"The last decades, lowering the ecological impact of buildings is receiving increased attention by researchers, policy-makers and companies. Mostly the focus is on reducing energy consumption and the use of eco-friendly materials, but the concept of life-cycle thinking is growing in importance. This paper tries to give an overview of the current situation of Life cycle assessment (LCA) in the construction industry, both of regulatory developments and academic case studies. After a short history of LCA, the focus is on LCA methodology, new standards and frameworks and an extensive selection of recent case studies. Despite some inherent limitations of LCA as an analytic tool and fundamental differences between the individual cases, still some common trends can be indicated. In standard buildings, the use phase contributes up to 90% of the total environmental burdens, mainly due to heating and/or cooling. Due to regulations, new buildings become more energy efficient, and thereby other phases of the life cycle gain in importance e.g., choice of materials, construction, end-of-life and water use. These research topics deserve more attention, together with economic issues, the improvement of data quality and implementation of probability density distributions.","author":[{"dropping-particle":"","family":"Buyle","given":"Matthias","non-dropping-particle":"","parse-names":false,"suffix":""},{"dropping-particle":"","family":"Braet","given":"Johan","non-dropping-particle":"","parse-names":false,"suffix":""},{"dropping-particle":"","family":"Audenaert","given":"Amaryllis","non-dropping-particle":"","parse-names":false,"suffix":""}],"container-title":"Renewable and Sustainable Energy Reviews","id":"ITEM-1","issued":{"date-parts":[["2013"]]},"page":"379-388","title":"Life cycle assessment in the construction sector: A review","type":"article-journal","volume":"26"},"uris":["http://www.mendeley.com/documents/?uuid=1211648c-f75f-4d1b-85cd-58d3590df2f1"]},{"id":"ITEM-2","itemData":{"DOI":"10.1111/j.1530-9290.2010.00250.x","abstract":"Summary Lifespan is an essential parameter for the accounting and analysis of material stocks and flows, one of the main research topics in industrial ecology. Lifespan is also important as a parameter that portrays the current and historical situation of industrial metabolism, which is an area of interest to industrial ecologists. In the present article, the available information from various reports on product lifespan was reviewed. Although we found a large number of data for many durables, the definition of lifespan in published articles varied, which limited our ability to compare reported values. We therefore first defined lifespan and then compared the international and historical data. We compiled more than 1,300 data sets from various sources and identified some differences among the types of goods and among regions. With the reviewed data noted in this article, we established a database, named LiVES (Lifespan Database for Vehicles, Equipment, and Structures), and will disclose it on the Internet to share the information.","author":[{"dropping-particle":"","family":"Murakami","given":"Shinsuke","non-dropping-particle":"","parse-names":false,"suffix":""},{"dropping-particle":"","family":"Oguchi","given":"Masahiro","non-dropping-particle":"","parse-names":false,"suffix":""},{"dropping-particle":"","family":"Tasaki","given":"Tomohiro","non-dropping-particle":"","parse-names":false,"suffix":""},{"dropping-particle":"","family":"Daigo","given":"Ichiro","non-dropping-particle":"","parse-names":false,"suffix":""},{"dropping-particle":"","family":"Hashimoto","given":"Seiji","non-dropping-particle":"","parse-names":false,"suffix":""}],"container-title":"Journal of Industrial Ecology","id":"ITEM-2","issue":"4","issued":{"date-parts":[["2010"]]},"page":"598-612","title":"Lifespan of Commodities, Part I","type":"article-journal","volume":"14"},"uris":["http://www.mendeley.com/documents/?uuid=6d84f4ca-7f70-4661-9279-0fe2e9dee89f"]}],"mendeley":{"formattedCitation":"&lt;sup&gt;22,23&lt;/sup&gt;","plainTextFormattedCitation":"22,23","previouslyFormattedCitation":"&lt;sup&gt;22,23&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22,23</w:t>
            </w:r>
            <w:r w:rsidRPr="00422557">
              <w:rPr>
                <w:sz w:val="20"/>
                <w:szCs w:val="20"/>
              </w:rPr>
              <w:fldChar w:fldCharType="end"/>
            </w:r>
          </w:p>
        </w:tc>
      </w:tr>
      <w:tr w:rsidR="009A1439" w14:paraId="4554F7D3" w14:textId="77777777" w:rsidTr="009A1439">
        <w:trPr>
          <w:trHeight w:val="197"/>
        </w:trPr>
        <w:tc>
          <w:tcPr>
            <w:tcW w:w="1792" w:type="dxa"/>
          </w:tcPr>
          <w:p w14:paraId="5991FA58" w14:textId="77777777" w:rsidR="009A1439" w:rsidRPr="00422557" w:rsidRDefault="009A1439" w:rsidP="009A1439">
            <w:pPr>
              <w:rPr>
                <w:sz w:val="20"/>
                <w:szCs w:val="20"/>
                <w:lang w:val="en-US"/>
              </w:rPr>
            </w:pPr>
            <w:r w:rsidRPr="00422557">
              <w:rPr>
                <w:sz w:val="20"/>
                <w:szCs w:val="20"/>
                <w:lang w:val="en-US"/>
              </w:rPr>
              <w:t>Mexico</w:t>
            </w:r>
          </w:p>
        </w:tc>
        <w:tc>
          <w:tcPr>
            <w:tcW w:w="2521" w:type="dxa"/>
          </w:tcPr>
          <w:p w14:paraId="503DE2ED" w14:textId="77777777" w:rsidR="009A1439" w:rsidRPr="00422557" w:rsidRDefault="009A1439" w:rsidP="009A1439">
            <w:pPr>
              <w:rPr>
                <w:sz w:val="20"/>
                <w:szCs w:val="20"/>
                <w:lang w:val="en-US"/>
              </w:rPr>
            </w:pPr>
            <w:r w:rsidRPr="00422557">
              <w:rPr>
                <w:sz w:val="20"/>
                <w:szCs w:val="20"/>
                <w:lang w:val="en-US"/>
              </w:rPr>
              <w:t>All</w:t>
            </w:r>
          </w:p>
        </w:tc>
        <w:tc>
          <w:tcPr>
            <w:tcW w:w="840" w:type="dxa"/>
          </w:tcPr>
          <w:p w14:paraId="71377995" w14:textId="77777777" w:rsidR="009A1439" w:rsidRPr="00422557" w:rsidRDefault="009A1439" w:rsidP="009A1439">
            <w:pPr>
              <w:rPr>
                <w:sz w:val="20"/>
                <w:szCs w:val="20"/>
                <w:lang w:val="en-US"/>
              </w:rPr>
            </w:pPr>
            <w:r w:rsidRPr="00422557">
              <w:rPr>
                <w:sz w:val="20"/>
                <w:szCs w:val="20"/>
                <w:lang w:val="en-US"/>
              </w:rPr>
              <w:t>1.97</w:t>
            </w:r>
          </w:p>
        </w:tc>
        <w:tc>
          <w:tcPr>
            <w:tcW w:w="933" w:type="dxa"/>
          </w:tcPr>
          <w:p w14:paraId="78404103" w14:textId="77777777" w:rsidR="009A1439" w:rsidRPr="00422557" w:rsidRDefault="009A1439" w:rsidP="009A1439">
            <w:pPr>
              <w:rPr>
                <w:rFonts w:ascii="Calibri" w:hAnsi="Calibri"/>
                <w:color w:val="000000"/>
                <w:sz w:val="20"/>
                <w:szCs w:val="20"/>
                <w:lang w:val="en-US"/>
              </w:rPr>
            </w:pPr>
            <w:r w:rsidRPr="00422557">
              <w:rPr>
                <w:rFonts w:ascii="Calibri" w:hAnsi="Calibri"/>
                <w:color w:val="000000"/>
                <w:sz w:val="20"/>
                <w:szCs w:val="20"/>
                <w:lang w:val="en-US"/>
              </w:rPr>
              <w:t>63.17</w:t>
            </w:r>
          </w:p>
        </w:tc>
        <w:tc>
          <w:tcPr>
            <w:tcW w:w="4389" w:type="dxa"/>
          </w:tcPr>
          <w:p w14:paraId="540B01E8" w14:textId="7AB28B64" w:rsidR="009A1439" w:rsidRPr="00422557" w:rsidRDefault="009A1439" w:rsidP="009A1439">
            <w:pPr>
              <w:rPr>
                <w:sz w:val="20"/>
                <w:szCs w:val="20"/>
                <w:lang w:val="en-US"/>
              </w:rPr>
            </w:pPr>
            <w:r w:rsidRPr="00422557">
              <w:rPr>
                <w:sz w:val="20"/>
                <w:szCs w:val="20"/>
                <w:lang w:val="en-US"/>
              </w:rPr>
              <w:t xml:space="preserve">Global shape, regional mean </w:t>
            </w:r>
            <w:r w:rsidRPr="00422557">
              <w:rPr>
                <w:sz w:val="20"/>
                <w:szCs w:val="20"/>
              </w:rPr>
              <w:fldChar w:fldCharType="begin" w:fldLock="1"/>
            </w:r>
            <w:r w:rsidR="00B12458">
              <w:rPr>
                <w:sz w:val="20"/>
                <w:szCs w:val="20"/>
                <w:lang w:val="en-US"/>
              </w:rPr>
              <w:instrText>ADDIN CSL_CITATION {"citationItems":[{"id":"ITEM-1","itemData":{"DOI":"10.1111/j.1530-9290.2010.00250.x","abstract":"Summary Lifespan is an essential parameter for the accounting and analysis of material stocks and flows, one of the main research topics in industrial ecology. Lifespan is also important as a parameter that portrays the current and historical situation of industrial metabolism, which is an area of interest to industrial ecologists. In the present article, the available information from various reports on product lifespan was reviewed. Although we found a large number of data for many durables, the definition of lifespan in published articles varied, which limited our ability to compare reported values. We therefore first defined lifespan and then compared the international and historical data. We compiled more than 1,300 data sets from various sources and identified some differences among the types of goods and among regions. With the reviewed data noted in this article, we established a database, named LiVES (Lifespan Database for Vehicles, Equipment, and Structures), and will disclose it on the Internet to share the information.","author":[{"dropping-particle":"","family":"Murakami","given":"Shinsuke","non-dropping-particle":"","parse-names":false,"suffix":""},{"dropping-particle":"","family":"Oguchi","given":"Masahiro","non-dropping-particle":"","parse-names":false,"suffix":""},{"dropping-particle":"","family":"Tasaki","given":"Tomohiro","non-dropping-particle":"","parse-names":false,"suffix":""},{"dropping-particle":"","family":"Daigo","given":"Ichiro","non-dropping-particle":"","parse-names":false,"suffix":""},{"dropping-particle":"","family":"Hashimoto","given":"Seiji","non-dropping-particle":"","parse-names":false,"suffix":""}],"container-title":"Journal of Industrial Ecology","id":"ITEM-1","issue":"4","issued":{"date-parts":[["2010"]]},"page":"598-612","title":"Lifespan of Commodities, Part I","type":"article-journal","volume":"14"},"uris":["http://www.mendeley.com/documents/?uuid=6d84f4ca-7f70-4661-9279-0fe2e9dee89f"]}],"mendeley":{"formattedCitation":"&lt;sup&gt;23&lt;/sup&gt;","plainTextFormattedCitation":"23","previouslyFormattedCitation":"&lt;sup&gt;23&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23</w:t>
            </w:r>
            <w:r w:rsidRPr="00422557">
              <w:rPr>
                <w:sz w:val="20"/>
                <w:szCs w:val="20"/>
              </w:rPr>
              <w:fldChar w:fldCharType="end"/>
            </w:r>
            <w:r w:rsidRPr="00422557">
              <w:rPr>
                <w:sz w:val="20"/>
                <w:szCs w:val="20"/>
                <w:vertAlign w:val="superscript"/>
                <w:lang w:val="en-US"/>
              </w:rPr>
              <w:t>,</w:t>
            </w:r>
            <w:r w:rsidRPr="00422557">
              <w:rPr>
                <w:sz w:val="20"/>
                <w:szCs w:val="20"/>
              </w:rPr>
              <w:fldChar w:fldCharType="begin" w:fldLock="1"/>
            </w:r>
            <w:r w:rsidR="00B12458">
              <w:rPr>
                <w:sz w:val="20"/>
                <w:szCs w:val="20"/>
                <w:lang w:val="en-US"/>
              </w:rPr>
              <w:instrText>ADDIN CSL_CITATION {"citationItems":[{"id":"ITEM-1","itemData":{"abstract":"Eurostat-OECD-survey-of-national-practices-estimating-net-stocks-structures.pdf This report presents the responses to a 2013 Eurostat-OECD survey of national practices for estimating depreciation and net capital stocks (\" wealth stocks \") of dwellings and other buildings and structures in national accounts. The survey, endorsed by the Eurostat-OECD Task Force on land and other non-financial assets, asked national accountants from several countries to provide, for a detailed list of structures, the assumptions and methods used for the perpetual inventory model (PIM). Responses, in general, reflect practices in place in 2013 and part of 2014. It is possible that some countries revised their estimation methods after they responded to the survey. The goal of providing these responses is to promote discussions, facilitate detailed comparisons of PIM assumptions, and provide concrete options for those seeking to produce improved internationally comparable estimates of net stocks of structures and underlying land.","author":[{"dropping-particle":"","family":"OECD","given":"","non-dropping-particle":"","parse-names":false,"suffix":""},{"dropping-particle":"","family":"Eurostat","given":"","non-dropping-particle":"","parse-names":false,"suffix":""}],"container-title":"OECD","id":"ITEM-1","issued":{"date-parts":[["2015"]]},"title":"Eurostat-OECD Survey of National Practices in Estimating Net Stocks of Structures","type":"report"},"uris":["http://www.mendeley.com/documents/?uuid=2e7cd19c-eb2a-436b-a762-c2668401f3ea"]}],"mendeley":{"formattedCitation":"&lt;sup&gt;24&lt;/sup&gt;","plainTextFormattedCitation":"24","previouslyFormattedCitation":"&lt;sup&gt;24&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24</w:t>
            </w:r>
            <w:r w:rsidRPr="00422557">
              <w:rPr>
                <w:sz w:val="20"/>
                <w:szCs w:val="20"/>
              </w:rPr>
              <w:fldChar w:fldCharType="end"/>
            </w:r>
          </w:p>
        </w:tc>
      </w:tr>
      <w:tr w:rsidR="009A1439" w14:paraId="00B5975A" w14:textId="77777777" w:rsidTr="009A1439">
        <w:trPr>
          <w:trHeight w:val="197"/>
        </w:trPr>
        <w:tc>
          <w:tcPr>
            <w:tcW w:w="1792" w:type="dxa"/>
          </w:tcPr>
          <w:p w14:paraId="67B42B9F" w14:textId="77777777" w:rsidR="009A1439" w:rsidRPr="00422557" w:rsidRDefault="009A1439" w:rsidP="009A1439">
            <w:pPr>
              <w:rPr>
                <w:sz w:val="20"/>
                <w:szCs w:val="20"/>
                <w:lang w:val="en-US"/>
              </w:rPr>
            </w:pPr>
            <w:r w:rsidRPr="00422557">
              <w:rPr>
                <w:sz w:val="20"/>
                <w:szCs w:val="20"/>
                <w:lang w:val="en-US"/>
              </w:rPr>
              <w:t>Brazil</w:t>
            </w:r>
          </w:p>
        </w:tc>
        <w:tc>
          <w:tcPr>
            <w:tcW w:w="2521" w:type="dxa"/>
          </w:tcPr>
          <w:p w14:paraId="05FA6807" w14:textId="77777777" w:rsidR="009A1439" w:rsidRPr="00422557" w:rsidRDefault="009A1439" w:rsidP="009A1439">
            <w:pPr>
              <w:rPr>
                <w:sz w:val="20"/>
                <w:szCs w:val="20"/>
                <w:lang w:val="en-US"/>
              </w:rPr>
            </w:pPr>
            <w:r w:rsidRPr="00422557">
              <w:rPr>
                <w:sz w:val="20"/>
                <w:szCs w:val="20"/>
                <w:lang w:val="en-US"/>
              </w:rPr>
              <w:t>All</w:t>
            </w:r>
          </w:p>
        </w:tc>
        <w:tc>
          <w:tcPr>
            <w:tcW w:w="840" w:type="dxa"/>
          </w:tcPr>
          <w:p w14:paraId="72759248" w14:textId="77777777" w:rsidR="009A1439" w:rsidRPr="00422557" w:rsidRDefault="009A1439" w:rsidP="009A1439">
            <w:pPr>
              <w:rPr>
                <w:sz w:val="20"/>
                <w:szCs w:val="20"/>
                <w:lang w:val="en-US"/>
              </w:rPr>
            </w:pPr>
            <w:r w:rsidRPr="00422557">
              <w:rPr>
                <w:sz w:val="20"/>
                <w:szCs w:val="20"/>
                <w:lang w:val="en-US"/>
              </w:rPr>
              <w:t>1.97</w:t>
            </w:r>
          </w:p>
        </w:tc>
        <w:tc>
          <w:tcPr>
            <w:tcW w:w="933" w:type="dxa"/>
          </w:tcPr>
          <w:p w14:paraId="2379C7C6" w14:textId="77777777" w:rsidR="009A1439" w:rsidRPr="00422557" w:rsidRDefault="009A1439" w:rsidP="009A1439">
            <w:pPr>
              <w:rPr>
                <w:rFonts w:ascii="Calibri" w:hAnsi="Calibri"/>
                <w:color w:val="000000"/>
                <w:sz w:val="20"/>
                <w:szCs w:val="20"/>
              </w:rPr>
            </w:pPr>
            <w:r w:rsidRPr="00422557">
              <w:rPr>
                <w:rFonts w:ascii="Calibri" w:hAnsi="Calibri"/>
                <w:color w:val="000000"/>
                <w:sz w:val="20"/>
                <w:szCs w:val="20"/>
              </w:rPr>
              <w:t>112.80</w:t>
            </w:r>
          </w:p>
        </w:tc>
        <w:tc>
          <w:tcPr>
            <w:tcW w:w="4389" w:type="dxa"/>
          </w:tcPr>
          <w:p w14:paraId="11F1B4E6" w14:textId="3D850DDE" w:rsidR="009A1439" w:rsidRPr="00422557" w:rsidRDefault="009A1439" w:rsidP="009A1439">
            <w:pPr>
              <w:rPr>
                <w:sz w:val="20"/>
                <w:szCs w:val="20"/>
                <w:lang w:val="en-US"/>
              </w:rPr>
            </w:pPr>
            <w:r w:rsidRPr="00422557">
              <w:rPr>
                <w:sz w:val="20"/>
                <w:szCs w:val="20"/>
                <w:lang w:val="en-US"/>
              </w:rPr>
              <w:t xml:space="preserve">Global shape, regional mean </w:t>
            </w:r>
            <w:r w:rsidRPr="00422557">
              <w:rPr>
                <w:sz w:val="20"/>
                <w:szCs w:val="20"/>
              </w:rPr>
              <w:fldChar w:fldCharType="begin" w:fldLock="1"/>
            </w:r>
            <w:r w:rsidR="00B12458">
              <w:rPr>
                <w:sz w:val="20"/>
                <w:szCs w:val="20"/>
                <w:lang w:val="en-US"/>
              </w:rPr>
              <w:instrText>ADDIN CSL_CITATION {"citationItems":[{"id":"ITEM-1","itemData":{"DOI":"https://doi.org/10.1016/j.jclepro.2017.02.080","ISSN":"0959-6526","abstract":"The extensive use of materials in building stocks contributes to the scarcity of natural resources and impacts from construction and demolition waste (CDW). Therefore, the concern with the efficient use of materials and CDW management made several countries conducted mapping, analysis and performance improvement in activities related to CDW using Material Flow Analysis (MFA). The city of Rio de Janeiro had a high urban development and building stock growth from the beginning of the last century, in which the amount of material consumed has not been documented. This study presents an MFA approach to assess the materials in-use and further flows of CDW from the residential building stock in the city of Rio de Janeiro. The material in-use was estimated from the extrapolation of the Material Intensities (MI) per different building types to the total constructed area in this city considering land occupation. The building types were modelled from the designs of typical buildings in Brazil. An analysis of urban development supported the estimation of buildings age and their remaining lifetime while national standards supported the time of replacement of building elements during the use phase. Results show that the stock in 2010 had about 78,828,770t of building material with MI between 2.58 and 0.74 t/m2; concrete and aggregates have the higher MI. The Use phase of the buildings will move about 9,807,690t of materials until 2090. These findings support further environmental impacts assessments and decision-making for planning CDW management and strategies for the efficient use of materials.","author":[{"dropping-particle":"","family":"Condeixa","given":"Karina","non-dropping-particle":"","parse-names":false,"suffix":""},{"dropping-particle":"","family":"Haddad","given":"Assed","non-dropping-particle":"","parse-names":false,"suffix":""},{"dropping-particle":"","family":"Boer","given":"Dieter","non-dropping-particle":"","parse-names":false,"suffix":""}],"container-title":"Journal of Cleaner Production","id":"ITEM-1","issued":{"date-parts":[["2017"]]},"page":"1249-1267","title":"Material flow analysis of the residential building stock at the city of Rio de Janeiro","type":"article-journal","volume":"149"},"uris":["http://www.mendeley.com/documents/?uuid=f7e78730-8377-4a81-b96a-de14456f6614"]}],"mendeley":{"formattedCitation":"&lt;sup&gt;25&lt;/sup&gt;","plainTextFormattedCitation":"25","previouslyFormattedCitation":"&lt;sup&gt;25&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25</w:t>
            </w:r>
            <w:r w:rsidRPr="00422557">
              <w:rPr>
                <w:sz w:val="20"/>
                <w:szCs w:val="20"/>
              </w:rPr>
              <w:fldChar w:fldCharType="end"/>
            </w:r>
          </w:p>
        </w:tc>
      </w:tr>
      <w:tr w:rsidR="009A1439" w14:paraId="4787C032" w14:textId="77777777" w:rsidTr="009A1439">
        <w:trPr>
          <w:trHeight w:val="600"/>
        </w:trPr>
        <w:tc>
          <w:tcPr>
            <w:tcW w:w="1792" w:type="dxa"/>
          </w:tcPr>
          <w:p w14:paraId="517C0939" w14:textId="77777777" w:rsidR="009A1439" w:rsidRPr="00422557" w:rsidRDefault="009A1439" w:rsidP="009A1439">
            <w:pPr>
              <w:rPr>
                <w:sz w:val="20"/>
                <w:szCs w:val="20"/>
                <w:lang w:val="en-US"/>
              </w:rPr>
            </w:pPr>
            <w:r w:rsidRPr="00422557">
              <w:rPr>
                <w:sz w:val="20"/>
                <w:szCs w:val="20"/>
                <w:lang w:val="en-US"/>
              </w:rPr>
              <w:t>Rest of South Amerika</w:t>
            </w:r>
          </w:p>
        </w:tc>
        <w:tc>
          <w:tcPr>
            <w:tcW w:w="2521" w:type="dxa"/>
          </w:tcPr>
          <w:p w14:paraId="1E7AAC06" w14:textId="77777777" w:rsidR="009A1439" w:rsidRPr="00422557" w:rsidRDefault="009A1439" w:rsidP="009A1439">
            <w:pPr>
              <w:rPr>
                <w:sz w:val="20"/>
                <w:szCs w:val="20"/>
                <w:lang w:val="en-US"/>
              </w:rPr>
            </w:pPr>
            <w:r w:rsidRPr="00422557">
              <w:rPr>
                <w:sz w:val="20"/>
                <w:szCs w:val="20"/>
                <w:lang w:val="en-US"/>
              </w:rPr>
              <w:t>All</w:t>
            </w:r>
          </w:p>
        </w:tc>
        <w:tc>
          <w:tcPr>
            <w:tcW w:w="840" w:type="dxa"/>
          </w:tcPr>
          <w:p w14:paraId="632618BA" w14:textId="77777777" w:rsidR="009A1439" w:rsidRPr="00422557" w:rsidRDefault="009A1439" w:rsidP="009A1439">
            <w:pPr>
              <w:rPr>
                <w:sz w:val="20"/>
                <w:szCs w:val="20"/>
                <w:lang w:val="en-US"/>
              </w:rPr>
            </w:pPr>
            <w:r w:rsidRPr="00422557">
              <w:rPr>
                <w:sz w:val="20"/>
                <w:szCs w:val="20"/>
                <w:lang w:val="en-US"/>
              </w:rPr>
              <w:t>1.97</w:t>
            </w:r>
          </w:p>
        </w:tc>
        <w:tc>
          <w:tcPr>
            <w:tcW w:w="933" w:type="dxa"/>
          </w:tcPr>
          <w:p w14:paraId="478F7A67" w14:textId="77777777" w:rsidR="009A1439" w:rsidRPr="00422557" w:rsidRDefault="009A1439" w:rsidP="009A1439">
            <w:pPr>
              <w:rPr>
                <w:rFonts w:ascii="Calibri" w:hAnsi="Calibri"/>
                <w:color w:val="000000"/>
                <w:sz w:val="20"/>
                <w:szCs w:val="20"/>
              </w:rPr>
            </w:pPr>
            <w:r w:rsidRPr="00422557">
              <w:rPr>
                <w:rFonts w:ascii="Calibri" w:hAnsi="Calibri"/>
                <w:color w:val="000000"/>
                <w:sz w:val="20"/>
                <w:szCs w:val="20"/>
              </w:rPr>
              <w:t>68.24</w:t>
            </w:r>
          </w:p>
        </w:tc>
        <w:tc>
          <w:tcPr>
            <w:tcW w:w="4389" w:type="dxa"/>
          </w:tcPr>
          <w:p w14:paraId="66578B4C" w14:textId="1463D0E1" w:rsidR="009A1439" w:rsidRPr="00422557" w:rsidRDefault="009A1439" w:rsidP="009A1439">
            <w:pPr>
              <w:rPr>
                <w:sz w:val="20"/>
                <w:szCs w:val="20"/>
                <w:lang w:val="en-US"/>
              </w:rPr>
            </w:pPr>
            <w:r w:rsidRPr="00422557">
              <w:rPr>
                <w:sz w:val="20"/>
                <w:szCs w:val="20"/>
                <w:lang w:val="en-US"/>
              </w:rPr>
              <w:t xml:space="preserve">Global shape, regional mean according to the average of Argentine, Chile, and South-Amerika in </w:t>
            </w:r>
            <w:r w:rsidRPr="00422557">
              <w:rPr>
                <w:sz w:val="20"/>
                <w:szCs w:val="20"/>
              </w:rPr>
              <w:fldChar w:fldCharType="begin" w:fldLock="1"/>
            </w:r>
            <w:r w:rsidR="00B12458">
              <w:rPr>
                <w:sz w:val="20"/>
                <w:szCs w:val="20"/>
                <w:lang w:val="en-US"/>
              </w:rPr>
              <w:instrText>ADDIN CSL_CITATION {"citationItems":[{"id":"ITEM-1","itemData":{"DOI":"https://doi.org/10.1016/j.rser.2013.05.001","ISSN":"1364-0321","abstract":"The last decades, lowering the ecological impact of buildings is receiving increased attention by researchers, policy-makers and companies. Mostly the focus is on reducing energy consumption and the use of eco-friendly materials, but the concept of life-cycle thinking is growing in importance. This paper tries to give an overview of the current situation of Life cycle assessment (LCA) in the construction industry, both of regulatory developments and academic case studies. After a short history of LCA, the focus is on LCA methodology, new standards and frameworks and an extensive selection of recent case studies. Despite some inherent limitations of LCA as an analytic tool and fundamental differences between the individual cases, still some common trends can be indicated. In standard buildings, the use phase contributes up to 90% of the total environmental burdens, mainly due to heating and/or cooling. Due to regulations, new buildings become more energy efficient, and thereby other phases of the life cycle gain in importance e.g., choice of materials, construction, end-of-life and water use. These research topics deserve more attention, together with economic issues, the improvement of data quality and implementation of probability density distributions.","author":[{"dropping-particle":"","family":"Buyle","given":"Matthias","non-dropping-particle":"","parse-names":false,"suffix":""},{"dropping-particle":"","family":"Braet","given":"Johan","non-dropping-particle":"","parse-names":false,"suffix":""},{"dropping-particle":"","family":"Audenaert","given":"Amaryllis","non-dropping-particle":"","parse-names":false,"suffix":""}],"container-title":"Renewable and Sustainable Energy Reviews","id":"ITEM-1","issued":{"date-parts":[["2013"]]},"page":"379-388","title":"Life cycle assessment in the construction sector: A review","type":"article-journal","volume":"26"},"uris":["http://www.mendeley.com/documents/?uuid=1211648c-f75f-4d1b-85cd-58d3590df2f1"]},{"id":"ITEM-2","itemData":{"DOI":"10.1111/j.1530-9290.2010.00250.x","abstract":"Summary Lifespan is an essential parameter for the accounting and analysis of material stocks and flows, one of the main research topics in industrial ecology. Lifespan is also important as a parameter that portrays the current and historical situation of industrial metabolism, which is an area of interest to industrial ecologists. In the present article, the available information from various reports on product lifespan was reviewed. Although we found a large number of data for many durables, the definition of lifespan in published articles varied, which limited our ability to compare reported values. We therefore first defined lifespan and then compared the international and historical data. We compiled more than 1,300 data sets from various sources and identified some differences among the types of goods and among regions. With the reviewed data noted in this article, we established a database, named LiVES (Lifespan Database for Vehicles, Equipment, and Structures), and will disclose it on the Internet to share the information.","author":[{"dropping-particle":"","family":"Murakami","given":"Shinsuke","non-dropping-particle":"","parse-names":false,"suffix":""},{"dropping-particle":"","family":"Oguchi","given":"Masahiro","non-dropping-particle":"","parse-names":false,"suffix":""},{"dropping-particle":"","family":"Tasaki","given":"Tomohiro","non-dropping-particle":"","parse-names":false,"suffix":""},{"dropping-particle":"","family":"Daigo","given":"Ichiro","non-dropping-particle":"","parse-names":false,"suffix":""},{"dropping-particle":"","family":"Hashimoto","given":"Seiji","non-dropping-particle":"","parse-names":false,"suffix":""}],"container-title":"Journal of Industrial Ecology","id":"ITEM-2","issue":"4","issued":{"date-parts":[["2010"]]},"page":"598-612","title":"Lifespan of Commodities, Part I","type":"article-journal","volume":"14"},"uris":["http://www.mendeley.com/documents/?uuid=6d84f4ca-7f70-4661-9279-0fe2e9dee89f"]},{"id":"ITEM-3","itemData":{"DOI":"https://doi.org/10.1016/j.resconrec.2016.09.028","ISSN":"0921-3449","abstract":"Housing in developing countries is often inadequate due to overcrowding, lack of suitable shelter, lack of sanitation and exposure to natural hazards. The United Nations classifies these conditions into two types of deficit: quantitative and qualitative. Strategies for eliminating housing deficits need to consider the dynamics of the total dwelling stock in order to balance this objective with other goals, such as employment in the construction sector, costs, and environmental impacts. Existing dwelling stock models were developed mainly for developed countries and are not suitable to address housing deficits. Here we use a case study for Colombia’s housing stock to propose a dynamic stock model that incorporates deficit. We analyze the evolution of the stock under twelve scenarios combining three projections for household growth and four trajectories for eliminating deficit. The model is calibrated using census data, UN population projections, and own appraisals of household size, based on historical trends. Our results show that closing all deficits by 2030 would require upgrading 2.8 to 3.3 million existing dwellings and building 3.6 to 6.3 million new dwellings, depending on demographics. This represents an increase of 97–155% in construction activity. Conversely, if deficit stays at the current 31% level, 5.1 to 7.9 million households would be in deficit by 2030.","author":[{"dropping-particle":"","family":"Olaya","given":"Yris","non-dropping-particle":"","parse-names":false,"suffix":""},{"dropping-particle":"","family":"Vásquez","given":"Felipe","non-dropping-particle":"","parse-names":false,"suffix":""},{"dropping-particle":"","family":"Müller","given":"Daniel B","non-dropping-particle":"","parse-names":false,"suffix":""}],"container-title":"Resources, Conservation and Recycling","id":"ITEM-3","issued":{"date-parts":[["2017"]]},"page":"187-199","title":"Dwelling stock dynamics for addressing housing deficit","type":"article-journal","volume":"123"},"uris":["http://www.mendeley.com/documents/?uuid=7cad5706-d3cb-4970-9b3d-ae400af5dd3b"]},{"id":"ITEM-4","itemData":{"abstract":"Eurostat-OECD-survey-of-national-practices-estimating-net-stocks-structures.pdf This report presents the responses to a 2013 Eurostat-OECD survey of national practices for estimating depreciation and net capital stocks (\" wealth stocks \") of dwellings and other buildings and structures in national accounts. The survey, endorsed by the Eurostat-OECD Task Force on land and other non-financial assets, asked national accountants from several countries to provide, for a detailed list of structures, the assumptions and methods used for the perpetual inventory model (PIM). Responses, in general, reflect practices in place in 2013 and part of 2014. It is possible that some countries revised their estimation methods after they responded to the survey. The goal of providing these responses is to promote discussions, facilitate detailed comparisons of PIM assumptions, and provide concrete options for those seeking to produce improved internationally comparable estimates of net stocks of structures and underlying land.","author":[{"dropping-particle":"","family":"OECD","given":"","non-dropping-particle":"","parse-names":false,"suffix":""},{"dropping-particle":"","family":"Eurostat","given":"","non-dropping-particle":"","parse-names":false,"suffix":""}],"container-title":"OECD","id":"ITEM-4","issued":{"date-parts":[["2015"]]},"title":"Eurostat-OECD Survey of National Practices in Estimating Net Stocks of Structures","type":"report"},"uris":["http://www.mendeley.com/documents/?uuid=2e7cd19c-eb2a-436b-a762-c2668401f3ea"]}],"mendeley":{"formattedCitation":"&lt;sup&gt;22–24,26&lt;/sup&gt;","plainTextFormattedCitation":"22–24,26","previouslyFormattedCitation":"&lt;sup&gt;22–24,26&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22–24,26</w:t>
            </w:r>
            <w:r w:rsidRPr="00422557">
              <w:rPr>
                <w:sz w:val="20"/>
                <w:szCs w:val="20"/>
              </w:rPr>
              <w:fldChar w:fldCharType="end"/>
            </w:r>
          </w:p>
        </w:tc>
      </w:tr>
      <w:tr w:rsidR="009A1439" w14:paraId="06FE6734" w14:textId="77777777" w:rsidTr="009A1439">
        <w:trPr>
          <w:trHeight w:val="197"/>
        </w:trPr>
        <w:tc>
          <w:tcPr>
            <w:tcW w:w="1792" w:type="dxa"/>
          </w:tcPr>
          <w:p w14:paraId="3DE512FC" w14:textId="77777777" w:rsidR="009A1439" w:rsidRPr="00422557" w:rsidRDefault="009A1439" w:rsidP="009A1439">
            <w:pPr>
              <w:rPr>
                <w:sz w:val="20"/>
                <w:szCs w:val="20"/>
                <w:lang w:val="en-US"/>
              </w:rPr>
            </w:pPr>
            <w:r w:rsidRPr="00422557">
              <w:rPr>
                <w:sz w:val="20"/>
                <w:szCs w:val="20"/>
                <w:lang w:val="en-US"/>
              </w:rPr>
              <w:t>Southeastern Asia</w:t>
            </w:r>
          </w:p>
        </w:tc>
        <w:tc>
          <w:tcPr>
            <w:tcW w:w="2521" w:type="dxa"/>
          </w:tcPr>
          <w:p w14:paraId="181618B4" w14:textId="77777777" w:rsidR="009A1439" w:rsidRPr="00422557" w:rsidRDefault="009A1439" w:rsidP="009A1439">
            <w:pPr>
              <w:rPr>
                <w:sz w:val="20"/>
                <w:szCs w:val="20"/>
                <w:lang w:val="en-US"/>
              </w:rPr>
            </w:pPr>
            <w:r w:rsidRPr="00422557">
              <w:rPr>
                <w:sz w:val="20"/>
                <w:szCs w:val="20"/>
                <w:lang w:val="en-US"/>
              </w:rPr>
              <w:t>All</w:t>
            </w:r>
          </w:p>
        </w:tc>
        <w:tc>
          <w:tcPr>
            <w:tcW w:w="840" w:type="dxa"/>
            <w:vAlign w:val="bottom"/>
          </w:tcPr>
          <w:p w14:paraId="22BE6BFD" w14:textId="77777777" w:rsidR="009A1439" w:rsidRPr="00422557" w:rsidRDefault="009A1439" w:rsidP="009A1439">
            <w:pPr>
              <w:rPr>
                <w:sz w:val="20"/>
                <w:szCs w:val="20"/>
                <w:lang w:val="en-US"/>
              </w:rPr>
            </w:pPr>
            <w:r w:rsidRPr="00422557">
              <w:rPr>
                <w:sz w:val="20"/>
                <w:szCs w:val="20"/>
                <w:lang w:val="en-US"/>
              </w:rPr>
              <w:t>1.97</w:t>
            </w:r>
          </w:p>
        </w:tc>
        <w:tc>
          <w:tcPr>
            <w:tcW w:w="933" w:type="dxa"/>
            <w:vAlign w:val="bottom"/>
          </w:tcPr>
          <w:p w14:paraId="7E417E08" w14:textId="77777777" w:rsidR="009A1439" w:rsidRPr="00422557" w:rsidRDefault="009A1439" w:rsidP="009A1439">
            <w:pPr>
              <w:rPr>
                <w:rFonts w:ascii="Calibri" w:hAnsi="Calibri"/>
                <w:color w:val="000000"/>
                <w:sz w:val="20"/>
                <w:szCs w:val="20"/>
                <w:lang w:val="en-US"/>
              </w:rPr>
            </w:pPr>
            <w:r w:rsidRPr="00422557">
              <w:rPr>
                <w:rFonts w:ascii="Calibri" w:hAnsi="Calibri"/>
                <w:color w:val="000000"/>
                <w:sz w:val="20"/>
                <w:szCs w:val="20"/>
                <w:lang w:val="en-US"/>
              </w:rPr>
              <w:t>56.40</w:t>
            </w:r>
          </w:p>
        </w:tc>
        <w:tc>
          <w:tcPr>
            <w:tcW w:w="4389" w:type="dxa"/>
          </w:tcPr>
          <w:p w14:paraId="318CF0CB" w14:textId="021980D0" w:rsidR="009A1439" w:rsidRPr="00422557" w:rsidRDefault="009A1439" w:rsidP="009A1439">
            <w:pPr>
              <w:rPr>
                <w:sz w:val="20"/>
                <w:szCs w:val="20"/>
                <w:lang w:val="en-US"/>
              </w:rPr>
            </w:pPr>
            <w:r w:rsidRPr="00422557">
              <w:rPr>
                <w:sz w:val="20"/>
                <w:szCs w:val="20"/>
                <w:lang w:val="en-US"/>
              </w:rPr>
              <w:t xml:space="preserve">Global shape, regional mean </w:t>
            </w:r>
            <w:r w:rsidRPr="00422557">
              <w:rPr>
                <w:sz w:val="20"/>
                <w:szCs w:val="20"/>
              </w:rPr>
              <w:fldChar w:fldCharType="begin" w:fldLock="1"/>
            </w:r>
            <w:r w:rsidR="00B12458">
              <w:rPr>
                <w:sz w:val="20"/>
                <w:szCs w:val="20"/>
                <w:lang w:val="en-US"/>
              </w:rPr>
              <w:instrText>ADDIN CSL_CITATION {"citationItems":[{"id":"ITEM-1","itemData":{"DOI":"https://doi.org/10.1016/j.rser.2013.05.001","ISSN":"1364-0321","abstract":"The last decades, lowering the ecological impact of buildings is receiving increased attention by researchers, policy-makers and companies. Mostly the focus is on reducing energy consumption and the use of eco-friendly materials, but the concept of life-cycle thinking is growing in importance. This paper tries to give an overview of the current situation of Life cycle assessment (LCA) in the construction industry, both of regulatory developments and academic case studies. After a short history of LCA, the focus is on LCA methodology, new standards and frameworks and an extensive selection of recent case studies. Despite some inherent limitations of LCA as an analytic tool and fundamental differences between the individual cases, still some common trends can be indicated. In standard buildings, the use phase contributes up to 90% of the total environmental burdens, mainly due to heating and/or cooling. Due to regulations, new buildings become more energy efficient, and thereby other phases of the life cycle gain in importance e.g., choice of materials, construction, end-of-life and water use. These research topics deserve more attention, together with economic issues, the improvement of data quality and implementation of probability density distributions.","author":[{"dropping-particle":"","family":"Buyle","given":"Matthias","non-dropping-particle":"","parse-names":false,"suffix":""},{"dropping-particle":"","family":"Braet","given":"Johan","non-dropping-particle":"","parse-names":false,"suffix":""},{"dropping-particle":"","family":"Audenaert","given":"Amaryllis","non-dropping-particle":"","parse-names":false,"suffix":""}],"container-title":"Renewable and Sustainable Energy Reviews","id":"ITEM-1","issued":{"date-parts":[["2013"]]},"page":"379-388","title":"Life cycle assessment in the construction sector: A review","type":"article-journal","volume":"26"},"uris":["http://www.mendeley.com/documents/?uuid=1211648c-f75f-4d1b-85cd-58d3590df2f1"]}],"mendeley":{"formattedCitation":"&lt;sup&gt;22&lt;/sup&gt;","plainTextFormattedCitation":"22","previouslyFormattedCitation":"&lt;sup&gt;22&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22</w:t>
            </w:r>
            <w:r w:rsidRPr="00422557">
              <w:rPr>
                <w:sz w:val="20"/>
                <w:szCs w:val="20"/>
              </w:rPr>
              <w:fldChar w:fldCharType="end"/>
            </w:r>
          </w:p>
        </w:tc>
      </w:tr>
      <w:tr w:rsidR="009A1439" w14:paraId="6994463C" w14:textId="77777777" w:rsidTr="009A1439">
        <w:trPr>
          <w:trHeight w:val="394"/>
        </w:trPr>
        <w:tc>
          <w:tcPr>
            <w:tcW w:w="1792" w:type="dxa"/>
          </w:tcPr>
          <w:p w14:paraId="68C9E5FE" w14:textId="77777777" w:rsidR="009A1439" w:rsidRPr="00422557" w:rsidRDefault="009A1439" w:rsidP="009A1439">
            <w:pPr>
              <w:rPr>
                <w:sz w:val="20"/>
                <w:szCs w:val="20"/>
                <w:lang w:val="en-US"/>
              </w:rPr>
            </w:pPr>
            <w:r w:rsidRPr="00422557">
              <w:rPr>
                <w:sz w:val="20"/>
                <w:szCs w:val="20"/>
                <w:lang w:val="en-US"/>
              </w:rPr>
              <w:t>Oceania</w:t>
            </w:r>
          </w:p>
        </w:tc>
        <w:tc>
          <w:tcPr>
            <w:tcW w:w="2521" w:type="dxa"/>
          </w:tcPr>
          <w:p w14:paraId="248932A4" w14:textId="77777777" w:rsidR="009A1439" w:rsidRPr="00422557" w:rsidRDefault="009A1439" w:rsidP="009A1439">
            <w:pPr>
              <w:rPr>
                <w:sz w:val="20"/>
                <w:szCs w:val="20"/>
                <w:lang w:val="en-US"/>
              </w:rPr>
            </w:pPr>
            <w:r w:rsidRPr="00422557">
              <w:rPr>
                <w:sz w:val="20"/>
                <w:szCs w:val="20"/>
                <w:lang w:val="en-US"/>
              </w:rPr>
              <w:t>All</w:t>
            </w:r>
          </w:p>
        </w:tc>
        <w:tc>
          <w:tcPr>
            <w:tcW w:w="840" w:type="dxa"/>
          </w:tcPr>
          <w:p w14:paraId="3E689099" w14:textId="77777777" w:rsidR="009A1439" w:rsidRPr="00422557" w:rsidRDefault="009A1439" w:rsidP="009A1439">
            <w:pPr>
              <w:rPr>
                <w:sz w:val="20"/>
                <w:szCs w:val="20"/>
                <w:lang w:val="en-US"/>
              </w:rPr>
            </w:pPr>
            <w:r w:rsidRPr="00422557">
              <w:rPr>
                <w:sz w:val="20"/>
                <w:szCs w:val="20"/>
                <w:lang w:val="en-US"/>
              </w:rPr>
              <w:t>1.97</w:t>
            </w:r>
          </w:p>
        </w:tc>
        <w:tc>
          <w:tcPr>
            <w:tcW w:w="933" w:type="dxa"/>
          </w:tcPr>
          <w:p w14:paraId="4C802150" w14:textId="77777777" w:rsidR="009A1439" w:rsidRPr="00422557" w:rsidRDefault="009A1439" w:rsidP="009A1439">
            <w:pPr>
              <w:rPr>
                <w:rFonts w:ascii="Calibri" w:hAnsi="Calibri"/>
                <w:color w:val="000000"/>
                <w:sz w:val="20"/>
                <w:szCs w:val="20"/>
              </w:rPr>
            </w:pPr>
            <w:r w:rsidRPr="00422557">
              <w:rPr>
                <w:rFonts w:ascii="Calibri" w:hAnsi="Calibri"/>
                <w:color w:val="000000"/>
                <w:sz w:val="20"/>
                <w:szCs w:val="20"/>
              </w:rPr>
              <w:t>94.00</w:t>
            </w:r>
          </w:p>
        </w:tc>
        <w:tc>
          <w:tcPr>
            <w:tcW w:w="4389" w:type="dxa"/>
          </w:tcPr>
          <w:p w14:paraId="6A8ACAD5" w14:textId="7AFFAC5E" w:rsidR="009A1439" w:rsidRPr="00422557" w:rsidRDefault="009A1439" w:rsidP="009A1439">
            <w:pPr>
              <w:rPr>
                <w:sz w:val="20"/>
                <w:szCs w:val="20"/>
                <w:lang w:val="en-US"/>
              </w:rPr>
            </w:pPr>
            <w:r w:rsidRPr="00422557">
              <w:rPr>
                <w:sz w:val="20"/>
                <w:szCs w:val="20"/>
                <w:lang w:val="en-US"/>
              </w:rPr>
              <w:t xml:space="preserve">Global shape, regional mean according to Buyle et al. </w:t>
            </w:r>
            <w:r w:rsidRPr="00422557">
              <w:rPr>
                <w:sz w:val="20"/>
                <w:szCs w:val="20"/>
              </w:rPr>
              <w:fldChar w:fldCharType="begin" w:fldLock="1"/>
            </w:r>
            <w:r w:rsidR="00B12458">
              <w:rPr>
                <w:sz w:val="20"/>
                <w:szCs w:val="20"/>
                <w:lang w:val="en-US"/>
              </w:rPr>
              <w:instrText>ADDIN CSL_CITATION {"citationItems":[{"id":"ITEM-1","itemData":{"DOI":"https://doi.org/10.1016/j.rser.2013.05.001","ISSN":"1364-0321","abstract":"The last decades, lowering the ecological impact of buildings is receiving increased attention by researchers, policy-makers and companies. Mostly the focus is on reducing energy consumption and the use of eco-friendly materials, but the concept of life-cycle thinking is growing in importance. This paper tries to give an overview of the current situation of Life cycle assessment (LCA) in the construction industry, both of regulatory developments and academic case studies. After a short history of LCA, the focus is on LCA methodology, new standards and frameworks and an extensive selection of recent case studies. Despite some inherent limitations of LCA as an analytic tool and fundamental differences between the individual cases, still some common trends can be indicated. In standard buildings, the use phase contributes up to 90% of the total environmental burdens, mainly due to heating and/or cooling. Due to regulations, new buildings become more energy efficient, and thereby other phases of the life cycle gain in importance e.g., choice of materials, construction, end-of-life and water use. These research topics deserve more attention, together with economic issues, the improvement of data quality and implementation of probability density distributions.","author":[{"dropping-particle":"","family":"Buyle","given":"Matthias","non-dropping-particle":"","parse-names":false,"suffix":""},{"dropping-particle":"","family":"Braet","given":"Johan","non-dropping-particle":"","parse-names":false,"suffix":""},{"dropping-particle":"","family":"Audenaert","given":"Amaryllis","non-dropping-particle":"","parse-names":false,"suffix":""}],"container-title":"Renewable and Sustainable Energy Reviews","id":"ITEM-1","issued":{"date-parts":[["2013"]]},"page":"379-388","title":"Life cycle assessment in the construction sector: A review","type":"article-journal","volume":"26"},"uris":["http://www.mendeley.com/documents/?uuid=1211648c-f75f-4d1b-85cd-58d3590df2f1"]}],"mendeley":{"formattedCitation":"&lt;sup&gt;22&lt;/sup&gt;","plainTextFormattedCitation":"22","previouslyFormattedCitation":"&lt;sup&gt;22&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22</w:t>
            </w:r>
            <w:r w:rsidRPr="00422557">
              <w:rPr>
                <w:sz w:val="20"/>
                <w:szCs w:val="20"/>
              </w:rPr>
              <w:fldChar w:fldCharType="end"/>
            </w:r>
            <w:r w:rsidRPr="00422557">
              <w:rPr>
                <w:sz w:val="20"/>
                <w:szCs w:val="20"/>
                <w:lang w:val="en-US"/>
              </w:rPr>
              <w:t xml:space="preserve"> and Stephan et al.</w:t>
            </w:r>
            <w:r w:rsidRPr="00422557">
              <w:rPr>
                <w:sz w:val="20"/>
                <w:szCs w:val="20"/>
              </w:rPr>
              <w:fldChar w:fldCharType="begin" w:fldLock="1"/>
            </w:r>
            <w:r w:rsidR="00B12458">
              <w:rPr>
                <w:sz w:val="20"/>
                <w:szCs w:val="20"/>
                <w:lang w:val="en-US"/>
              </w:rPr>
              <w:instrText>ADDIN CSL_CITATION {"citationItems":[{"id":"ITEM-1","itemData":{"DOI":"https://doi.org/10.1016/j.buildenv.2016.11.043","ISSN":"0360-1323","abstract":"Cities and their building stocks result in huge environmental impacts which are critical to reduce. However, the majority of existing studies focus on operational requirements or on material stocks. To date, very few studies have quantified embodied environmental requirements of building stocks and spatialised them. This study describes a bottom-up approach to spatially model building stocks and quantify their embodied environmental requirements. It uses a highly disaggregated approach where each building's geometry is modelled and used to derive a bill of quantities. Construction assemblies relevant to each building archetype (derived based on land-use, age and height) are defined using expert knowledge in construction. The initial and recurrent embodied energy, water and greenhouse gas emissions associated with each material within each assembly are calculated using a comprehensive hybrid analysis technique. This model is applied to all buildings of the City of Melbourne, Australia. Results show that rebuilding the City of Melbourne's building stock today would require 904 kt of materials/km2 (total: 32 725 kt), 10 PJ/km2 (total: 362 PJ), 17.7 Million m3 of embodied water/km2 (total: 640.74 Million m3) and would emit 605 ktCO2e/km2 (total: 23 530 ktCO2e). This study demonstrates the breadth of the model outputs, including material stocks maps and breakdowns of life cycle embodied requirements by material, construction assembly, building and building typology at the city level. Using such model, city councils can better manage building stocks in terms of waste processing, urban mining and circular economy, as well as reducing embodied environmental requirements over time.","author":[{"dropping-particle":"","family":"Stephan","given":"André","non-dropping-particle":"","parse-names":false,"suffix":""},{"dropping-particle":"","family":"Athanassiadis","given":"Aristide","non-dropping-particle":"","parse-names":false,"suffix":""}],"container-title":"Building and Environment","id":"ITEM-1","issued":{"date-parts":[["2017"]]},"page":"187-202","title":"Quantifying and mapping embodied environmental requirements of urban building stocks","type":"article-journal","volume":"114"},"uris":["http://www.mendeley.com/documents/?uuid=77cb7822-3999-421c-b6b3-fa8aa6c504b5"]}],"mendeley":{"formattedCitation":"&lt;sup&gt;27&lt;/sup&gt;","plainTextFormattedCitation":"27","previouslyFormattedCitation":"&lt;sup&gt;27&lt;/sup&gt;"},"properties":{"noteIndex":0},"schema":"https://github.com/citation-style-language/schema/raw/master/csl-citation.json"}</w:instrText>
            </w:r>
            <w:r w:rsidRPr="00422557">
              <w:rPr>
                <w:sz w:val="20"/>
                <w:szCs w:val="20"/>
              </w:rPr>
              <w:fldChar w:fldCharType="separate"/>
            </w:r>
            <w:r w:rsidRPr="00445553">
              <w:rPr>
                <w:noProof/>
                <w:sz w:val="20"/>
                <w:szCs w:val="20"/>
                <w:vertAlign w:val="superscript"/>
                <w:lang w:val="en-US"/>
              </w:rPr>
              <w:t>27</w:t>
            </w:r>
            <w:r w:rsidRPr="00422557">
              <w:rPr>
                <w:sz w:val="20"/>
                <w:szCs w:val="20"/>
              </w:rPr>
              <w:fldChar w:fldCharType="end"/>
            </w:r>
          </w:p>
        </w:tc>
      </w:tr>
      <w:tr w:rsidR="009A1439" w14:paraId="75013241" w14:textId="77777777" w:rsidTr="009A1439">
        <w:trPr>
          <w:trHeight w:val="995"/>
        </w:trPr>
        <w:tc>
          <w:tcPr>
            <w:tcW w:w="1792" w:type="dxa"/>
          </w:tcPr>
          <w:p w14:paraId="78576B79" w14:textId="77777777" w:rsidR="009A1439" w:rsidRPr="00422557" w:rsidRDefault="009A1439" w:rsidP="009A1439">
            <w:pPr>
              <w:rPr>
                <w:sz w:val="20"/>
                <w:szCs w:val="20"/>
                <w:lang w:val="en-US"/>
              </w:rPr>
            </w:pPr>
            <w:r>
              <w:rPr>
                <w:sz w:val="20"/>
                <w:szCs w:val="20"/>
                <w:lang w:val="en-US"/>
              </w:rPr>
              <w:t>G</w:t>
            </w:r>
            <w:r w:rsidRPr="00422557">
              <w:rPr>
                <w:sz w:val="20"/>
                <w:szCs w:val="20"/>
                <w:lang w:val="en-US"/>
              </w:rPr>
              <w:t>lobal Average</w:t>
            </w:r>
          </w:p>
        </w:tc>
        <w:tc>
          <w:tcPr>
            <w:tcW w:w="2521" w:type="dxa"/>
          </w:tcPr>
          <w:p w14:paraId="4CC2EE94" w14:textId="77777777" w:rsidR="009A1439" w:rsidRPr="00422557" w:rsidRDefault="009A1439" w:rsidP="009A1439">
            <w:pPr>
              <w:rPr>
                <w:sz w:val="20"/>
                <w:szCs w:val="20"/>
                <w:lang w:val="en-US"/>
              </w:rPr>
            </w:pPr>
            <w:r w:rsidRPr="00422557">
              <w:rPr>
                <w:sz w:val="20"/>
                <w:szCs w:val="20"/>
                <w:lang w:val="en-US"/>
              </w:rPr>
              <w:t>All</w:t>
            </w:r>
          </w:p>
        </w:tc>
        <w:tc>
          <w:tcPr>
            <w:tcW w:w="840" w:type="dxa"/>
            <w:vAlign w:val="bottom"/>
          </w:tcPr>
          <w:p w14:paraId="6D4773B6" w14:textId="77777777" w:rsidR="009A1439" w:rsidRPr="00422557" w:rsidRDefault="009A1439" w:rsidP="009A1439">
            <w:pPr>
              <w:rPr>
                <w:rFonts w:ascii="Calibri" w:hAnsi="Calibri"/>
                <w:color w:val="000000"/>
                <w:sz w:val="20"/>
                <w:szCs w:val="20"/>
                <w:lang w:val="en-US"/>
              </w:rPr>
            </w:pPr>
            <w:r w:rsidRPr="00422557">
              <w:rPr>
                <w:rFonts w:ascii="Calibri" w:hAnsi="Calibri"/>
                <w:color w:val="000000"/>
                <w:sz w:val="20"/>
                <w:szCs w:val="20"/>
                <w:lang w:val="en-US"/>
              </w:rPr>
              <w:t>1.97</w:t>
            </w:r>
          </w:p>
          <w:p w14:paraId="692F060D" w14:textId="77777777" w:rsidR="009A1439" w:rsidRPr="00422557" w:rsidRDefault="009A1439" w:rsidP="009A1439">
            <w:pPr>
              <w:rPr>
                <w:sz w:val="20"/>
                <w:szCs w:val="20"/>
                <w:lang w:val="en-US"/>
              </w:rPr>
            </w:pPr>
          </w:p>
        </w:tc>
        <w:tc>
          <w:tcPr>
            <w:tcW w:w="933" w:type="dxa"/>
            <w:vAlign w:val="bottom"/>
          </w:tcPr>
          <w:p w14:paraId="4C080128" w14:textId="77777777" w:rsidR="009A1439" w:rsidRPr="00422557" w:rsidRDefault="009A1439" w:rsidP="009A1439">
            <w:pPr>
              <w:rPr>
                <w:rFonts w:ascii="Calibri" w:hAnsi="Calibri"/>
                <w:color w:val="000000"/>
                <w:sz w:val="20"/>
                <w:szCs w:val="20"/>
                <w:lang w:val="en-US"/>
              </w:rPr>
            </w:pPr>
            <w:r w:rsidRPr="00422557">
              <w:rPr>
                <w:rFonts w:ascii="Calibri" w:hAnsi="Calibri"/>
                <w:color w:val="000000"/>
                <w:sz w:val="20"/>
                <w:szCs w:val="20"/>
                <w:lang w:val="en-US"/>
              </w:rPr>
              <w:t>67.34</w:t>
            </w:r>
          </w:p>
          <w:p w14:paraId="6A212C9A" w14:textId="77777777" w:rsidR="009A1439" w:rsidRPr="00422557" w:rsidRDefault="009A1439" w:rsidP="009A1439">
            <w:pPr>
              <w:rPr>
                <w:sz w:val="20"/>
                <w:szCs w:val="20"/>
                <w:lang w:val="en-US"/>
              </w:rPr>
            </w:pPr>
          </w:p>
        </w:tc>
        <w:tc>
          <w:tcPr>
            <w:tcW w:w="4389" w:type="dxa"/>
          </w:tcPr>
          <w:p w14:paraId="15B8FE51" w14:textId="77777777" w:rsidR="009A1439" w:rsidRPr="00422557" w:rsidRDefault="009A1439" w:rsidP="009A1439">
            <w:pPr>
              <w:rPr>
                <w:sz w:val="20"/>
                <w:szCs w:val="20"/>
                <w:lang w:val="en-US"/>
              </w:rPr>
            </w:pPr>
            <w:r w:rsidRPr="00422557">
              <w:rPr>
                <w:sz w:val="20"/>
                <w:szCs w:val="20"/>
                <w:lang w:val="en-US"/>
              </w:rPr>
              <w:t>These lifetime parameters are applied when no information is available, it is a constructed average of parameters from 5 regions, being Japan, China, US, East &amp; Western Europe. (R</w:t>
            </w:r>
            <w:r w:rsidRPr="00422557">
              <w:rPr>
                <w:sz w:val="20"/>
                <w:szCs w:val="20"/>
                <w:vertAlign w:val="superscript"/>
                <w:lang w:val="en-US"/>
              </w:rPr>
              <w:t>2</w:t>
            </w:r>
            <w:r w:rsidRPr="00422557">
              <w:rPr>
                <w:sz w:val="20"/>
                <w:szCs w:val="20"/>
                <w:lang w:val="en-US"/>
              </w:rPr>
              <w:t xml:space="preserve"> = 0.994)</w:t>
            </w:r>
          </w:p>
        </w:tc>
      </w:tr>
    </w:tbl>
    <w:p w14:paraId="70541D08" w14:textId="3910DAF3" w:rsidR="009A1439" w:rsidRDefault="009A1439" w:rsidP="00422557">
      <w:pPr>
        <w:rPr>
          <w:i/>
          <w:sz w:val="20"/>
        </w:rPr>
      </w:pPr>
      <w:r>
        <w:rPr>
          <w:i/>
          <w:sz w:val="20"/>
        </w:rPr>
        <w:t>T</w:t>
      </w:r>
      <w:r w:rsidR="00C54645" w:rsidRPr="00C54645">
        <w:rPr>
          <w:i/>
          <w:sz w:val="20"/>
        </w:rPr>
        <w:t xml:space="preserve">able S.1. Weibull parameters describing the lifetime </w:t>
      </w:r>
      <w:r w:rsidR="00C54645">
        <w:rPr>
          <w:i/>
          <w:sz w:val="20"/>
        </w:rPr>
        <w:t xml:space="preserve">distributions used. Where possible, we used lifetime estimates specific to the building type. </w:t>
      </w:r>
      <w:r>
        <w:rPr>
          <w:i/>
          <w:sz w:val="20"/>
        </w:rPr>
        <w:br/>
      </w:r>
    </w:p>
    <w:p w14:paraId="1854FFFE" w14:textId="2BFF1B81" w:rsidR="00BA01AD" w:rsidRDefault="009A1439" w:rsidP="00422557">
      <w:pPr>
        <w:rPr>
          <w:i/>
          <w:sz w:val="20"/>
          <w:szCs w:val="20"/>
        </w:rPr>
      </w:pPr>
      <w:r w:rsidRPr="00422557">
        <w:rPr>
          <w:i/>
          <w:noProof/>
          <w:sz w:val="20"/>
        </w:rPr>
        <w:lastRenderedPageBreak/>
        <w:drawing>
          <wp:anchor distT="0" distB="0" distL="114300" distR="114300" simplePos="0" relativeHeight="251810816" behindDoc="0" locked="0" layoutInCell="1" allowOverlap="1" wp14:anchorId="1463850A" wp14:editId="0E68343D">
            <wp:simplePos x="0" y="0"/>
            <wp:positionH relativeFrom="margin">
              <wp:align>left</wp:align>
            </wp:positionH>
            <wp:positionV relativeFrom="paragraph">
              <wp:posOffset>4445</wp:posOffset>
            </wp:positionV>
            <wp:extent cx="4083050" cy="2328545"/>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urope_residential.png"/>
                    <pic:cNvPicPr/>
                  </pic:nvPicPr>
                  <pic:blipFill rotWithShape="1">
                    <a:blip r:embed="rId20" cstate="print">
                      <a:extLst>
                        <a:ext uri="{28A0092B-C50C-407E-A947-70E740481C1C}">
                          <a14:useLocalDpi xmlns:a14="http://schemas.microsoft.com/office/drawing/2010/main" val="0"/>
                        </a:ext>
                      </a:extLst>
                    </a:blip>
                    <a:srcRect l="5287" t="8299" r="8276" b="4813"/>
                    <a:stretch/>
                  </pic:blipFill>
                  <pic:spPr bwMode="auto">
                    <a:xfrm>
                      <a:off x="0" y="0"/>
                      <a:ext cx="4083050" cy="2328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2557" w:rsidRPr="00422557">
        <w:rPr>
          <w:i/>
          <w:sz w:val="20"/>
        </w:rPr>
        <w:t xml:space="preserve">Figure </w:t>
      </w:r>
      <w:r w:rsidR="007B2156">
        <w:rPr>
          <w:i/>
          <w:sz w:val="20"/>
        </w:rPr>
        <w:t>S.</w:t>
      </w:r>
      <w:r w:rsidR="00445553">
        <w:rPr>
          <w:i/>
          <w:sz w:val="20"/>
        </w:rPr>
        <w:t>6</w:t>
      </w:r>
      <w:r w:rsidR="007B2156">
        <w:rPr>
          <w:i/>
          <w:sz w:val="20"/>
        </w:rPr>
        <w:t xml:space="preserve">. Example of fitting a </w:t>
      </w:r>
      <w:r w:rsidR="00422557">
        <w:rPr>
          <w:i/>
          <w:sz w:val="20"/>
        </w:rPr>
        <w:t xml:space="preserve">Weibull distribution to an average of multiple Weibull curves found in literature. This example shows </w:t>
      </w:r>
      <w:r w:rsidR="007B2156">
        <w:rPr>
          <w:i/>
          <w:sz w:val="20"/>
        </w:rPr>
        <w:t xml:space="preserve">the four literature-based Weibull curves for Western Europe in green, the red line is the resulting average for the 4 curves, and the dotted line is the fitted curve used in our model, </w:t>
      </w:r>
      <w:r w:rsidR="006F0111">
        <w:rPr>
          <w:i/>
          <w:sz w:val="20"/>
        </w:rPr>
        <w:t>which fits the average with an R</w:t>
      </w:r>
      <w:r w:rsidR="007B2156">
        <w:rPr>
          <w:i/>
          <w:sz w:val="20"/>
        </w:rPr>
        <w:t xml:space="preserve"> </w:t>
      </w:r>
      <w:r w:rsidR="007B2156">
        <w:rPr>
          <w:i/>
          <w:sz w:val="20"/>
          <w:vertAlign w:val="superscript"/>
        </w:rPr>
        <w:t xml:space="preserve">2 </w:t>
      </w:r>
      <w:r w:rsidR="007B2156">
        <w:t xml:space="preserve">of </w:t>
      </w:r>
      <w:r w:rsidR="007B2156" w:rsidRPr="007B2156">
        <w:rPr>
          <w:i/>
          <w:sz w:val="20"/>
          <w:szCs w:val="20"/>
        </w:rPr>
        <w:t>0.965</w:t>
      </w:r>
      <w:r w:rsidR="007B2156">
        <w:rPr>
          <w:i/>
          <w:sz w:val="20"/>
          <w:szCs w:val="20"/>
        </w:rPr>
        <w:t>.</w:t>
      </w:r>
    </w:p>
    <w:p w14:paraId="74CEF95B" w14:textId="77777777" w:rsidR="009A1439" w:rsidRDefault="009A1439" w:rsidP="00422557">
      <w:pPr>
        <w:rPr>
          <w:i/>
          <w:sz w:val="20"/>
          <w:szCs w:val="20"/>
        </w:rPr>
      </w:pPr>
    </w:p>
    <w:p w14:paraId="24B08136" w14:textId="2489DE2C" w:rsidR="00BA01AD" w:rsidRDefault="00BA01AD" w:rsidP="00BA01AD">
      <w:pPr>
        <w:pStyle w:val="Heading2"/>
      </w:pPr>
      <w:bookmarkStart w:id="6" w:name="_Toc10807388"/>
      <w:r>
        <w:t>3.2 Historic stock development</w:t>
      </w:r>
      <w:bookmarkEnd w:id="6"/>
    </w:p>
    <w:p w14:paraId="581D10DB" w14:textId="5D97FD9D" w:rsidR="00BA01AD" w:rsidRPr="001A185F" w:rsidRDefault="00BA01AD" w:rsidP="00BA01AD">
      <w:r>
        <w:t xml:space="preserve">Since we have no data on the age distribution of the initial stock, we needed to extend the historic time series to derive the age-distribution of buildings based on historic inflow. We did so using the historic population dating back to 1820 based on Bolt et al. </w:t>
      </w:r>
      <w:r>
        <w:fldChar w:fldCharType="begin" w:fldLock="1"/>
      </w:r>
      <w:r w:rsidR="00B12458">
        <w:instrText>ADDIN CSL_CITATION {"citationItems":[{"id":"ITEM-1","itemData":{"URL":"www.ggdc.net/maddison","accessed":{"date-parts":[["2018","11","26"]]},"author":[{"dropping-particle":"","family":"Bolt","given":"Jutta","non-dropping-particle":"","parse-names":false,"suffix":""},{"dropping-particle":"","family":"Inklaar","given":"Robert","non-dropping-particle":"","parse-names":false,"suffix":""},{"dropping-particle":"de","family":"Jong","given":"Herman","non-dropping-particle":"","parse-names":false,"suffix":""},{"dropping-particle":"","family":"Zanden","given":"Jan Luiten","non-dropping-particle":"van","parse-names":false,"suffix":""}],"id":"ITEM-1","issued":{"date-parts":[["2018"]]},"title":"Maddison Project Database, version 2018","type":"webpage"},"uris":["http://www.mendeley.com/documents/?uuid=a2c2aaf0-bb04-4e38-a316-c0a1a695e7fb"]}],"mendeley":{"formattedCitation":"&lt;sup&gt;28&lt;/sup&gt;","plainTextFormattedCitation":"28","previouslyFormattedCitation":"&lt;sup&gt;74&lt;/sup&gt;"},"properties":{"noteIndex":0},"schema":"https://github.com/citation-style-language/schema/raw/master/csl-citation.json"}</w:instrText>
      </w:r>
      <w:r>
        <w:fldChar w:fldCharType="separate"/>
      </w:r>
      <w:r w:rsidR="00B12458" w:rsidRPr="00B12458">
        <w:rPr>
          <w:noProof/>
          <w:vertAlign w:val="superscript"/>
        </w:rPr>
        <w:t>28</w:t>
      </w:r>
      <w:r>
        <w:fldChar w:fldCharType="end"/>
      </w:r>
      <w:r>
        <w:t xml:space="preserve">, and an additional 100 years of linear increase in population from 0 in 1720. During this model-setup period, we also assumed that the per capita floor space increased at the average global rate found in the first ten years of the IMAGE data (about 1% per year). For the development of the share of urban population before 1971 a similar approach was used, but based on regionally specific annual growth-rate. Both for the per capita floor space and the urban population fraction a minimum was maintained based on the lowest regional value in 1971. To assess the viability of these historic model assumptions, we checked whether our model was able to re-create the known age-distribution of the building stock in two European test-cases (See SI for an elaboration). The model managed successfully, but to ensure a proper fit, both test-cases required relatively high lifetimes, compared to those found in Table 3 in the main text. This suggests that some of the mean building lifetimes found in literature could be rather low. </w:t>
      </w:r>
    </w:p>
    <w:p w14:paraId="0AE70FB5" w14:textId="5D52501E" w:rsidR="00BA01AD" w:rsidRPr="00BA01AD" w:rsidRDefault="00BA01AD" w:rsidP="00BA01AD"/>
    <w:p w14:paraId="73790F3A" w14:textId="585D7378" w:rsidR="00CE2250" w:rsidRDefault="009649B6" w:rsidP="009A1439">
      <w:pPr>
        <w:pStyle w:val="Heading2"/>
      </w:pPr>
      <w:bookmarkStart w:id="7" w:name="_Toc10807389"/>
      <w:r>
        <w:t>3.</w:t>
      </w:r>
      <w:r w:rsidR="00E421FB">
        <w:t>3</w:t>
      </w:r>
      <w:r>
        <w:t xml:space="preserve"> Lifetime verification</w:t>
      </w:r>
      <w:bookmarkEnd w:id="7"/>
    </w:p>
    <w:p w14:paraId="6B0C055D" w14:textId="71233C4E" w:rsidR="00104017" w:rsidRDefault="009C11EF" w:rsidP="00C54645">
      <w:r>
        <w:t xml:space="preserve">We performed a model verification exercise, in which we tested assumptions on the historical model setup </w:t>
      </w:r>
      <w:r w:rsidRPr="000554B0">
        <w:t>(Section 2.2.2 of the main text) as well as the lifetime assumptions for residential buildings. We were a</w:t>
      </w:r>
      <w:r w:rsidR="00E317AA" w:rsidRPr="000554B0">
        <w:t>ble to find two sources</w:t>
      </w:r>
      <w:r w:rsidR="00E317AA">
        <w:t xml:space="preserve"> describing the age distribution of residential buildings in great detail. One for the Netherlands in the year 2018 </w:t>
      </w:r>
      <w:r w:rsidR="00E317AA">
        <w:fldChar w:fldCharType="begin" w:fldLock="1"/>
      </w:r>
      <w:r w:rsidR="00B12458">
        <w:instrText>ADDIN CSL_CITATION {"citationItems":[{"id":"ITEM-1","itemData":{"URL":"https://zakelijk.kadaster.nl/basisregistratie-adressen-en-gebouwen","accessed":{"date-parts":[["2019","1","23"]]},"author":[{"dropping-particle":"","family":"Kadaster","given":"","non-dropping-particle":"","parse-names":false,"suffix":""}],"id":"ITEM-1","issued":{"date-parts":[["2018"]]},"title":"Basisadministratie Adressen en Gebouwen","type":"webpage"},"uris":["http://www.mendeley.com/documents/?uuid=aae0e9b7-5510-4f60-8091-6049642e6143"]}],"mendeley":{"formattedCitation":"&lt;sup&gt;29&lt;/sup&gt;","plainTextFormattedCitation":"29","previouslyFormattedCitation":"&lt;sup&gt;28&lt;/sup&gt;"},"properties":{"noteIndex":0},"schema":"https://github.com/citation-style-language/schema/raw/master/csl-citation.json"}</w:instrText>
      </w:r>
      <w:r w:rsidR="00E317AA">
        <w:fldChar w:fldCharType="separate"/>
      </w:r>
      <w:r w:rsidR="00B12458" w:rsidRPr="00B12458">
        <w:rPr>
          <w:noProof/>
          <w:vertAlign w:val="superscript"/>
        </w:rPr>
        <w:t>29</w:t>
      </w:r>
      <w:r w:rsidR="00E317AA">
        <w:fldChar w:fldCharType="end"/>
      </w:r>
      <w:r w:rsidR="00C04248">
        <w:t xml:space="preserve"> and the other for Western Europe </w:t>
      </w:r>
      <w:r w:rsidR="00E317AA">
        <w:t xml:space="preserve">as a whole in the year 2010 </w:t>
      </w:r>
      <w:r w:rsidR="00E317AA">
        <w:fldChar w:fldCharType="begin" w:fldLock="1"/>
      </w:r>
      <w:r w:rsidR="00B12458">
        <w:instrText>ADDIN CSL_CITATION {"citationItems":[{"id":"ITEM-1","itemData":{"DOI":"10.1002/hep.21180","ISBN":"9171478655","ISSN":"0270-9139 (Print)","PMID":"16729306","abstract":"The Hague: Edited by Kees Dol and Marietta Haffner OTB Research Institute for the Built Environment, Delft University of Technology September 2010","author":[{"dropping-particle":"","family":"Dol","given":"Kees","non-dropping-particle":"","parse-names":false,"suffix":""},{"dropping-particle":"","family":"Haffner","given":"Marietta","non-dropping-particle":"","parse-names":false,"suffix":""}],"container-title":"Delft University of Technology","id":"ITEM-1","issued":{"date-parts":[["2010"]]},"title":"Housing Statistics in the European Union 2010","type":"report"},"uris":["http://www.mendeley.com/documents/?uuid=e5ac9418-8444-4fe8-9095-4355d8f3ed60"]}],"mendeley":{"formattedCitation":"&lt;sup&gt;30&lt;/sup&gt;","plainTextFormattedCitation":"30","previouslyFormattedCitation":"&lt;sup&gt;29&lt;/sup&gt;"},"properties":{"noteIndex":0},"schema":"https://github.com/citation-style-language/schema/raw/master/csl-citation.json"}</w:instrText>
      </w:r>
      <w:r w:rsidR="00E317AA">
        <w:fldChar w:fldCharType="separate"/>
      </w:r>
      <w:r w:rsidR="00B12458" w:rsidRPr="00B12458">
        <w:rPr>
          <w:noProof/>
          <w:vertAlign w:val="superscript"/>
        </w:rPr>
        <w:t>30</w:t>
      </w:r>
      <w:r w:rsidR="00E317AA">
        <w:fldChar w:fldCharType="end"/>
      </w:r>
      <w:r w:rsidR="00E317AA">
        <w:t>. Given the age-structure of the building stock for these regions and years, we were able to see whether the model is able to re-create these numbers. We thus run our model given the</w:t>
      </w:r>
      <w:r w:rsidR="00C04248">
        <w:t xml:space="preserve"> historic assumptions as described in the main text </w:t>
      </w:r>
      <w:r w:rsidR="00F219D1">
        <w:t xml:space="preserve">, </w:t>
      </w:r>
      <w:r w:rsidR="00FA5E61">
        <w:t>lifetimes as found in the literature</w:t>
      </w:r>
      <w:r w:rsidR="00F219D1">
        <w:t xml:space="preserve"> and historic population development </w:t>
      </w:r>
      <w:r w:rsidR="00F219D1" w:rsidRPr="000554B0">
        <w:t>based on</w:t>
      </w:r>
      <w:r w:rsidR="00070E65" w:rsidRPr="000554B0">
        <w:t xml:space="preserve"> Bolt et al. </w:t>
      </w:r>
      <w:r w:rsidR="00070E65" w:rsidRPr="000554B0">
        <w:fldChar w:fldCharType="begin" w:fldLock="1"/>
      </w:r>
      <w:r w:rsidR="00B12458">
        <w:instrText>ADDIN CSL_CITATION {"citationItems":[{"id":"ITEM-1","itemData":{"URL":"www.ggdc.net/maddison","accessed":{"date-parts":[["2018","11","26"]]},"author":[{"dropping-particle":"","family":"Bolt","given":"Jutta","non-dropping-particle":"","parse-names":false,"suffix":""},{"dropping-particle":"","family":"Inklaar","given":"Robert","non-dropping-particle":"","parse-names":false,"suffix":""},{"dropping-particle":"de","family":"Jong","given":"Herman","non-dropping-particle":"","parse-names":false,"suffix":""},{"dropping-particle":"","family":"Zanden","given":"Jan Luiten","non-dropping-particle":"van","parse-names":false,"suffix":""}],"id":"ITEM-1","issued":{"date-parts":[["2018"]]},"title":"Maddison Project Database, version 2018","type":"webpage"},"uris":["http://www.mendeley.com/documents/?uuid=a2c2aaf0-bb04-4e38-a316-c0a1a695e7fb"]}],"mendeley":{"formattedCitation":"&lt;sup&gt;28&lt;/sup&gt;","plainTextFormattedCitation":"28","previouslyFormattedCitation":"&lt;sup&gt;30&lt;/sup&gt;"},"properties":{"noteIndex":0},"schema":"https://github.com/citation-style-language/schema/raw/master/csl-citation.json"}</w:instrText>
      </w:r>
      <w:r w:rsidR="00070E65" w:rsidRPr="000554B0">
        <w:fldChar w:fldCharType="separate"/>
      </w:r>
      <w:r w:rsidR="00B12458" w:rsidRPr="00B12458">
        <w:rPr>
          <w:noProof/>
          <w:vertAlign w:val="superscript"/>
        </w:rPr>
        <w:t>28</w:t>
      </w:r>
      <w:r w:rsidR="00070E65" w:rsidRPr="000554B0">
        <w:fldChar w:fldCharType="end"/>
      </w:r>
      <w:r w:rsidR="00F219D1" w:rsidRPr="000554B0">
        <w:t xml:space="preserve"> </w:t>
      </w:r>
      <w:r w:rsidR="00FA5E61" w:rsidRPr="000554B0">
        <w:t xml:space="preserve">. The Weibull parameters for Western Europe are the same as used in the main model (see Table 3 in the main text), while for the Netherlands we used the same shape parameter, but an adjusted scale parameter, corresponding to an average lifetime of 120 years for residential building, based on Sandberg et al. </w:t>
      </w:r>
      <w:r w:rsidR="00890C15" w:rsidRPr="000554B0">
        <w:fldChar w:fldCharType="begin" w:fldLock="1"/>
      </w:r>
      <w:r w:rsidR="00B12458">
        <w:instrText>ADDIN CSL_CITATION {"citationItems":[{"id":"ITEM-1","itemData":{"DOI":"https://doi.org/10.1016/j.enbuild.2014.09.028","ISSN":"0378-7788","abstract":"Models describing long-term development in energy consumption or greenhouse gas emissions from building stocks commonly model the underlying development in the building stock's size and composition using simple, linear trends. Uncertainty is rarely discussed. This study explores the importance of uncertainty in input parameters in a dynamic model for the Norwegian dwelling stock that is presented in a recent publication and provides valuable insights in expected future quantities of renovation activity and how different segments of the stock are subject to renovation. By use of a sensitivity analysis and a scenario analysis the present study focuses on how uncertainty in model input parameters affect the modeling results and the robustness of results and conclusions. The sensitivity analysis did not lead to unexpected changes in results, and showed the dynamic model being mostly sensitive to changes in population and dwellings’ lifetime. Further scenarios with extreme input values for population and dwellings’ lifetime were considered in order to investigate the consequences of low and high renovation options. Results prove that previous main conclusions still hold: renovation rates at levels necessary to achieve policy targets in energy and emission savings seem unrealistic to be achieved when modeling the ‘natural’ need for renovation.","author":[{"dropping-particle":"","family":"Sandberg","given":"Nina Holck","non-dropping-particle":"","parse-names":false,"suffix":""},{"dropping-particle":"","family":"Sartori","given":"Igor","non-dropping-particle":"","parse-names":false,"suffix":""},{"dropping-particle":"","family":"Brattebø","given":"Helge","non-dropping-particle":"","parse-names":false,"suffix":""}],"container-title":"Energy and Buildings","id":"ITEM-1","issued":{"date-parts":[["2014"]]},"page":"136-144","title":"Sensitivity analysis in long-term dynamic building stock modeling—Exploring the importance of uncertainty of input parameters in Norwegian segmented dwelling stock model","type":"article-journal","volume":"85"},"uris":["http://www.mendeley.com/documents/?uuid=77b04eb3-bf1f-47f8-be40-93efcfededc2"]}],"mendeley":{"formattedCitation":"&lt;sup&gt;31&lt;/sup&gt;","plainTextFormattedCitation":"31","previouslyFormattedCitation":"&lt;sup&gt;31&lt;/sup&gt;"},"properties":{"noteIndex":0},"schema":"https://github.com/citation-style-language/schema/raw/master/csl-citation.json"}</w:instrText>
      </w:r>
      <w:r w:rsidR="00890C15" w:rsidRPr="000554B0">
        <w:fldChar w:fldCharType="separate"/>
      </w:r>
      <w:r w:rsidR="00445553" w:rsidRPr="00445553">
        <w:rPr>
          <w:noProof/>
          <w:vertAlign w:val="superscript"/>
        </w:rPr>
        <w:t>31</w:t>
      </w:r>
      <w:r w:rsidR="00890C15" w:rsidRPr="000554B0">
        <w:fldChar w:fldCharType="end"/>
      </w:r>
      <w:r w:rsidR="00890C15" w:rsidRPr="000554B0">
        <w:t xml:space="preserve">. </w:t>
      </w:r>
      <w:r w:rsidR="00F219D1" w:rsidRPr="000554B0">
        <w:t xml:space="preserve">Furthermore, in this test-case, we assume the historic development of per capita floorspace to be similar to that of Western Europe.  </w:t>
      </w:r>
      <w:r w:rsidR="00462826" w:rsidRPr="000554B0">
        <w:t>Figure S.</w:t>
      </w:r>
      <w:r w:rsidR="00445553">
        <w:t>7</w:t>
      </w:r>
      <w:r w:rsidR="00445553" w:rsidRPr="000554B0">
        <w:t xml:space="preserve"> </w:t>
      </w:r>
      <w:r w:rsidR="00462826" w:rsidRPr="000554B0">
        <w:t>shows the</w:t>
      </w:r>
      <w:r w:rsidR="00462826">
        <w:t xml:space="preserve"> resulting model outcomes, compared to the available statistics. It show</w:t>
      </w:r>
      <w:r w:rsidR="00801FE9">
        <w:t>s</w:t>
      </w:r>
      <w:r w:rsidR="00462826">
        <w:t xml:space="preserve"> that for the Netherlands the model is able to re-create the</w:t>
      </w:r>
      <w:r w:rsidR="00046C40">
        <w:t xml:space="preserve"> age-structure of the residential building stock</w:t>
      </w:r>
      <w:r w:rsidR="00104017">
        <w:t xml:space="preserve"> quite well, based only </w:t>
      </w:r>
      <w:r w:rsidR="00F219D1">
        <w:t xml:space="preserve">on GDP and Population </w:t>
      </w:r>
      <w:r w:rsidR="00F219D1">
        <w:lastRenderedPageBreak/>
        <w:t>as a driver</w:t>
      </w:r>
      <w:r w:rsidR="00046C40">
        <w:t>.</w:t>
      </w:r>
      <w:r w:rsidR="00104017">
        <w:t xml:space="preserve"> Perhaps with the exception of historical artefacts such as a relatively high share of remaining houses from before 1900 (which could be explained by policies aimed at preservation of historical &amp; monumental buildings</w:t>
      </w:r>
      <w:r w:rsidR="00F219D1">
        <w:t xml:space="preserve"> in the Netherlands</w:t>
      </w:r>
      <w:r w:rsidR="00104017">
        <w:t>)</w:t>
      </w:r>
      <w:r w:rsidR="00F219D1">
        <w:t xml:space="preserve"> and some noticeable historic abnormalities, such as the effect of the second world war on </w:t>
      </w:r>
      <w:r w:rsidR="00563C63">
        <w:t xml:space="preserve">housing </w:t>
      </w:r>
      <w:r w:rsidR="00F219D1">
        <w:t xml:space="preserve">construction activities. </w:t>
      </w:r>
      <w:r w:rsidR="00104017">
        <w:t xml:space="preserve"> </w:t>
      </w:r>
    </w:p>
    <w:p w14:paraId="5B10DBA2" w14:textId="69E736F9" w:rsidR="00563C63" w:rsidRDefault="00046C40" w:rsidP="00C54645">
      <w:r>
        <w:t xml:space="preserve">However, </w:t>
      </w:r>
      <w:r w:rsidR="00F219D1">
        <w:t>using the regular lifetime assumptions for Western Europe (i.e. a Weibull distribution with a mean lifetime of 63 years) seems to lead to an over-estimation of r</w:t>
      </w:r>
      <w:r w:rsidR="00F219D1" w:rsidRPr="000554B0">
        <w:t>ecent building activities</w:t>
      </w:r>
      <w:r w:rsidR="00563C63" w:rsidRPr="000554B0">
        <w:t xml:space="preserve"> (Figure S.</w:t>
      </w:r>
      <w:r w:rsidR="00445553">
        <w:t>7</w:t>
      </w:r>
      <w:r w:rsidR="00445553" w:rsidRPr="000554B0">
        <w:t>b</w:t>
      </w:r>
      <w:r w:rsidR="00563C63" w:rsidRPr="000554B0">
        <w:t>)</w:t>
      </w:r>
      <w:r w:rsidR="00F219D1" w:rsidRPr="000554B0">
        <w:t xml:space="preserve">, because the model projects the demolition of buildings that in reality have remained in stock. Only when we assume a much higher average lifetime of 130 years, the model is able to match the known </w:t>
      </w:r>
      <w:r w:rsidR="004F4FD7" w:rsidRPr="000554B0">
        <w:t>age-distribution of the stock in the year 2010</w:t>
      </w:r>
      <w:r w:rsidR="00563C63" w:rsidRPr="000554B0">
        <w:t xml:space="preserve"> (Figure S.</w:t>
      </w:r>
      <w:r w:rsidR="00445553">
        <w:t>7</w:t>
      </w:r>
      <w:r w:rsidR="00445553" w:rsidRPr="000554B0">
        <w:t>c</w:t>
      </w:r>
      <w:r w:rsidR="00563C63" w:rsidRPr="000554B0">
        <w:t>)</w:t>
      </w:r>
      <w:r w:rsidR="004F4FD7" w:rsidRPr="000554B0">
        <w:t>. This suggest</w:t>
      </w:r>
      <w:r w:rsidR="00563C63" w:rsidRPr="000554B0">
        <w:t>s</w:t>
      </w:r>
      <w:r w:rsidR="004F4FD7" w:rsidRPr="000554B0">
        <w:t xml:space="preserve"> that the</w:t>
      </w:r>
      <w:r w:rsidR="00563C63" w:rsidRPr="000554B0">
        <w:t xml:space="preserve"> literature-based</w:t>
      </w:r>
      <w:r w:rsidR="004F4FD7" w:rsidRPr="000554B0">
        <w:t xml:space="preserve"> lifetimes of Western European residential buildings </w:t>
      </w:r>
      <w:r w:rsidR="002F306F" w:rsidRPr="000554B0">
        <w:t>could be</w:t>
      </w:r>
      <w:r w:rsidR="004F4FD7" w:rsidRPr="000554B0">
        <w:t xml:space="preserve"> lower</w:t>
      </w:r>
      <w:r w:rsidR="004F4FD7">
        <w:t xml:space="preserve"> than in reality. </w:t>
      </w:r>
      <w:r w:rsidR="00563C63">
        <w:t xml:space="preserve">Another factor that may explain the mismatch between our model and </w:t>
      </w:r>
      <w:r w:rsidR="00D83623">
        <w:t xml:space="preserve">the available statistics </w:t>
      </w:r>
      <w:r w:rsidR="00563C63">
        <w:t xml:space="preserve">for these two test-cases is the fact that we do not account for the lifetime dynamics of monumental buildings. The latter may be quite relevant </w:t>
      </w:r>
      <w:r w:rsidR="00D83623">
        <w:t xml:space="preserve">for Western Europe,  </w:t>
      </w:r>
      <w:r w:rsidR="00563C63">
        <w:t xml:space="preserve">given the </w:t>
      </w:r>
      <w:r w:rsidR="00D83623">
        <w:t xml:space="preserve">fact that historic and monumental buildings make up a large part of the (urban) building stock </w:t>
      </w:r>
      <w:r w:rsidR="00D83623">
        <w:fldChar w:fldCharType="begin" w:fldLock="1"/>
      </w:r>
      <w:r w:rsidR="00B12458">
        <w:instrText>ADDIN CSL_CITATION {"citationItems":[{"id":"ITEM-1","itemData":{"DOI":"https://doi.org/10.1016/j.applthermaleng.2017.07.071","ISSN":"1359-4311","abstract":"Energy efficiency and thermal comfort in historic buildings are very often hampered by preservation needs. This issue is particularly relevant for historical and monumental buildings, which currently represent a large part of the historic buildings stock in Europe. For such protected buildings most of the available retrofitting solutions are not feasible and alternatives have to be investigated to guarantee their usability potential. The purpose of this study is therefore to present a methodology to evaluate the potential of electric radiant panels as retrofitting solutions for historical and monumental buildings, focusing on thermal comfort and energy saving potential when compared with conventional fossil-fuel-based heating systems. In fact, the non-invasiveness and flexibility of electrical panels make them one of the few feasible solutions for protected buildings. An original methodology is developed to evaluate the performance of such localized heating systems; the methodology is based on a dynamic simulation model, calibrated with temperature measurements, which takes into account the geometry and technical characteristics of electrical radiant panels and allows different control strategies to be compared. The methodology is applied to a relevant Italian historical building. The results show that the panels, despite their well-known low-exergy efficiency, may become a viable and attractive solution for historical buildings without undermining their preservation requirements. Apart from significantly increasing thermal comfort, electric radiant panels may also allow annual heating energy savings up to 70% for the selected building.","author":[{"dropping-particle":"","family":"Lodi","given":"Chiara","non-dropping-particle":"","parse-names":false,"suffix":""},{"dropping-particle":"","family":"Magli","given":"Susanna","non-dropping-particle":"","parse-names":false,"suffix":""},{"dropping-particle":"","family":"Contini","given":"Francesco Maria","non-dropping-particle":"","parse-names":false,"suffix":""},{"dropping-particle":"","family":"Muscio","given":"Alberto","non-dropping-particle":"","parse-names":false,"suffix":""},{"dropping-particle":"","family":"Tartarini","given":"Paolo","non-dropping-particle":"","parse-names":false,"suffix":""}],"container-title":"Applied Thermal Engineering","id":"ITEM-1","issued":{"date-parts":[["2017"]]},"page":"276-289","title":"Improvement of thermal comfort and energy efficiency in historical and monumental buildings by means of localized heating based on non-invasive electric radiant panels","type":"article-journal","volume":"126"},"uris":["http://www.mendeley.com/documents/?uuid=7e9744ab-8608-4e46-9a89-69b079dfdf7f","http://www.mendeley.com/documents/?uuid=85c6d36e-2f83-4295-9eed-14d310831c6e"]}],"mendeley":{"formattedCitation":"&lt;sup&gt;32&lt;/sup&gt;","plainTextFormattedCitation":"32","previouslyFormattedCitation":"&lt;sup&gt;32&lt;/sup&gt;"},"properties":{"noteIndex":0},"schema":"https://github.com/citation-style-language/schema/raw/master/csl-citation.json"}</w:instrText>
      </w:r>
      <w:r w:rsidR="00D83623">
        <w:fldChar w:fldCharType="separate"/>
      </w:r>
      <w:r w:rsidR="00445553" w:rsidRPr="00445553">
        <w:rPr>
          <w:noProof/>
          <w:vertAlign w:val="superscript"/>
        </w:rPr>
        <w:t>32</w:t>
      </w:r>
      <w:r w:rsidR="00D83623">
        <w:fldChar w:fldCharType="end"/>
      </w:r>
      <w:r w:rsidR="00D83623">
        <w:t>.</w:t>
      </w:r>
    </w:p>
    <w:p w14:paraId="3F072D7E" w14:textId="0B0414E2" w:rsidR="004F4FD7" w:rsidRDefault="00D83623" w:rsidP="00C54645">
      <w:r>
        <w:t xml:space="preserve">Though this highlights </w:t>
      </w:r>
      <w:r w:rsidR="00165AF7">
        <w:t>two</w:t>
      </w:r>
      <w:r>
        <w:t xml:space="preserve"> important path</w:t>
      </w:r>
      <w:r w:rsidR="00165AF7">
        <w:t>s</w:t>
      </w:r>
      <w:r>
        <w:t xml:space="preserve"> for future research and model improvement</w:t>
      </w:r>
      <w:r w:rsidR="00165AF7">
        <w:t xml:space="preserve"> (introducing more realistic lifetime distributions and accounting for stock dynamics for monumental buildings specifically)</w:t>
      </w:r>
      <w:r>
        <w:t>, we are</w:t>
      </w:r>
      <w:r w:rsidR="00563C63">
        <w:t xml:space="preserve"> </w:t>
      </w:r>
      <w:r w:rsidR="008007A2">
        <w:t xml:space="preserve">currently </w:t>
      </w:r>
      <w:r w:rsidR="00563C63">
        <w:t xml:space="preserve">unable to adjust our model for these </w:t>
      </w:r>
      <w:r>
        <w:t xml:space="preserve">findings. Given that we aim to develop a global model we currently lack the data and the time to perform a similar verification for all 26 regions in our model. </w:t>
      </w:r>
    </w:p>
    <w:p w14:paraId="01A7C0CA" w14:textId="77777777" w:rsidR="004F4FD7" w:rsidRDefault="004F4FD7" w:rsidP="00C54645"/>
    <w:p w14:paraId="18761F55" w14:textId="77777777" w:rsidR="00F219D1" w:rsidRDefault="00F219D1" w:rsidP="00C54645"/>
    <w:p w14:paraId="438B47E3" w14:textId="5151AC9A" w:rsidR="00F219D1" w:rsidRDefault="00F219D1">
      <w:r>
        <w:br w:type="page"/>
      </w:r>
    </w:p>
    <w:p w14:paraId="22C43BB7" w14:textId="7B74471F" w:rsidR="009649B6" w:rsidRPr="009649B6" w:rsidRDefault="006F0111" w:rsidP="009649B6">
      <w:r>
        <w:rPr>
          <w:noProof/>
        </w:rPr>
        <w:lastRenderedPageBreak/>
        <mc:AlternateContent>
          <mc:Choice Requires="wps">
            <w:drawing>
              <wp:anchor distT="45720" distB="45720" distL="114300" distR="114300" simplePos="0" relativeHeight="251728896" behindDoc="0" locked="0" layoutInCell="1" allowOverlap="1" wp14:anchorId="7201EC88" wp14:editId="3B37067C">
                <wp:simplePos x="0" y="0"/>
                <wp:positionH relativeFrom="column">
                  <wp:posOffset>-220345</wp:posOffset>
                </wp:positionH>
                <wp:positionV relativeFrom="paragraph">
                  <wp:posOffset>169545</wp:posOffset>
                </wp:positionV>
                <wp:extent cx="262255" cy="262255"/>
                <wp:effectExtent l="0" t="0" r="0" b="444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11ED8AE7" w14:textId="77777777" w:rsidR="00874130" w:rsidRPr="006D7AE1" w:rsidRDefault="00874130" w:rsidP="006F0111">
                            <w:pPr>
                              <w:rPr>
                                <w:sz w:val="24"/>
                              </w:rPr>
                            </w:pPr>
                            <w:r w:rsidRPr="006D7AE1">
                              <w:rPr>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01EC88" id="_x0000_s1060" type="#_x0000_t202" style="position:absolute;margin-left:-17.35pt;margin-top:13.35pt;width:20.65pt;height:20.6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" filled="f" stroked="f">
                <v:textbox>
                  <w:txbxContent>
                    <w:p w14:paraId="11ED8AE7" w14:textId="77777777" w:rsidR="00874130" w:rsidRPr="006D7AE1" w:rsidRDefault="00874130" w:rsidP="006F0111">
                      <w:pPr>
                        <w:rPr>
                          <w:sz w:val="24"/>
                        </w:rPr>
                      </w:pPr>
                      <w:r w:rsidRPr="006D7AE1">
                        <w:rPr>
                          <w:sz w:val="24"/>
                        </w:rPr>
                        <w:t>a</w:t>
                      </w:r>
                    </w:p>
                  </w:txbxContent>
                </v:textbox>
              </v:shape>
            </w:pict>
          </mc:Fallback>
        </mc:AlternateContent>
      </w:r>
      <w:r w:rsidR="00046C40">
        <w:rPr>
          <w:noProof/>
        </w:rPr>
        <mc:AlternateContent>
          <mc:Choice Requires="wps">
            <w:drawing>
              <wp:anchor distT="0" distB="0" distL="114300" distR="114300" simplePos="0" relativeHeight="251708416" behindDoc="0" locked="0" layoutInCell="1" allowOverlap="1" wp14:anchorId="48FA29DE" wp14:editId="4E6C0DE9">
                <wp:simplePos x="0" y="0"/>
                <wp:positionH relativeFrom="column">
                  <wp:posOffset>3764915</wp:posOffset>
                </wp:positionH>
                <wp:positionV relativeFrom="paragraph">
                  <wp:posOffset>923925</wp:posOffset>
                </wp:positionV>
                <wp:extent cx="189865" cy="167640"/>
                <wp:effectExtent l="0" t="0" r="19685" b="22860"/>
                <wp:wrapNone/>
                <wp:docPr id="216" name="Rounded Rectangle 216"/>
                <wp:cNvGraphicFramePr/>
                <a:graphic xmlns:a="http://schemas.openxmlformats.org/drawingml/2006/main">
                  <a:graphicData uri="http://schemas.microsoft.com/office/word/2010/wordprocessingShape">
                    <wps:wsp>
                      <wps:cNvSpPr/>
                      <wps:spPr>
                        <a:xfrm>
                          <a:off x="0" y="0"/>
                          <a:ext cx="189865" cy="167640"/>
                        </a:xfrm>
                        <a:prstGeom prst="roundRect">
                          <a:avLst/>
                        </a:prstGeom>
                        <a:solidFill>
                          <a:srgbClr val="D74545">
                            <a:alpha val="36863"/>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80D9FB5" id="Rounded Rectangle 216" o:spid="_x0000_s1026" style="position:absolute;margin-left:296.45pt;margin-top:72.75pt;width:14.95pt;height:13.2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" fillcolor="#d74545" strokecolor="#823b0b [1605]" strokeweight="1pt">
                <v:fill opacity="24158f"/>
                <v:stroke joinstyle="miter"/>
              </v:roundrect>
            </w:pict>
          </mc:Fallback>
        </mc:AlternateContent>
      </w:r>
      <w:r w:rsidR="00046C40">
        <w:rPr>
          <w:noProof/>
        </w:rPr>
        <mc:AlternateContent>
          <mc:Choice Requires="wps">
            <w:drawing>
              <wp:anchor distT="0" distB="0" distL="114300" distR="114300" simplePos="0" relativeHeight="251687936" behindDoc="0" locked="0" layoutInCell="1" allowOverlap="1" wp14:anchorId="431B8E59" wp14:editId="0483C6BE">
                <wp:simplePos x="0" y="0"/>
                <wp:positionH relativeFrom="column">
                  <wp:posOffset>3766185</wp:posOffset>
                </wp:positionH>
                <wp:positionV relativeFrom="paragraph">
                  <wp:posOffset>647700</wp:posOffset>
                </wp:positionV>
                <wp:extent cx="189865" cy="167640"/>
                <wp:effectExtent l="0" t="0" r="19685" b="22860"/>
                <wp:wrapNone/>
                <wp:docPr id="214" name="Rounded Rectangle 214"/>
                <wp:cNvGraphicFramePr/>
                <a:graphic xmlns:a="http://schemas.openxmlformats.org/drawingml/2006/main">
                  <a:graphicData uri="http://schemas.microsoft.com/office/word/2010/wordprocessingShape">
                    <wps:wsp>
                      <wps:cNvSpPr/>
                      <wps:spPr>
                        <a:xfrm>
                          <a:off x="0" y="0"/>
                          <a:ext cx="189865" cy="167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4F70A53" id="Rounded Rectangle 214" o:spid="_x0000_s1026" style="position:absolute;margin-left:296.55pt;margin-top:51pt;width:14.95pt;height:13.2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" fillcolor="#5b9bd5 [3204]" strokecolor="#1f4d78 [1604]" strokeweight="1pt">
                <v:stroke joinstyle="miter"/>
              </v:roundrect>
            </w:pict>
          </mc:Fallback>
        </mc:AlternateContent>
      </w:r>
      <w:r w:rsidR="00046C40">
        <w:rPr>
          <w:noProof/>
        </w:rPr>
        <mc:AlternateContent>
          <mc:Choice Requires="wps">
            <w:drawing>
              <wp:anchor distT="0" distB="0" distL="114300" distR="114300" simplePos="0" relativeHeight="251667456" behindDoc="0" locked="0" layoutInCell="1" allowOverlap="1" wp14:anchorId="5C94F9E0" wp14:editId="46CEBF0A">
                <wp:simplePos x="0" y="0"/>
                <wp:positionH relativeFrom="column">
                  <wp:posOffset>3957167</wp:posOffset>
                </wp:positionH>
                <wp:positionV relativeFrom="paragraph">
                  <wp:posOffset>596519</wp:posOffset>
                </wp:positionV>
                <wp:extent cx="819150" cy="5924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592455"/>
                        </a:xfrm>
                        <a:prstGeom prst="rect">
                          <a:avLst/>
                        </a:prstGeom>
                        <a:solidFill>
                          <a:srgbClr val="FFFFFF"/>
                        </a:solidFill>
                        <a:ln w="9525">
                          <a:noFill/>
                          <a:miter lim="800000"/>
                          <a:headEnd/>
                          <a:tailEnd/>
                        </a:ln>
                      </wps:spPr>
                      <wps:txbx>
                        <w:txbxContent>
                          <w:p w14:paraId="522019D3" w14:textId="5B204E3E" w:rsidR="00874130" w:rsidRPr="00462826" w:rsidRDefault="00874130">
                            <w:pPr>
                              <w:rPr>
                                <w:color w:val="595959" w:themeColor="text1" w:themeTint="A6"/>
                              </w:rPr>
                            </w:pPr>
                            <w:r w:rsidRPr="00462826">
                              <w:rPr>
                                <w:color w:val="595959" w:themeColor="text1" w:themeTint="A6"/>
                              </w:rPr>
                              <w:t>Statistics</w:t>
                            </w:r>
                          </w:p>
                          <w:p w14:paraId="3227B078" w14:textId="37A9C0F0" w:rsidR="00874130" w:rsidRPr="00462826" w:rsidRDefault="00874130">
                            <w:pPr>
                              <w:rPr>
                                <w:color w:val="595959" w:themeColor="text1" w:themeTint="A6"/>
                              </w:rPr>
                            </w:pPr>
                            <w:r w:rsidRPr="00462826">
                              <w:rPr>
                                <w:color w:val="595959" w:themeColor="text1" w:themeTint="A6"/>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94F9E0" id="_x0000_s1061" type="#_x0000_t202" style="position:absolute;margin-left:311.6pt;margin-top:46.95pt;width:64.5pt;height:4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rkIwIAACQEAAAOAAAAZHJzL2Uyb0RvYy54bWysU9uO2yAQfa/Uf0C8N3bcuL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" stroked="f">
                <v:textbox>
                  <w:txbxContent>
                    <w:p w14:paraId="522019D3" w14:textId="5B204E3E" w:rsidR="00874130" w:rsidRPr="00462826" w:rsidRDefault="00874130">
                      <w:pPr>
                        <w:rPr>
                          <w:color w:val="595959" w:themeColor="text1" w:themeTint="A6"/>
                        </w:rPr>
                      </w:pPr>
                      <w:r w:rsidRPr="00462826">
                        <w:rPr>
                          <w:color w:val="595959" w:themeColor="text1" w:themeTint="A6"/>
                        </w:rPr>
                        <w:t>Statistics</w:t>
                      </w:r>
                    </w:p>
                    <w:p w14:paraId="3227B078" w14:textId="37A9C0F0" w:rsidR="00874130" w:rsidRPr="00462826" w:rsidRDefault="00874130">
                      <w:pPr>
                        <w:rPr>
                          <w:color w:val="595959" w:themeColor="text1" w:themeTint="A6"/>
                        </w:rPr>
                      </w:pPr>
                      <w:r w:rsidRPr="00462826">
                        <w:rPr>
                          <w:color w:val="595959" w:themeColor="text1" w:themeTint="A6"/>
                        </w:rPr>
                        <w:t>Model</w:t>
                      </w:r>
                    </w:p>
                  </w:txbxContent>
                </v:textbox>
              </v:shape>
            </w:pict>
          </mc:Fallback>
        </mc:AlternateContent>
      </w:r>
      <w:r w:rsidR="00462826">
        <w:rPr>
          <w:noProof/>
        </w:rPr>
        <w:drawing>
          <wp:inline distT="0" distB="0" distL="0" distR="0" wp14:anchorId="465535EB" wp14:editId="0FA78098">
            <wp:extent cx="2950242" cy="198973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4562"/>
                    <a:stretch/>
                  </pic:blipFill>
                  <pic:spPr bwMode="auto">
                    <a:xfrm>
                      <a:off x="0" y="0"/>
                      <a:ext cx="2957489" cy="1994622"/>
                    </a:xfrm>
                    <a:prstGeom prst="rect">
                      <a:avLst/>
                    </a:prstGeom>
                    <a:noFill/>
                    <a:ln>
                      <a:noFill/>
                    </a:ln>
                    <a:extLst>
                      <a:ext uri="{53640926-AAD7-44D8-BBD7-CCE9431645EC}">
                        <a14:shadowObscured xmlns:a14="http://schemas.microsoft.com/office/drawing/2010/main"/>
                      </a:ext>
                    </a:extLst>
                  </pic:spPr>
                </pic:pic>
              </a:graphicData>
            </a:graphic>
          </wp:inline>
        </w:drawing>
      </w:r>
    </w:p>
    <w:p w14:paraId="18972736" w14:textId="0782B954" w:rsidR="009649B6" w:rsidRDefault="006F0111" w:rsidP="008064CD">
      <w:r>
        <w:rPr>
          <w:noProof/>
        </w:rPr>
        <mc:AlternateContent>
          <mc:Choice Requires="wps">
            <w:drawing>
              <wp:anchor distT="45720" distB="45720" distL="114300" distR="114300" simplePos="0" relativeHeight="251749376" behindDoc="0" locked="0" layoutInCell="1" allowOverlap="1" wp14:anchorId="26A60834" wp14:editId="6BB5193E">
                <wp:simplePos x="0" y="0"/>
                <wp:positionH relativeFrom="column">
                  <wp:posOffset>-220345</wp:posOffset>
                </wp:positionH>
                <wp:positionV relativeFrom="paragraph">
                  <wp:posOffset>84455</wp:posOffset>
                </wp:positionV>
                <wp:extent cx="262255" cy="262255"/>
                <wp:effectExtent l="0" t="0" r="0" b="444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2798BD3A" w14:textId="5EC401DC" w:rsidR="00874130" w:rsidRPr="006D7AE1" w:rsidRDefault="00874130" w:rsidP="006F0111">
                            <w:pPr>
                              <w:rPr>
                                <w:sz w:val="24"/>
                              </w:rPr>
                            </w:pPr>
                            <w:r>
                              <w:rPr>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A60834" id="_x0000_s1062" type="#_x0000_t202" style="position:absolute;margin-left:-17.35pt;margin-top:6.65pt;width:20.65pt;height:20.6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" filled="f" stroked="f">
                <v:textbox>
                  <w:txbxContent>
                    <w:p w14:paraId="2798BD3A" w14:textId="5EC401DC" w:rsidR="00874130" w:rsidRPr="006D7AE1" w:rsidRDefault="00874130" w:rsidP="006F0111">
                      <w:pPr>
                        <w:rPr>
                          <w:sz w:val="24"/>
                        </w:rPr>
                      </w:pPr>
                      <w:r>
                        <w:rPr>
                          <w:sz w:val="24"/>
                        </w:rPr>
                        <w:t>b</w:t>
                      </w:r>
                    </w:p>
                  </w:txbxContent>
                </v:textbox>
              </v:shape>
            </w:pict>
          </mc:Fallback>
        </mc:AlternateContent>
      </w:r>
      <w:r>
        <w:rPr>
          <w:noProof/>
        </w:rPr>
        <mc:AlternateContent>
          <mc:Choice Requires="wps">
            <w:drawing>
              <wp:anchor distT="45720" distB="45720" distL="114300" distR="114300" simplePos="0" relativeHeight="251769856" behindDoc="0" locked="0" layoutInCell="1" allowOverlap="1" wp14:anchorId="05286BAE" wp14:editId="1936F080">
                <wp:simplePos x="0" y="0"/>
                <wp:positionH relativeFrom="column">
                  <wp:posOffset>5639435</wp:posOffset>
                </wp:positionH>
                <wp:positionV relativeFrom="paragraph">
                  <wp:posOffset>84455</wp:posOffset>
                </wp:positionV>
                <wp:extent cx="262255" cy="262255"/>
                <wp:effectExtent l="0" t="0" r="0" b="444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2255"/>
                        </a:xfrm>
                        <a:prstGeom prst="rect">
                          <a:avLst/>
                        </a:prstGeom>
                        <a:noFill/>
                        <a:ln w="9525">
                          <a:noFill/>
                          <a:miter lim="800000"/>
                          <a:headEnd/>
                          <a:tailEnd/>
                        </a:ln>
                      </wps:spPr>
                      <wps:txbx>
                        <w:txbxContent>
                          <w:p w14:paraId="20884BAF" w14:textId="0E01D25F" w:rsidR="00874130" w:rsidRPr="006D7AE1" w:rsidRDefault="00874130" w:rsidP="006F0111">
                            <w:pPr>
                              <w:rPr>
                                <w:sz w:val="24"/>
                              </w:rPr>
                            </w:pPr>
                            <w:r>
                              <w:rPr>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286BAE" id="_x0000_s1063" type="#_x0000_t202" style="position:absolute;margin-left:444.05pt;margin-top:6.65pt;width:20.65pt;height:20.6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" filled="f" stroked="f">
                <v:textbox>
                  <w:txbxContent>
                    <w:p w14:paraId="20884BAF" w14:textId="0E01D25F" w:rsidR="00874130" w:rsidRPr="006D7AE1" w:rsidRDefault="00874130" w:rsidP="006F0111">
                      <w:pPr>
                        <w:rPr>
                          <w:sz w:val="24"/>
                        </w:rPr>
                      </w:pPr>
                      <w:r>
                        <w:rPr>
                          <w:sz w:val="24"/>
                        </w:rPr>
                        <w:t>c</w:t>
                      </w:r>
                    </w:p>
                  </w:txbxContent>
                </v:textbox>
              </v:shape>
            </w:pict>
          </mc:Fallback>
        </mc:AlternateContent>
      </w:r>
      <w:r w:rsidR="00462826">
        <w:rPr>
          <w:noProof/>
        </w:rPr>
        <w:drawing>
          <wp:inline distT="0" distB="0" distL="0" distR="0" wp14:anchorId="47DB1DB3" wp14:editId="09AE9310">
            <wp:extent cx="2845613" cy="200366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6747" cy="2004464"/>
                    </a:xfrm>
                    <a:prstGeom prst="rect">
                      <a:avLst/>
                    </a:prstGeom>
                    <a:noFill/>
                  </pic:spPr>
                </pic:pic>
              </a:graphicData>
            </a:graphic>
          </wp:inline>
        </w:drawing>
      </w:r>
      <w:r w:rsidR="00462826">
        <w:rPr>
          <w:noProof/>
        </w:rPr>
        <w:drawing>
          <wp:inline distT="0" distB="0" distL="0" distR="0" wp14:anchorId="5FE3B9FB" wp14:editId="36FBF51D">
            <wp:extent cx="2874873" cy="1934229"/>
            <wp:effectExtent l="0" t="0" r="190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5215"/>
                    <a:stretch/>
                  </pic:blipFill>
                  <pic:spPr bwMode="auto">
                    <a:xfrm>
                      <a:off x="0" y="0"/>
                      <a:ext cx="2892015" cy="1945762"/>
                    </a:xfrm>
                    <a:prstGeom prst="rect">
                      <a:avLst/>
                    </a:prstGeom>
                    <a:noFill/>
                    <a:ln>
                      <a:noFill/>
                    </a:ln>
                    <a:extLst>
                      <a:ext uri="{53640926-AAD7-44D8-BBD7-CCE9431645EC}">
                        <a14:shadowObscured xmlns:a14="http://schemas.microsoft.com/office/drawing/2010/main"/>
                      </a:ext>
                    </a:extLst>
                  </pic:spPr>
                </pic:pic>
              </a:graphicData>
            </a:graphic>
          </wp:inline>
        </w:drawing>
      </w:r>
    </w:p>
    <w:p w14:paraId="4E84FA9A" w14:textId="17460866" w:rsidR="00462826" w:rsidRPr="00046C40" w:rsidRDefault="00462826" w:rsidP="008064CD">
      <w:pPr>
        <w:rPr>
          <w:i/>
          <w:sz w:val="20"/>
        </w:rPr>
      </w:pPr>
      <w:r w:rsidRPr="00046C40">
        <w:rPr>
          <w:i/>
          <w:sz w:val="20"/>
        </w:rPr>
        <w:t>Figure S</w:t>
      </w:r>
      <w:r w:rsidR="00046C40" w:rsidRPr="00046C40">
        <w:rPr>
          <w:i/>
          <w:sz w:val="20"/>
        </w:rPr>
        <w:t>.</w:t>
      </w:r>
      <w:r w:rsidR="00445553">
        <w:rPr>
          <w:i/>
          <w:sz w:val="20"/>
        </w:rPr>
        <w:t>7</w:t>
      </w:r>
      <w:r w:rsidR="00046C40" w:rsidRPr="00046C40">
        <w:rPr>
          <w:i/>
          <w:sz w:val="20"/>
        </w:rPr>
        <w:t xml:space="preserve">. Model verification results. Showing the fraction of residential buildings by age-cohort on the y-axis, according to the available statistics (blue), and according to our model (red). Data for the Netherlands </w:t>
      </w:r>
      <w:r w:rsidR="006F0111">
        <w:rPr>
          <w:i/>
          <w:sz w:val="20"/>
        </w:rPr>
        <w:t xml:space="preserve">(a) </w:t>
      </w:r>
      <w:r w:rsidR="00046C40" w:rsidRPr="00046C40">
        <w:rPr>
          <w:i/>
          <w:sz w:val="20"/>
        </w:rPr>
        <w:t>represents the year 2018</w:t>
      </w:r>
      <w:r w:rsidR="00385D70">
        <w:rPr>
          <w:i/>
          <w:sz w:val="20"/>
        </w:rPr>
        <w:t xml:space="preserve"> based on </w:t>
      </w:r>
      <w:r w:rsidR="00385D70">
        <w:fldChar w:fldCharType="begin" w:fldLock="1"/>
      </w:r>
      <w:r w:rsidR="00B12458">
        <w:instrText>ADDIN CSL_CITATION {"citationItems":[{"id":"ITEM-1","itemData":{"URL":"https://zakelijk.kadaster.nl/basisregistratie-adressen-en-gebouwen","accessed":{"date-parts":[["2019","1","23"]]},"author":[{"dropping-particle":"","family":"Kadaster","given":"","non-dropping-particle":"","parse-names":false,"suffix":""}],"id":"ITEM-1","issued":{"date-parts":[["2018"]]},"title":"Basisadministratie Adressen en Gebouwen","type":"webpage"},"uris":["http://www.mendeley.com/documents/?uuid=aae0e9b7-5510-4f60-8091-6049642e6143"]}],"mendeley":{"formattedCitation":"&lt;sup&gt;29&lt;/sup&gt;","plainTextFormattedCitation":"29","previouslyFormattedCitation":"&lt;sup&gt;28&lt;/sup&gt;"},"properties":{"noteIndex":0},"schema":"https://github.com/citation-style-language/schema/raw/master/csl-citation.json"}</w:instrText>
      </w:r>
      <w:r w:rsidR="00385D70">
        <w:fldChar w:fldCharType="separate"/>
      </w:r>
      <w:r w:rsidR="00B12458" w:rsidRPr="00B12458">
        <w:rPr>
          <w:noProof/>
          <w:vertAlign w:val="superscript"/>
        </w:rPr>
        <w:t>29</w:t>
      </w:r>
      <w:r w:rsidR="00385D70">
        <w:fldChar w:fldCharType="end"/>
      </w:r>
      <w:r w:rsidR="00046C40" w:rsidRPr="00046C40">
        <w:rPr>
          <w:i/>
          <w:sz w:val="20"/>
        </w:rPr>
        <w:t>, while data for Western Europe</w:t>
      </w:r>
      <w:r w:rsidR="006F0111">
        <w:rPr>
          <w:i/>
          <w:sz w:val="20"/>
        </w:rPr>
        <w:t xml:space="preserve"> (b&amp;c)</w:t>
      </w:r>
      <w:r w:rsidR="00046C40" w:rsidRPr="00046C40">
        <w:rPr>
          <w:i/>
          <w:sz w:val="20"/>
        </w:rPr>
        <w:t xml:space="preserve"> represents the year 2010</w:t>
      </w:r>
      <w:r w:rsidR="00385D70">
        <w:rPr>
          <w:i/>
          <w:sz w:val="20"/>
        </w:rPr>
        <w:t xml:space="preserve"> based on </w:t>
      </w:r>
      <w:r w:rsidR="00385D70">
        <w:fldChar w:fldCharType="begin" w:fldLock="1"/>
      </w:r>
      <w:r w:rsidR="00B12458">
        <w:instrText>ADDIN CSL_CITATION {"citationItems":[{"id":"ITEM-1","itemData":{"DOI":"10.1002/hep.21180","ISBN":"9171478655","ISSN":"0270-9139 (Print)","PMID":"16729306","abstract":"The Hague: Edited by Kees Dol and Marietta Haffner OTB Research Institute for the Built Environment, Delft University of Technology September 2010","author":[{"dropping-particle":"","family":"Dol","given":"Kees","non-dropping-particle":"","parse-names":false,"suffix":""},{"dropping-particle":"","family":"Haffner","given":"Marietta","non-dropping-particle":"","parse-names":false,"suffix":""}],"container-title":"Delft University of Technology","id":"ITEM-1","issued":{"date-parts":[["2010"]]},"title":"Housing Statistics in the European Union 2010","type":"report"},"uris":["http://www.mendeley.com/documents/?uuid=e5ac9418-8444-4fe8-9095-4355d8f3ed60"]}],"mendeley":{"formattedCitation":"&lt;sup&gt;30&lt;/sup&gt;","plainTextFormattedCitation":"30","previouslyFormattedCitation":"&lt;sup&gt;29&lt;/sup&gt;"},"properties":{"noteIndex":0},"schema":"https://github.com/citation-style-language/schema/raw/master/csl-citation.json"}</w:instrText>
      </w:r>
      <w:r w:rsidR="00385D70">
        <w:fldChar w:fldCharType="separate"/>
      </w:r>
      <w:r w:rsidR="00B12458" w:rsidRPr="00B12458">
        <w:rPr>
          <w:noProof/>
          <w:vertAlign w:val="superscript"/>
        </w:rPr>
        <w:t>30</w:t>
      </w:r>
      <w:r w:rsidR="00385D70">
        <w:fldChar w:fldCharType="end"/>
      </w:r>
      <w:r w:rsidR="00046C40" w:rsidRPr="00046C40">
        <w:rPr>
          <w:i/>
          <w:sz w:val="20"/>
        </w:rPr>
        <w:t xml:space="preserve">. </w:t>
      </w:r>
    </w:p>
    <w:p w14:paraId="5190759A" w14:textId="77777777" w:rsidR="00046C40" w:rsidRPr="00D876AB" w:rsidRDefault="00046C40" w:rsidP="008064CD"/>
    <w:p w14:paraId="621D3C49" w14:textId="5F99433E" w:rsidR="00F945DE" w:rsidRDefault="00F945DE" w:rsidP="009649B6">
      <w:pPr>
        <w:pStyle w:val="Heading2"/>
        <w:numPr>
          <w:ilvl w:val="0"/>
          <w:numId w:val="2"/>
        </w:numPr>
      </w:pPr>
      <w:bookmarkStart w:id="8" w:name="_Toc10807390"/>
      <w:r>
        <w:t>Material Assumptions</w:t>
      </w:r>
      <w:bookmarkEnd w:id="8"/>
    </w:p>
    <w:p w14:paraId="1ECB5A18" w14:textId="77777777" w:rsidR="009649B6" w:rsidRDefault="009649B6" w:rsidP="009649B6"/>
    <w:p w14:paraId="167C5305" w14:textId="1CE4280F" w:rsidR="00916072" w:rsidRDefault="00563C63" w:rsidP="00563C63">
      <w:r>
        <w:t xml:space="preserve">All of the </w:t>
      </w:r>
      <w:r w:rsidR="00D83623">
        <w:t>assumptions</w:t>
      </w:r>
      <w:r>
        <w:t xml:space="preserve"> on material content of </w:t>
      </w:r>
      <w:r w:rsidR="00D83623">
        <w:t xml:space="preserve">residential </w:t>
      </w:r>
      <w:r>
        <w:t>buildings (in kg per m</w:t>
      </w:r>
      <w:r>
        <w:rPr>
          <w:vertAlign w:val="superscript"/>
        </w:rPr>
        <w:t>2</w:t>
      </w:r>
      <w:r>
        <w:t xml:space="preserve">) is described by Marinova et al. </w:t>
      </w:r>
      <w:r>
        <w:fldChar w:fldCharType="begin" w:fldLock="1"/>
      </w:r>
      <w:r w:rsidR="00B12458">
        <w:instrText>ADDIN CSL_CITATION {"citationItems":[{"id":"ITEM-1","itemData":{"author":[{"dropping-particle":"","family":"Marinova","given":"Sylvia","non-dropping-particle":"","parse-names":false,"suffix":""},{"dropping-particle":"","family":"Deetman","given":"Sebastiaan","non-dropping-particle":"","parse-names":false,"suffix":""},{"dropping-particle":"","family":"Voet","given":"Ester","non-dropping-particle":"Van der","parse-names":false,"suffix":""}],"container-title":"Journal of Cleaner Production","id":"ITEM-1","issue":"this issue","issued":{"date-parts":[["2019"]]},"title":"Construction materials database and stock analysis of the global residential built environment: 1970-2050","type":"article-journal","volume":"in review"},"uris":["http://www.mendeley.com/documents/?uuid=d3e2c233-873b-4fc6-8b36-94b61007effa"]}],"mendeley":{"formattedCitation":"&lt;sup&gt;33&lt;/sup&gt;","plainTextFormattedCitation":"33","previouslyFormattedCitation":"&lt;sup&gt;33&lt;/sup&gt;"},"properties":{"noteIndex":0},"schema":"https://github.com/citation-style-language/schema/raw/master/csl-citation.json"}</w:instrText>
      </w:r>
      <w:r>
        <w:fldChar w:fldCharType="separate"/>
      </w:r>
      <w:r w:rsidR="00445553" w:rsidRPr="00445553">
        <w:rPr>
          <w:noProof/>
          <w:vertAlign w:val="superscript"/>
        </w:rPr>
        <w:t>33</w:t>
      </w:r>
      <w:r>
        <w:fldChar w:fldCharType="end"/>
      </w:r>
      <w:r>
        <w:t xml:space="preserve">. </w:t>
      </w:r>
      <w:r w:rsidR="00916072">
        <w:t xml:space="preserve">The material content estimates for </w:t>
      </w:r>
      <w:r w:rsidR="00B47BD6">
        <w:t xml:space="preserve">service-related </w:t>
      </w:r>
      <w:r w:rsidR="00916072">
        <w:t xml:space="preserve">buildings applied in our calculations are </w:t>
      </w:r>
      <w:r w:rsidR="00916072" w:rsidRPr="000554B0">
        <w:t>summarized in Table 2 of the main text. Table S.2 below</w:t>
      </w:r>
      <w:r w:rsidR="00916072">
        <w:t>, shows how these averages were derived from the individual sources.</w:t>
      </w:r>
    </w:p>
    <w:p w14:paraId="33134EAD" w14:textId="0F75B5EA" w:rsidR="00916072" w:rsidRDefault="00916072" w:rsidP="00563C63">
      <w:r>
        <w:br w:type="page"/>
      </w:r>
    </w:p>
    <w:tbl>
      <w:tblPr>
        <w:tblStyle w:val="TableGrid"/>
        <w:tblpPr w:leftFromText="180" w:rightFromText="180" w:vertAnchor="text" w:horzAnchor="margin" w:tblpY="421"/>
        <w:tblW w:w="10075" w:type="dxa"/>
        <w:tblLayout w:type="fixed"/>
        <w:tblLook w:val="04A0" w:firstRow="1" w:lastRow="0" w:firstColumn="1" w:lastColumn="0" w:noHBand="0" w:noVBand="1"/>
      </w:tblPr>
      <w:tblGrid>
        <w:gridCol w:w="867"/>
        <w:gridCol w:w="1761"/>
        <w:gridCol w:w="1260"/>
        <w:gridCol w:w="969"/>
        <w:gridCol w:w="689"/>
        <w:gridCol w:w="1006"/>
        <w:gridCol w:w="1170"/>
        <w:gridCol w:w="900"/>
        <w:gridCol w:w="720"/>
        <w:gridCol w:w="733"/>
      </w:tblGrid>
      <w:tr w:rsidR="00C45CA5" w14:paraId="6A9AEA54" w14:textId="77777777" w:rsidTr="009C3171">
        <w:trPr>
          <w:trHeight w:val="228"/>
        </w:trPr>
        <w:tc>
          <w:tcPr>
            <w:tcW w:w="867" w:type="dxa"/>
            <w:tcBorders>
              <w:top w:val="single" w:sz="4" w:space="0" w:color="FFFFFF" w:themeColor="background1"/>
              <w:left w:val="single" w:sz="4" w:space="0" w:color="FFFFFF" w:themeColor="background1"/>
              <w:bottom w:val="single" w:sz="18" w:space="0" w:color="auto"/>
              <w:right w:val="single" w:sz="18" w:space="0" w:color="auto"/>
            </w:tcBorders>
            <w:vAlign w:val="bottom"/>
          </w:tcPr>
          <w:p w14:paraId="50CB1401" w14:textId="77777777" w:rsidR="00C45CA5" w:rsidRPr="009268DA" w:rsidRDefault="00C45CA5" w:rsidP="00C45CA5">
            <w:pPr>
              <w:rPr>
                <w:sz w:val="18"/>
                <w:szCs w:val="18"/>
                <w:lang w:val="en-US"/>
              </w:rPr>
            </w:pPr>
          </w:p>
        </w:tc>
        <w:tc>
          <w:tcPr>
            <w:tcW w:w="1761" w:type="dxa"/>
            <w:tcBorders>
              <w:top w:val="single" w:sz="18" w:space="0" w:color="auto"/>
              <w:left w:val="single" w:sz="18" w:space="0" w:color="auto"/>
              <w:bottom w:val="single" w:sz="18" w:space="0" w:color="auto"/>
            </w:tcBorders>
            <w:vAlign w:val="bottom"/>
          </w:tcPr>
          <w:p w14:paraId="19CB4F98" w14:textId="77777777" w:rsidR="00C45CA5" w:rsidRPr="00C45CA5" w:rsidRDefault="00C45CA5" w:rsidP="00C45CA5">
            <w:pPr>
              <w:rPr>
                <w:b/>
                <w:sz w:val="20"/>
                <w:szCs w:val="18"/>
              </w:rPr>
            </w:pPr>
            <w:r w:rsidRPr="00C45CA5">
              <w:rPr>
                <w:rFonts w:ascii="Calibri" w:hAnsi="Calibri" w:cs="Calibri"/>
                <w:b/>
                <w:color w:val="000000"/>
                <w:sz w:val="20"/>
                <w:szCs w:val="18"/>
              </w:rPr>
              <w:t>Source</w:t>
            </w:r>
          </w:p>
        </w:tc>
        <w:tc>
          <w:tcPr>
            <w:tcW w:w="1260" w:type="dxa"/>
            <w:tcBorders>
              <w:top w:val="single" w:sz="18" w:space="0" w:color="auto"/>
              <w:bottom w:val="single" w:sz="18" w:space="0" w:color="auto"/>
            </w:tcBorders>
            <w:vAlign w:val="bottom"/>
          </w:tcPr>
          <w:p w14:paraId="27B93CE8" w14:textId="77777777" w:rsidR="00C45CA5" w:rsidRPr="00C45CA5" w:rsidRDefault="00C45CA5" w:rsidP="00C45CA5">
            <w:pPr>
              <w:rPr>
                <w:b/>
                <w:sz w:val="20"/>
                <w:szCs w:val="18"/>
              </w:rPr>
            </w:pPr>
            <w:r w:rsidRPr="00C45CA5">
              <w:rPr>
                <w:rFonts w:ascii="Calibri" w:hAnsi="Calibri" w:cs="Calibri"/>
                <w:b/>
                <w:color w:val="000000"/>
                <w:sz w:val="20"/>
                <w:szCs w:val="18"/>
              </w:rPr>
              <w:t>Description</w:t>
            </w:r>
          </w:p>
        </w:tc>
        <w:tc>
          <w:tcPr>
            <w:tcW w:w="969" w:type="dxa"/>
            <w:tcBorders>
              <w:top w:val="single" w:sz="18" w:space="0" w:color="auto"/>
              <w:bottom w:val="single" w:sz="18" w:space="0" w:color="auto"/>
              <w:right w:val="single" w:sz="18" w:space="0" w:color="auto"/>
            </w:tcBorders>
            <w:vAlign w:val="bottom"/>
          </w:tcPr>
          <w:p w14:paraId="08625D16" w14:textId="77777777" w:rsidR="00C45CA5" w:rsidRPr="00C45CA5" w:rsidRDefault="00C45CA5" w:rsidP="00C45CA5">
            <w:pPr>
              <w:rPr>
                <w:b/>
                <w:sz w:val="20"/>
                <w:szCs w:val="18"/>
              </w:rPr>
            </w:pPr>
            <w:r w:rsidRPr="00C45CA5">
              <w:rPr>
                <w:rFonts w:ascii="Calibri" w:hAnsi="Calibri" w:cs="Calibri"/>
                <w:b/>
                <w:color w:val="000000"/>
                <w:sz w:val="20"/>
                <w:szCs w:val="18"/>
              </w:rPr>
              <w:t>Region</w:t>
            </w:r>
          </w:p>
        </w:tc>
        <w:tc>
          <w:tcPr>
            <w:tcW w:w="689" w:type="dxa"/>
            <w:tcBorders>
              <w:top w:val="single" w:sz="18" w:space="0" w:color="auto"/>
              <w:left w:val="single" w:sz="18" w:space="0" w:color="auto"/>
              <w:bottom w:val="single" w:sz="18" w:space="0" w:color="auto"/>
            </w:tcBorders>
            <w:vAlign w:val="bottom"/>
          </w:tcPr>
          <w:p w14:paraId="4099CF70" w14:textId="77777777" w:rsidR="00C45CA5" w:rsidRPr="00C45CA5" w:rsidRDefault="00C45CA5" w:rsidP="00C45CA5">
            <w:pPr>
              <w:rPr>
                <w:b/>
                <w:sz w:val="20"/>
                <w:szCs w:val="18"/>
              </w:rPr>
            </w:pPr>
            <w:r w:rsidRPr="00C45CA5">
              <w:rPr>
                <w:rFonts w:ascii="Calibri" w:hAnsi="Calibri" w:cs="Calibri"/>
                <w:b/>
                <w:color w:val="000000"/>
                <w:sz w:val="20"/>
                <w:szCs w:val="18"/>
              </w:rPr>
              <w:t>Steel</w:t>
            </w:r>
          </w:p>
        </w:tc>
        <w:tc>
          <w:tcPr>
            <w:tcW w:w="1006" w:type="dxa"/>
            <w:tcBorders>
              <w:top w:val="single" w:sz="18" w:space="0" w:color="auto"/>
              <w:bottom w:val="single" w:sz="18" w:space="0" w:color="auto"/>
            </w:tcBorders>
            <w:vAlign w:val="bottom"/>
          </w:tcPr>
          <w:p w14:paraId="67B7C93C" w14:textId="77777777" w:rsidR="00C45CA5" w:rsidRPr="00C45CA5" w:rsidRDefault="00C45CA5" w:rsidP="00C45CA5">
            <w:pPr>
              <w:rPr>
                <w:b/>
                <w:sz w:val="20"/>
                <w:szCs w:val="18"/>
              </w:rPr>
            </w:pPr>
            <w:r w:rsidRPr="00C45CA5">
              <w:rPr>
                <w:rFonts w:ascii="Calibri" w:hAnsi="Calibri" w:cs="Calibri"/>
                <w:b/>
                <w:color w:val="000000"/>
                <w:sz w:val="20"/>
                <w:szCs w:val="18"/>
              </w:rPr>
              <w:t>Concrete</w:t>
            </w:r>
          </w:p>
        </w:tc>
        <w:tc>
          <w:tcPr>
            <w:tcW w:w="1170" w:type="dxa"/>
            <w:tcBorders>
              <w:top w:val="single" w:sz="18" w:space="0" w:color="auto"/>
              <w:bottom w:val="single" w:sz="18" w:space="0" w:color="auto"/>
            </w:tcBorders>
            <w:vAlign w:val="bottom"/>
          </w:tcPr>
          <w:p w14:paraId="10B002ED" w14:textId="77777777" w:rsidR="00C45CA5" w:rsidRPr="00C45CA5" w:rsidRDefault="00C45CA5" w:rsidP="00C45CA5">
            <w:pPr>
              <w:rPr>
                <w:b/>
                <w:sz w:val="20"/>
                <w:szCs w:val="18"/>
              </w:rPr>
            </w:pPr>
            <w:r w:rsidRPr="00C45CA5">
              <w:rPr>
                <w:rFonts w:ascii="Calibri" w:hAnsi="Calibri" w:cs="Calibri"/>
                <w:b/>
                <w:color w:val="000000"/>
                <w:sz w:val="20"/>
                <w:szCs w:val="18"/>
              </w:rPr>
              <w:t>Aluminium</w:t>
            </w:r>
          </w:p>
        </w:tc>
        <w:tc>
          <w:tcPr>
            <w:tcW w:w="900" w:type="dxa"/>
            <w:tcBorders>
              <w:top w:val="single" w:sz="18" w:space="0" w:color="auto"/>
              <w:bottom w:val="single" w:sz="18" w:space="0" w:color="auto"/>
            </w:tcBorders>
            <w:vAlign w:val="bottom"/>
          </w:tcPr>
          <w:p w14:paraId="4B6D08CD" w14:textId="77777777" w:rsidR="00C45CA5" w:rsidRPr="00C45CA5" w:rsidRDefault="00C45CA5" w:rsidP="00C45CA5">
            <w:pPr>
              <w:rPr>
                <w:b/>
                <w:sz w:val="20"/>
                <w:szCs w:val="18"/>
              </w:rPr>
            </w:pPr>
            <w:r w:rsidRPr="00C45CA5">
              <w:rPr>
                <w:rFonts w:ascii="Calibri" w:hAnsi="Calibri" w:cs="Calibri"/>
                <w:b/>
                <w:color w:val="000000"/>
                <w:sz w:val="20"/>
                <w:szCs w:val="18"/>
              </w:rPr>
              <w:t>Copper</w:t>
            </w:r>
          </w:p>
        </w:tc>
        <w:tc>
          <w:tcPr>
            <w:tcW w:w="720" w:type="dxa"/>
            <w:tcBorders>
              <w:top w:val="single" w:sz="18" w:space="0" w:color="auto"/>
              <w:bottom w:val="single" w:sz="18" w:space="0" w:color="auto"/>
            </w:tcBorders>
            <w:vAlign w:val="bottom"/>
          </w:tcPr>
          <w:p w14:paraId="30F77DFC" w14:textId="77777777" w:rsidR="00C45CA5" w:rsidRPr="00C45CA5" w:rsidRDefault="00C45CA5" w:rsidP="00C45CA5">
            <w:pPr>
              <w:rPr>
                <w:b/>
                <w:sz w:val="20"/>
                <w:szCs w:val="18"/>
              </w:rPr>
            </w:pPr>
            <w:r w:rsidRPr="00C45CA5">
              <w:rPr>
                <w:rFonts w:ascii="Calibri" w:hAnsi="Calibri" w:cs="Calibri"/>
                <w:b/>
                <w:color w:val="000000"/>
                <w:sz w:val="20"/>
                <w:szCs w:val="18"/>
              </w:rPr>
              <w:t>Wood</w:t>
            </w:r>
          </w:p>
        </w:tc>
        <w:tc>
          <w:tcPr>
            <w:tcW w:w="733" w:type="dxa"/>
            <w:tcBorders>
              <w:top w:val="single" w:sz="18" w:space="0" w:color="auto"/>
              <w:bottom w:val="single" w:sz="18" w:space="0" w:color="auto"/>
              <w:right w:val="single" w:sz="18" w:space="0" w:color="auto"/>
            </w:tcBorders>
            <w:vAlign w:val="bottom"/>
          </w:tcPr>
          <w:p w14:paraId="21A8FA66" w14:textId="77777777" w:rsidR="00C45CA5" w:rsidRPr="00C45CA5" w:rsidRDefault="00C45CA5" w:rsidP="00C45CA5">
            <w:pPr>
              <w:rPr>
                <w:b/>
                <w:sz w:val="20"/>
                <w:szCs w:val="18"/>
              </w:rPr>
            </w:pPr>
            <w:r w:rsidRPr="00C45CA5">
              <w:rPr>
                <w:rFonts w:ascii="Calibri" w:hAnsi="Calibri" w:cs="Calibri"/>
                <w:b/>
                <w:color w:val="000000"/>
                <w:sz w:val="20"/>
                <w:szCs w:val="18"/>
              </w:rPr>
              <w:t>Glass</w:t>
            </w:r>
          </w:p>
        </w:tc>
      </w:tr>
      <w:tr w:rsidR="00C45CA5" w14:paraId="17EFDDB7" w14:textId="77777777" w:rsidTr="009C3171">
        <w:trPr>
          <w:trHeight w:val="401"/>
        </w:trPr>
        <w:tc>
          <w:tcPr>
            <w:tcW w:w="867" w:type="dxa"/>
            <w:vMerge w:val="restart"/>
            <w:tcBorders>
              <w:top w:val="single" w:sz="18" w:space="0" w:color="auto"/>
              <w:left w:val="single" w:sz="18" w:space="0" w:color="auto"/>
              <w:right w:val="single" w:sz="18" w:space="0" w:color="auto"/>
            </w:tcBorders>
            <w:textDirection w:val="btLr"/>
            <w:vAlign w:val="center"/>
          </w:tcPr>
          <w:p w14:paraId="541C7919" w14:textId="77777777" w:rsidR="00C45CA5" w:rsidRPr="00303024" w:rsidRDefault="00C45CA5" w:rsidP="00C45CA5">
            <w:pPr>
              <w:ind w:left="113" w:right="113"/>
              <w:jc w:val="center"/>
              <w:rPr>
                <w:b/>
                <w:sz w:val="18"/>
                <w:szCs w:val="18"/>
              </w:rPr>
            </w:pPr>
            <w:r w:rsidRPr="00303024">
              <w:rPr>
                <w:rFonts w:ascii="Calibri" w:hAnsi="Calibri" w:cs="Calibri"/>
                <w:b/>
                <w:color w:val="000000"/>
                <w:sz w:val="18"/>
                <w:szCs w:val="18"/>
              </w:rPr>
              <w:t>Offices</w:t>
            </w:r>
          </w:p>
        </w:tc>
        <w:tc>
          <w:tcPr>
            <w:tcW w:w="1761" w:type="dxa"/>
            <w:tcBorders>
              <w:top w:val="single" w:sz="18" w:space="0" w:color="auto"/>
              <w:left w:val="single" w:sz="18" w:space="0" w:color="auto"/>
            </w:tcBorders>
            <w:shd w:val="clear" w:color="auto" w:fill="BDD6EE" w:themeFill="accent1" w:themeFillTint="66"/>
            <w:vAlign w:val="bottom"/>
          </w:tcPr>
          <w:p w14:paraId="635E9317" w14:textId="116DC9FB" w:rsidR="00C45CA5" w:rsidRPr="00303024" w:rsidRDefault="00C45CA5" w:rsidP="00C45CA5">
            <w:pPr>
              <w:rPr>
                <w:sz w:val="18"/>
                <w:szCs w:val="18"/>
              </w:rPr>
            </w:pPr>
            <w:r w:rsidRPr="00303024">
              <w:rPr>
                <w:rFonts w:ascii="Calibri" w:hAnsi="Calibri" w:cs="Calibri"/>
                <w:color w:val="000000"/>
                <w:sz w:val="18"/>
                <w:szCs w:val="18"/>
              </w:rPr>
              <w:t>Ecoinvent</w:t>
            </w:r>
            <w:r w:rsidR="009268DA">
              <w:rPr>
                <w:rFonts w:ascii="Calibri" w:hAnsi="Calibri" w:cs="Calibri"/>
                <w:color w:val="000000"/>
                <w:sz w:val="18"/>
                <w:szCs w:val="18"/>
              </w:rPr>
              <w:t xml:space="preserve"> </w:t>
            </w:r>
            <w:r w:rsidR="009268DA">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{"citationItems":[{"id":"ITEM-1","itemData":{"DOI":"10.1109/SECON.2017.7925283","ISBN":"VO  -","abstract":"This part corresponds to the original report (Werner et al. 2003) that has been updated with the changes reported in (Frischknecht et al. 2006) and augmented with various building products and components such as window frames, doors, claddings. The report consists of the following parts: Part I Gravel and Sand Products and Processes Part II Cement Products and Processes Part III Concrete Products and Processes Part IV Clay Products and Processes Part V Refractory Bricks Part VI Ceramics Part VII Lime Products and Processes Part VIII Gypsum Products and Processes Part IX Fibre Cement Products and Processes Part X Sand-Lime Brick Part XI Flat Glass Products and Processes Part XII Glass Products and Processing for Solar Collectors Part XIII Glass Fibre Reinforced Plastic Products Part XIV Insulation Products and Processes Part XV Elastomere Tube Insulation Part XVI Cork Part XVII Mortar and Plaster Products and Processes Part XVIII Additional Products and Processes Part XIX Bentonite Products and Processes Part XX Synthetic rubber (EPDM) Part XXI Lightweight Products and its Preliminary Products and Processes Part XXII Natural Stone Plate Part XXIII Bituminous Products and Processes Part XXIV Titanium Zinc Plate Part XXV Tin plating Part XXVI Glazing, Window frames, Claddings and Doors","author":[{"dropping-particle":"","family":"Kellenberger","given":"Daniel","non-dropping-particle":"","parse-names":false,"suffix":""},{"dropping-particle":"","family":"Althaus","given":"Hans-Jörg","non-dropping-particle":"","parse-names":false,"suffix":""},{"dropping-particle":"","family":"Künninger","given":"Tina","non-dropping-particle":"","parse-names":false,"suffix":""},{"dropping-particle":"","family":"Lehmann","given":"Martin","non-dropping-particle":"","parse-names":false,"suffix":""},{"dropping-particle":"","family":"Jungbluth","given":"Niels","non-dropping-particle":"","parse-names":false,"suffix":""},{"dropping-particle":"","family":"Thalmann","given":"Philipp","non-dropping-particle":"","parse-names":false,"suffix":""}],"container-title":"ecoinvent report No. 7","id":"ITEM-1","issued":{"date-parts":[["2007"]]},"title":"Life Cycle Inventories of Building Products","type":"article"},"uris":["http://www.mendeley.com/documents/?uuid=ef5d8d58-1500-4946-8952-c4b9683b2fbd"]}],"mendeley":{"formattedCitation":"&lt;sup&gt;34&lt;/sup&gt;","plainTextFormattedCitation":"34","previouslyFormattedCitation":"&lt;sup&gt;34&lt;/sup&gt;"},"properties":{"noteIndex":0},"schema":"https://github.com/citation-style-language/schema/raw/master/csl-citation.json"}</w:instrText>
            </w:r>
            <w:r w:rsidR="009268DA">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34</w:t>
            </w:r>
            <w:r w:rsidR="009268DA">
              <w:rPr>
                <w:rFonts w:ascii="Calibri" w:hAnsi="Calibri" w:cs="Calibri"/>
                <w:color w:val="000000"/>
                <w:sz w:val="18"/>
                <w:szCs w:val="18"/>
              </w:rPr>
              <w:fldChar w:fldCharType="end"/>
            </w:r>
          </w:p>
        </w:tc>
        <w:tc>
          <w:tcPr>
            <w:tcW w:w="1260" w:type="dxa"/>
            <w:tcBorders>
              <w:top w:val="single" w:sz="18" w:space="0" w:color="auto"/>
            </w:tcBorders>
            <w:shd w:val="clear" w:color="auto" w:fill="BDD6EE" w:themeFill="accent1" w:themeFillTint="66"/>
            <w:vAlign w:val="bottom"/>
          </w:tcPr>
          <w:p w14:paraId="3E3DBF7C" w14:textId="77777777" w:rsidR="00C45CA5" w:rsidRPr="00303024" w:rsidRDefault="00C45CA5" w:rsidP="00C45CA5">
            <w:pPr>
              <w:rPr>
                <w:sz w:val="18"/>
                <w:szCs w:val="18"/>
              </w:rPr>
            </w:pPr>
            <w:r w:rsidRPr="00303024">
              <w:rPr>
                <w:rFonts w:ascii="Calibri" w:hAnsi="Calibri" w:cs="Calibri"/>
                <w:color w:val="000000"/>
                <w:sz w:val="18"/>
                <w:szCs w:val="18"/>
              </w:rPr>
              <w:t>Multi-storey building</w:t>
            </w:r>
          </w:p>
        </w:tc>
        <w:tc>
          <w:tcPr>
            <w:tcW w:w="969" w:type="dxa"/>
            <w:tcBorders>
              <w:top w:val="single" w:sz="18" w:space="0" w:color="auto"/>
              <w:right w:val="single" w:sz="18" w:space="0" w:color="auto"/>
            </w:tcBorders>
            <w:shd w:val="clear" w:color="auto" w:fill="BDD6EE" w:themeFill="accent1" w:themeFillTint="66"/>
            <w:vAlign w:val="bottom"/>
          </w:tcPr>
          <w:p w14:paraId="61E7C1A0" w14:textId="77777777" w:rsidR="00C45CA5" w:rsidRPr="00303024" w:rsidRDefault="00C45CA5" w:rsidP="00C45CA5">
            <w:pPr>
              <w:rPr>
                <w:sz w:val="18"/>
                <w:szCs w:val="18"/>
              </w:rPr>
            </w:pPr>
            <w:r w:rsidRPr="00303024">
              <w:rPr>
                <w:rFonts w:ascii="Calibri" w:hAnsi="Calibri" w:cs="Calibri"/>
                <w:color w:val="000000"/>
                <w:sz w:val="18"/>
                <w:szCs w:val="18"/>
              </w:rPr>
              <w:t>-</w:t>
            </w:r>
          </w:p>
        </w:tc>
        <w:tc>
          <w:tcPr>
            <w:tcW w:w="689" w:type="dxa"/>
            <w:tcBorders>
              <w:top w:val="single" w:sz="18" w:space="0" w:color="auto"/>
              <w:left w:val="single" w:sz="18" w:space="0" w:color="auto"/>
            </w:tcBorders>
            <w:shd w:val="clear" w:color="auto" w:fill="BDD6EE" w:themeFill="accent1" w:themeFillTint="66"/>
            <w:vAlign w:val="bottom"/>
          </w:tcPr>
          <w:p w14:paraId="12FBFF34" w14:textId="77777777" w:rsidR="00C45CA5" w:rsidRPr="00303024" w:rsidRDefault="00C45CA5" w:rsidP="00C45CA5">
            <w:pPr>
              <w:jc w:val="center"/>
              <w:rPr>
                <w:sz w:val="18"/>
                <w:szCs w:val="18"/>
              </w:rPr>
            </w:pPr>
            <w:r w:rsidRPr="00303024">
              <w:rPr>
                <w:rFonts w:ascii="Calibri" w:hAnsi="Calibri" w:cs="Calibri"/>
                <w:color w:val="000000"/>
                <w:sz w:val="18"/>
                <w:szCs w:val="18"/>
              </w:rPr>
              <w:t>24</w:t>
            </w:r>
          </w:p>
        </w:tc>
        <w:tc>
          <w:tcPr>
            <w:tcW w:w="1006" w:type="dxa"/>
            <w:tcBorders>
              <w:top w:val="single" w:sz="18" w:space="0" w:color="auto"/>
            </w:tcBorders>
            <w:shd w:val="clear" w:color="auto" w:fill="BDD6EE" w:themeFill="accent1" w:themeFillTint="66"/>
            <w:vAlign w:val="bottom"/>
          </w:tcPr>
          <w:p w14:paraId="687A2CD4" w14:textId="77777777" w:rsidR="00C45CA5" w:rsidRPr="00303024" w:rsidRDefault="00C45CA5" w:rsidP="00C45CA5">
            <w:pPr>
              <w:jc w:val="center"/>
              <w:rPr>
                <w:sz w:val="18"/>
                <w:szCs w:val="18"/>
              </w:rPr>
            </w:pPr>
            <w:r w:rsidRPr="00303024">
              <w:rPr>
                <w:rFonts w:ascii="Calibri" w:hAnsi="Calibri" w:cs="Calibri"/>
                <w:color w:val="000000"/>
                <w:sz w:val="18"/>
                <w:szCs w:val="18"/>
              </w:rPr>
              <w:t>393</w:t>
            </w:r>
          </w:p>
        </w:tc>
        <w:tc>
          <w:tcPr>
            <w:tcW w:w="1170" w:type="dxa"/>
            <w:tcBorders>
              <w:top w:val="single" w:sz="18" w:space="0" w:color="auto"/>
            </w:tcBorders>
            <w:shd w:val="clear" w:color="auto" w:fill="BDD6EE" w:themeFill="accent1" w:themeFillTint="66"/>
            <w:vAlign w:val="bottom"/>
          </w:tcPr>
          <w:p w14:paraId="3216B109" w14:textId="77777777" w:rsidR="00C45CA5" w:rsidRPr="00303024" w:rsidRDefault="00C45CA5" w:rsidP="00C45CA5">
            <w:pPr>
              <w:jc w:val="center"/>
              <w:rPr>
                <w:sz w:val="18"/>
                <w:szCs w:val="18"/>
              </w:rPr>
            </w:pPr>
            <w:r w:rsidRPr="00303024">
              <w:rPr>
                <w:rFonts w:ascii="Calibri" w:hAnsi="Calibri" w:cs="Calibri"/>
                <w:color w:val="000000"/>
                <w:sz w:val="18"/>
                <w:szCs w:val="18"/>
              </w:rPr>
              <w:t>8.5</w:t>
            </w:r>
          </w:p>
        </w:tc>
        <w:tc>
          <w:tcPr>
            <w:tcW w:w="900" w:type="dxa"/>
            <w:tcBorders>
              <w:top w:val="single" w:sz="18" w:space="0" w:color="auto"/>
            </w:tcBorders>
            <w:shd w:val="clear" w:color="auto" w:fill="BDD6EE" w:themeFill="accent1" w:themeFillTint="66"/>
            <w:vAlign w:val="bottom"/>
          </w:tcPr>
          <w:p w14:paraId="2B926EF4" w14:textId="77777777" w:rsidR="00C45CA5" w:rsidRPr="00303024" w:rsidRDefault="00C45CA5" w:rsidP="00C45CA5">
            <w:pPr>
              <w:jc w:val="center"/>
              <w:rPr>
                <w:sz w:val="18"/>
                <w:szCs w:val="18"/>
              </w:rPr>
            </w:pPr>
            <w:r w:rsidRPr="00303024">
              <w:rPr>
                <w:rFonts w:ascii="Calibri" w:hAnsi="Calibri" w:cs="Calibri"/>
                <w:color w:val="000000"/>
                <w:sz w:val="18"/>
                <w:szCs w:val="18"/>
              </w:rPr>
              <w:t>8.5</w:t>
            </w:r>
          </w:p>
        </w:tc>
        <w:tc>
          <w:tcPr>
            <w:tcW w:w="720" w:type="dxa"/>
            <w:tcBorders>
              <w:top w:val="single" w:sz="18" w:space="0" w:color="auto"/>
            </w:tcBorders>
            <w:shd w:val="clear" w:color="auto" w:fill="BDD6EE" w:themeFill="accent1" w:themeFillTint="66"/>
            <w:vAlign w:val="bottom"/>
          </w:tcPr>
          <w:p w14:paraId="2BB74176" w14:textId="77777777" w:rsidR="00C45CA5" w:rsidRPr="00303024" w:rsidRDefault="00C45CA5" w:rsidP="00C45CA5">
            <w:pPr>
              <w:jc w:val="center"/>
              <w:rPr>
                <w:sz w:val="18"/>
                <w:szCs w:val="18"/>
              </w:rPr>
            </w:pPr>
            <w:r w:rsidRPr="00303024">
              <w:rPr>
                <w:rFonts w:ascii="Calibri" w:hAnsi="Calibri" w:cs="Calibri"/>
                <w:color w:val="000000"/>
                <w:sz w:val="18"/>
                <w:szCs w:val="18"/>
              </w:rPr>
              <w:t>24.7</w:t>
            </w:r>
          </w:p>
        </w:tc>
        <w:tc>
          <w:tcPr>
            <w:tcW w:w="733" w:type="dxa"/>
            <w:tcBorders>
              <w:top w:val="single" w:sz="18" w:space="0" w:color="auto"/>
              <w:right w:val="single" w:sz="18" w:space="0" w:color="auto"/>
            </w:tcBorders>
            <w:shd w:val="clear" w:color="auto" w:fill="BDD6EE" w:themeFill="accent1" w:themeFillTint="66"/>
            <w:vAlign w:val="bottom"/>
          </w:tcPr>
          <w:p w14:paraId="305715E6" w14:textId="77777777" w:rsidR="00C45CA5" w:rsidRPr="00303024" w:rsidRDefault="00C45CA5" w:rsidP="00C45CA5">
            <w:pPr>
              <w:jc w:val="center"/>
              <w:rPr>
                <w:sz w:val="18"/>
                <w:szCs w:val="18"/>
              </w:rPr>
            </w:pPr>
            <w:r w:rsidRPr="00303024">
              <w:rPr>
                <w:rFonts w:ascii="Calibri" w:hAnsi="Calibri" w:cs="Calibri"/>
                <w:color w:val="000000"/>
                <w:sz w:val="18"/>
                <w:szCs w:val="18"/>
              </w:rPr>
              <w:t>3.1</w:t>
            </w:r>
          </w:p>
        </w:tc>
      </w:tr>
      <w:tr w:rsidR="00C45CA5" w14:paraId="6E595F61" w14:textId="77777777" w:rsidTr="009C3171">
        <w:trPr>
          <w:trHeight w:val="401"/>
        </w:trPr>
        <w:tc>
          <w:tcPr>
            <w:tcW w:w="867" w:type="dxa"/>
            <w:vMerge/>
            <w:tcBorders>
              <w:left w:val="single" w:sz="18" w:space="0" w:color="auto"/>
              <w:right w:val="single" w:sz="18" w:space="0" w:color="auto"/>
            </w:tcBorders>
            <w:vAlign w:val="bottom"/>
          </w:tcPr>
          <w:p w14:paraId="6819820E" w14:textId="77777777" w:rsidR="00C45CA5" w:rsidRPr="00303024" w:rsidRDefault="00C45CA5" w:rsidP="00C45CA5">
            <w:pPr>
              <w:rPr>
                <w:sz w:val="18"/>
                <w:szCs w:val="18"/>
              </w:rPr>
            </w:pPr>
          </w:p>
        </w:tc>
        <w:tc>
          <w:tcPr>
            <w:tcW w:w="1761" w:type="dxa"/>
            <w:tcBorders>
              <w:left w:val="single" w:sz="18" w:space="0" w:color="auto"/>
            </w:tcBorders>
            <w:shd w:val="clear" w:color="auto" w:fill="BDD6EE" w:themeFill="accent1" w:themeFillTint="66"/>
            <w:vAlign w:val="bottom"/>
          </w:tcPr>
          <w:p w14:paraId="359F455A" w14:textId="49B1445D" w:rsidR="00C45CA5" w:rsidRPr="00303024" w:rsidRDefault="00C45CA5" w:rsidP="00C45CA5">
            <w:pPr>
              <w:rPr>
                <w:sz w:val="18"/>
                <w:szCs w:val="18"/>
              </w:rPr>
            </w:pPr>
            <w:r w:rsidRPr="00303024">
              <w:rPr>
                <w:rFonts w:ascii="Calibri" w:hAnsi="Calibri" w:cs="Calibri"/>
                <w:color w:val="000000"/>
                <w:sz w:val="18"/>
                <w:szCs w:val="18"/>
              </w:rPr>
              <w:t>Kashkooli</w:t>
            </w:r>
            <w:r w:rsidR="009268DA">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{"citationItems":[{"id":"ITEM-1","itemData":{"DOI":"10.1016/j.scs.2013.11.002","ISSN":"22106707","author":[{"dropping-particle":"","family":"Kashkooli","given":"Ali M.S.","non-dropping-particle":"","parse-names":false,"suffix":""},{"dropping-particle":"","family":"Vargas","given":"Gloria A.","non-dropping-particle":"","parse-names":false,"suffix":""},{"dropping-particle":"","family":"Altan","given":"Hasim","non-dropping-particle":"","parse-names":false,"suffix":""}],"container-title":"Sustainable Cities and Society","id":"ITEM-1","issued":{"date-parts":[["2014","7"]]},"page":"16-24","title":"A semi-quantitative framework of building lifecycle analysis: Demonstrated through a case study of a typical office building block in Mexico in warm and humid climate","type":"article-journal","volume":"12"},"uris":["http://www.mendeley.com/documents/?uuid=cdc95af8-1619-4bff-8cac-a4641eb38166"]}],"mendeley":{"formattedCitation":"&lt;sup&gt;35&lt;/sup&gt;","plainTextFormattedCitation":"35","previouslyFormattedCitation":"&lt;sup&gt;35&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35</w:t>
            </w:r>
            <w:r w:rsidR="007151B4">
              <w:rPr>
                <w:rFonts w:ascii="Calibri" w:hAnsi="Calibri" w:cs="Calibri"/>
                <w:color w:val="000000"/>
                <w:sz w:val="18"/>
                <w:szCs w:val="18"/>
              </w:rPr>
              <w:fldChar w:fldCharType="end"/>
            </w:r>
          </w:p>
        </w:tc>
        <w:tc>
          <w:tcPr>
            <w:tcW w:w="1260" w:type="dxa"/>
            <w:shd w:val="clear" w:color="auto" w:fill="BDD6EE" w:themeFill="accent1" w:themeFillTint="66"/>
            <w:vAlign w:val="bottom"/>
          </w:tcPr>
          <w:p w14:paraId="3A34679C" w14:textId="77777777" w:rsidR="00C45CA5" w:rsidRPr="00303024" w:rsidRDefault="00C45CA5" w:rsidP="00C45CA5">
            <w:pPr>
              <w:rPr>
                <w:sz w:val="18"/>
                <w:szCs w:val="18"/>
              </w:rPr>
            </w:pPr>
            <w:r w:rsidRPr="00303024">
              <w:rPr>
                <w:rFonts w:ascii="Calibri" w:hAnsi="Calibri" w:cs="Calibri"/>
                <w:color w:val="000000"/>
                <w:sz w:val="18"/>
                <w:szCs w:val="18"/>
              </w:rPr>
              <w:t>High-rise office building</w:t>
            </w:r>
          </w:p>
        </w:tc>
        <w:tc>
          <w:tcPr>
            <w:tcW w:w="969" w:type="dxa"/>
            <w:tcBorders>
              <w:right w:val="single" w:sz="18" w:space="0" w:color="auto"/>
            </w:tcBorders>
            <w:shd w:val="clear" w:color="auto" w:fill="BDD6EE" w:themeFill="accent1" w:themeFillTint="66"/>
            <w:vAlign w:val="bottom"/>
          </w:tcPr>
          <w:p w14:paraId="0777A451" w14:textId="77777777" w:rsidR="00C45CA5" w:rsidRPr="00303024" w:rsidRDefault="00C45CA5" w:rsidP="00C45CA5">
            <w:pPr>
              <w:rPr>
                <w:sz w:val="18"/>
                <w:szCs w:val="18"/>
              </w:rPr>
            </w:pPr>
            <w:r w:rsidRPr="00303024">
              <w:rPr>
                <w:rFonts w:ascii="Calibri" w:hAnsi="Calibri" w:cs="Calibri"/>
                <w:color w:val="000000"/>
                <w:sz w:val="18"/>
                <w:szCs w:val="18"/>
              </w:rPr>
              <w:t>Mexico</w:t>
            </w:r>
          </w:p>
        </w:tc>
        <w:tc>
          <w:tcPr>
            <w:tcW w:w="689" w:type="dxa"/>
            <w:tcBorders>
              <w:left w:val="single" w:sz="18" w:space="0" w:color="auto"/>
            </w:tcBorders>
            <w:shd w:val="clear" w:color="auto" w:fill="BDD6EE" w:themeFill="accent1" w:themeFillTint="66"/>
            <w:vAlign w:val="bottom"/>
          </w:tcPr>
          <w:p w14:paraId="13E76655" w14:textId="77777777" w:rsidR="00C45CA5" w:rsidRPr="00303024" w:rsidRDefault="00C45CA5" w:rsidP="00C45CA5">
            <w:pPr>
              <w:jc w:val="center"/>
              <w:rPr>
                <w:sz w:val="18"/>
                <w:szCs w:val="18"/>
              </w:rPr>
            </w:pPr>
            <w:r w:rsidRPr="00303024">
              <w:rPr>
                <w:rFonts w:ascii="Calibri" w:hAnsi="Calibri" w:cs="Calibri"/>
                <w:color w:val="000000"/>
                <w:sz w:val="18"/>
                <w:szCs w:val="18"/>
              </w:rPr>
              <w:t>124</w:t>
            </w:r>
          </w:p>
        </w:tc>
        <w:tc>
          <w:tcPr>
            <w:tcW w:w="1006" w:type="dxa"/>
            <w:shd w:val="clear" w:color="auto" w:fill="BDD6EE" w:themeFill="accent1" w:themeFillTint="66"/>
            <w:vAlign w:val="bottom"/>
          </w:tcPr>
          <w:p w14:paraId="2F4D997B" w14:textId="77777777" w:rsidR="00C45CA5" w:rsidRPr="00303024" w:rsidRDefault="00C45CA5" w:rsidP="00C45CA5">
            <w:pPr>
              <w:jc w:val="center"/>
              <w:rPr>
                <w:sz w:val="18"/>
                <w:szCs w:val="18"/>
              </w:rPr>
            </w:pPr>
            <w:r w:rsidRPr="00303024">
              <w:rPr>
                <w:rFonts w:ascii="Calibri" w:hAnsi="Calibri" w:cs="Calibri"/>
                <w:color w:val="000000"/>
                <w:sz w:val="18"/>
                <w:szCs w:val="18"/>
              </w:rPr>
              <w:t>425</w:t>
            </w:r>
          </w:p>
        </w:tc>
        <w:tc>
          <w:tcPr>
            <w:tcW w:w="1170" w:type="dxa"/>
            <w:shd w:val="clear" w:color="auto" w:fill="BDD6EE" w:themeFill="accent1" w:themeFillTint="66"/>
            <w:vAlign w:val="bottom"/>
          </w:tcPr>
          <w:p w14:paraId="4F05CBEA" w14:textId="77777777" w:rsidR="00C45CA5" w:rsidRPr="00303024" w:rsidRDefault="00C45CA5" w:rsidP="00C45CA5">
            <w:pPr>
              <w:jc w:val="center"/>
              <w:rPr>
                <w:sz w:val="18"/>
                <w:szCs w:val="18"/>
              </w:rPr>
            </w:pPr>
          </w:p>
        </w:tc>
        <w:tc>
          <w:tcPr>
            <w:tcW w:w="900" w:type="dxa"/>
            <w:shd w:val="clear" w:color="auto" w:fill="BDD6EE" w:themeFill="accent1" w:themeFillTint="66"/>
            <w:vAlign w:val="bottom"/>
          </w:tcPr>
          <w:p w14:paraId="2C6CADBF" w14:textId="77777777" w:rsidR="00C45CA5" w:rsidRPr="00303024" w:rsidRDefault="00C45CA5" w:rsidP="00C45CA5">
            <w:pPr>
              <w:jc w:val="center"/>
              <w:rPr>
                <w:sz w:val="18"/>
                <w:szCs w:val="18"/>
              </w:rPr>
            </w:pPr>
            <w:r w:rsidRPr="00303024">
              <w:rPr>
                <w:rFonts w:ascii="Calibri" w:hAnsi="Calibri" w:cs="Calibri"/>
                <w:color w:val="000000"/>
                <w:sz w:val="18"/>
                <w:szCs w:val="18"/>
              </w:rPr>
              <w:t>2.7</w:t>
            </w:r>
          </w:p>
        </w:tc>
        <w:tc>
          <w:tcPr>
            <w:tcW w:w="720" w:type="dxa"/>
            <w:shd w:val="clear" w:color="auto" w:fill="BDD6EE" w:themeFill="accent1" w:themeFillTint="66"/>
            <w:vAlign w:val="bottom"/>
          </w:tcPr>
          <w:p w14:paraId="605234C7" w14:textId="77777777" w:rsidR="00C45CA5" w:rsidRPr="00303024" w:rsidRDefault="00C45CA5" w:rsidP="00C45CA5">
            <w:pPr>
              <w:jc w:val="center"/>
              <w:rPr>
                <w:sz w:val="18"/>
                <w:szCs w:val="18"/>
              </w:rPr>
            </w:pPr>
            <w:r w:rsidRPr="00303024">
              <w:rPr>
                <w:rFonts w:ascii="Calibri" w:hAnsi="Calibri" w:cs="Calibri"/>
                <w:color w:val="000000"/>
                <w:sz w:val="18"/>
                <w:szCs w:val="18"/>
              </w:rPr>
              <w:t>3.0</w:t>
            </w:r>
          </w:p>
        </w:tc>
        <w:tc>
          <w:tcPr>
            <w:tcW w:w="733" w:type="dxa"/>
            <w:tcBorders>
              <w:right w:val="single" w:sz="18" w:space="0" w:color="auto"/>
            </w:tcBorders>
            <w:shd w:val="clear" w:color="auto" w:fill="BDD6EE" w:themeFill="accent1" w:themeFillTint="66"/>
            <w:vAlign w:val="bottom"/>
          </w:tcPr>
          <w:p w14:paraId="4CBF9F91" w14:textId="77777777" w:rsidR="00C45CA5" w:rsidRPr="00303024" w:rsidRDefault="00C45CA5" w:rsidP="00C45CA5">
            <w:pPr>
              <w:jc w:val="center"/>
              <w:rPr>
                <w:sz w:val="18"/>
                <w:szCs w:val="18"/>
              </w:rPr>
            </w:pPr>
            <w:r w:rsidRPr="00303024">
              <w:rPr>
                <w:rFonts w:ascii="Calibri" w:hAnsi="Calibri" w:cs="Calibri"/>
                <w:color w:val="000000"/>
                <w:sz w:val="18"/>
                <w:szCs w:val="18"/>
              </w:rPr>
              <w:t>1.0</w:t>
            </w:r>
          </w:p>
        </w:tc>
      </w:tr>
      <w:tr w:rsidR="00C45CA5" w14:paraId="3975D27A" w14:textId="77777777" w:rsidTr="009C3171">
        <w:trPr>
          <w:trHeight w:val="401"/>
        </w:trPr>
        <w:tc>
          <w:tcPr>
            <w:tcW w:w="867" w:type="dxa"/>
            <w:vMerge/>
            <w:tcBorders>
              <w:left w:val="single" w:sz="18" w:space="0" w:color="auto"/>
              <w:right w:val="single" w:sz="18" w:space="0" w:color="auto"/>
            </w:tcBorders>
            <w:vAlign w:val="bottom"/>
          </w:tcPr>
          <w:p w14:paraId="75AD070B" w14:textId="77777777" w:rsidR="00C45CA5" w:rsidRPr="00303024" w:rsidRDefault="00C45CA5" w:rsidP="00C45CA5">
            <w:pPr>
              <w:rPr>
                <w:sz w:val="18"/>
                <w:szCs w:val="18"/>
              </w:rPr>
            </w:pPr>
          </w:p>
        </w:tc>
        <w:tc>
          <w:tcPr>
            <w:tcW w:w="1761" w:type="dxa"/>
            <w:tcBorders>
              <w:left w:val="single" w:sz="18" w:space="0" w:color="auto"/>
            </w:tcBorders>
            <w:shd w:val="clear" w:color="auto" w:fill="BDD6EE" w:themeFill="accent1" w:themeFillTint="66"/>
            <w:vAlign w:val="bottom"/>
          </w:tcPr>
          <w:p w14:paraId="09F4261D" w14:textId="4B3010F6" w:rsidR="00C45CA5" w:rsidRPr="00303024" w:rsidRDefault="00C45CA5" w:rsidP="00C45CA5">
            <w:pPr>
              <w:rPr>
                <w:sz w:val="18"/>
                <w:szCs w:val="18"/>
              </w:rPr>
            </w:pPr>
            <w:r w:rsidRPr="00303024">
              <w:rPr>
                <w:rFonts w:ascii="Calibri" w:hAnsi="Calibri" w:cs="Calibri"/>
                <w:color w:val="000000"/>
                <w:sz w:val="18"/>
                <w:szCs w:val="18"/>
              </w:rPr>
              <w:t>Kofoworola</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{"citationItems":[{"id":"ITEM-1","itemData":{"DOI":"10.1016/j.enbuild.2009.06.002","ISSN":"03787788","author":[{"dropping-particle":"","family":"Kofoworola","given":"Oyeshola F.","non-dropping-particle":"","parse-names":false,"suffix":""},{"dropping-particle":"","family":"Gheewala","given":"Shabbir H.","non-dropping-particle":"","parse-names":false,"suffix":""}],"container-title":"Energy and Buildings","id":"ITEM-1","issue":"10","issued":{"date-parts":[["2009","10"]]},"page":"1076-1083","title":"Life cycle energy assessment of a typical office building in Thailand","type":"article-journal","volume":"41"},"uris":["http://www.mendeley.com/documents/?uuid=c7cbbeba-fb5b-4d51-a7ba-e690c44de219"]}],"mendeley":{"formattedCitation":"&lt;sup&gt;36&lt;/sup&gt;","plainTextFormattedCitation":"36","previouslyFormattedCitation":"&lt;sup&gt;36&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36</w:t>
            </w:r>
            <w:r w:rsidR="007151B4">
              <w:rPr>
                <w:rFonts w:ascii="Calibri" w:hAnsi="Calibri" w:cs="Calibri"/>
                <w:color w:val="000000"/>
                <w:sz w:val="18"/>
                <w:szCs w:val="18"/>
              </w:rPr>
              <w:fldChar w:fldCharType="end"/>
            </w:r>
          </w:p>
        </w:tc>
        <w:tc>
          <w:tcPr>
            <w:tcW w:w="1260" w:type="dxa"/>
            <w:shd w:val="clear" w:color="auto" w:fill="BDD6EE" w:themeFill="accent1" w:themeFillTint="66"/>
            <w:vAlign w:val="bottom"/>
          </w:tcPr>
          <w:p w14:paraId="7666D669" w14:textId="77777777" w:rsidR="00C45CA5" w:rsidRPr="00303024" w:rsidRDefault="00C45CA5" w:rsidP="00C45CA5">
            <w:pPr>
              <w:rPr>
                <w:sz w:val="18"/>
                <w:szCs w:val="18"/>
              </w:rPr>
            </w:pPr>
            <w:r w:rsidRPr="00303024">
              <w:rPr>
                <w:rFonts w:ascii="Calibri" w:hAnsi="Calibri" w:cs="Calibri"/>
                <w:color w:val="000000"/>
                <w:sz w:val="18"/>
                <w:szCs w:val="18"/>
              </w:rPr>
              <w:t>Typical office building</w:t>
            </w:r>
          </w:p>
        </w:tc>
        <w:tc>
          <w:tcPr>
            <w:tcW w:w="969" w:type="dxa"/>
            <w:tcBorders>
              <w:right w:val="single" w:sz="18" w:space="0" w:color="auto"/>
            </w:tcBorders>
            <w:shd w:val="clear" w:color="auto" w:fill="BDD6EE" w:themeFill="accent1" w:themeFillTint="66"/>
            <w:vAlign w:val="bottom"/>
          </w:tcPr>
          <w:p w14:paraId="623C7CF8" w14:textId="77777777" w:rsidR="00C45CA5" w:rsidRPr="00303024" w:rsidRDefault="00C45CA5" w:rsidP="00C45CA5">
            <w:pPr>
              <w:rPr>
                <w:sz w:val="18"/>
                <w:szCs w:val="18"/>
              </w:rPr>
            </w:pPr>
            <w:r w:rsidRPr="00303024">
              <w:rPr>
                <w:rFonts w:ascii="Calibri" w:hAnsi="Calibri" w:cs="Calibri"/>
                <w:color w:val="000000"/>
                <w:sz w:val="18"/>
                <w:szCs w:val="18"/>
              </w:rPr>
              <w:t>Thailand</w:t>
            </w:r>
          </w:p>
        </w:tc>
        <w:tc>
          <w:tcPr>
            <w:tcW w:w="689" w:type="dxa"/>
            <w:tcBorders>
              <w:left w:val="single" w:sz="18" w:space="0" w:color="auto"/>
            </w:tcBorders>
            <w:shd w:val="clear" w:color="auto" w:fill="BDD6EE" w:themeFill="accent1" w:themeFillTint="66"/>
            <w:vAlign w:val="bottom"/>
          </w:tcPr>
          <w:p w14:paraId="459315A1" w14:textId="77777777" w:rsidR="00C45CA5" w:rsidRPr="00303024" w:rsidRDefault="00C45CA5" w:rsidP="00C45CA5">
            <w:pPr>
              <w:jc w:val="center"/>
              <w:rPr>
                <w:sz w:val="18"/>
                <w:szCs w:val="18"/>
              </w:rPr>
            </w:pPr>
            <w:r w:rsidRPr="00303024">
              <w:rPr>
                <w:rFonts w:ascii="Calibri" w:hAnsi="Calibri" w:cs="Calibri"/>
                <w:color w:val="000000"/>
                <w:sz w:val="18"/>
                <w:szCs w:val="18"/>
              </w:rPr>
              <w:t>256</w:t>
            </w:r>
          </w:p>
        </w:tc>
        <w:tc>
          <w:tcPr>
            <w:tcW w:w="1006" w:type="dxa"/>
            <w:shd w:val="clear" w:color="auto" w:fill="BDD6EE" w:themeFill="accent1" w:themeFillTint="66"/>
            <w:vAlign w:val="bottom"/>
          </w:tcPr>
          <w:p w14:paraId="36B18BAB" w14:textId="77777777" w:rsidR="00C45CA5" w:rsidRPr="00303024" w:rsidRDefault="00C45CA5" w:rsidP="00C45CA5">
            <w:pPr>
              <w:jc w:val="center"/>
              <w:rPr>
                <w:sz w:val="18"/>
                <w:szCs w:val="18"/>
              </w:rPr>
            </w:pPr>
            <w:r w:rsidRPr="00303024">
              <w:rPr>
                <w:rFonts w:ascii="Calibri" w:hAnsi="Calibri" w:cs="Calibri"/>
                <w:color w:val="000000"/>
                <w:sz w:val="18"/>
                <w:szCs w:val="18"/>
              </w:rPr>
              <w:t>2118</w:t>
            </w:r>
          </w:p>
        </w:tc>
        <w:tc>
          <w:tcPr>
            <w:tcW w:w="1170" w:type="dxa"/>
            <w:shd w:val="clear" w:color="auto" w:fill="BDD6EE" w:themeFill="accent1" w:themeFillTint="66"/>
            <w:vAlign w:val="bottom"/>
          </w:tcPr>
          <w:p w14:paraId="5447F237" w14:textId="77777777" w:rsidR="00C45CA5" w:rsidRPr="00303024" w:rsidRDefault="00C45CA5" w:rsidP="00C45CA5">
            <w:pPr>
              <w:jc w:val="center"/>
              <w:rPr>
                <w:sz w:val="18"/>
                <w:szCs w:val="18"/>
              </w:rPr>
            </w:pPr>
            <w:r w:rsidRPr="00303024">
              <w:rPr>
                <w:rFonts w:ascii="Calibri" w:hAnsi="Calibri" w:cs="Calibri"/>
                <w:color w:val="000000"/>
                <w:sz w:val="18"/>
                <w:szCs w:val="18"/>
              </w:rPr>
              <w:t>0.3</w:t>
            </w:r>
          </w:p>
        </w:tc>
        <w:tc>
          <w:tcPr>
            <w:tcW w:w="900" w:type="dxa"/>
            <w:shd w:val="clear" w:color="auto" w:fill="BDD6EE" w:themeFill="accent1" w:themeFillTint="66"/>
            <w:vAlign w:val="bottom"/>
          </w:tcPr>
          <w:p w14:paraId="672412AD" w14:textId="77777777" w:rsidR="00C45CA5" w:rsidRPr="00303024" w:rsidRDefault="00C45CA5" w:rsidP="00C45CA5">
            <w:pPr>
              <w:jc w:val="center"/>
              <w:rPr>
                <w:sz w:val="18"/>
                <w:szCs w:val="18"/>
              </w:rPr>
            </w:pPr>
          </w:p>
        </w:tc>
        <w:tc>
          <w:tcPr>
            <w:tcW w:w="720" w:type="dxa"/>
            <w:shd w:val="clear" w:color="auto" w:fill="BDD6EE" w:themeFill="accent1" w:themeFillTint="66"/>
            <w:vAlign w:val="bottom"/>
          </w:tcPr>
          <w:p w14:paraId="6DED69DC" w14:textId="77777777" w:rsidR="00C45CA5" w:rsidRPr="00303024" w:rsidRDefault="00C45CA5" w:rsidP="00C45CA5">
            <w:pPr>
              <w:jc w:val="center"/>
              <w:rPr>
                <w:sz w:val="18"/>
                <w:szCs w:val="18"/>
              </w:rPr>
            </w:pPr>
            <w:r w:rsidRPr="00303024">
              <w:rPr>
                <w:rFonts w:ascii="Calibri" w:hAnsi="Calibri" w:cs="Calibri"/>
                <w:color w:val="000000"/>
                <w:sz w:val="18"/>
                <w:szCs w:val="18"/>
              </w:rPr>
              <w:t>1.5</w:t>
            </w:r>
          </w:p>
        </w:tc>
        <w:tc>
          <w:tcPr>
            <w:tcW w:w="733" w:type="dxa"/>
            <w:tcBorders>
              <w:right w:val="single" w:sz="18" w:space="0" w:color="auto"/>
            </w:tcBorders>
            <w:shd w:val="clear" w:color="auto" w:fill="BDD6EE" w:themeFill="accent1" w:themeFillTint="66"/>
            <w:vAlign w:val="bottom"/>
          </w:tcPr>
          <w:p w14:paraId="48031628" w14:textId="77777777" w:rsidR="00C45CA5" w:rsidRPr="00303024" w:rsidRDefault="00C45CA5" w:rsidP="00C45CA5">
            <w:pPr>
              <w:jc w:val="center"/>
              <w:rPr>
                <w:sz w:val="18"/>
                <w:szCs w:val="18"/>
              </w:rPr>
            </w:pPr>
            <w:r w:rsidRPr="00303024">
              <w:rPr>
                <w:rFonts w:ascii="Calibri" w:hAnsi="Calibri" w:cs="Calibri"/>
                <w:color w:val="000000"/>
                <w:sz w:val="18"/>
                <w:szCs w:val="18"/>
              </w:rPr>
              <w:t>9.6</w:t>
            </w:r>
          </w:p>
        </w:tc>
      </w:tr>
      <w:tr w:rsidR="00C45CA5" w14:paraId="1AD5904A" w14:textId="77777777" w:rsidTr="009C3171">
        <w:trPr>
          <w:trHeight w:val="401"/>
        </w:trPr>
        <w:tc>
          <w:tcPr>
            <w:tcW w:w="867" w:type="dxa"/>
            <w:vMerge/>
            <w:tcBorders>
              <w:left w:val="single" w:sz="18" w:space="0" w:color="auto"/>
              <w:right w:val="single" w:sz="18" w:space="0" w:color="auto"/>
            </w:tcBorders>
            <w:vAlign w:val="bottom"/>
          </w:tcPr>
          <w:p w14:paraId="781852E8" w14:textId="77777777" w:rsidR="00C45CA5" w:rsidRPr="00303024" w:rsidRDefault="00C45CA5" w:rsidP="00C45CA5">
            <w:pPr>
              <w:rPr>
                <w:sz w:val="18"/>
                <w:szCs w:val="18"/>
              </w:rPr>
            </w:pPr>
          </w:p>
        </w:tc>
        <w:tc>
          <w:tcPr>
            <w:tcW w:w="1761" w:type="dxa"/>
            <w:tcBorders>
              <w:left w:val="single" w:sz="18" w:space="0" w:color="auto"/>
            </w:tcBorders>
            <w:shd w:val="clear" w:color="auto" w:fill="BDD6EE" w:themeFill="accent1" w:themeFillTint="66"/>
            <w:vAlign w:val="bottom"/>
          </w:tcPr>
          <w:p w14:paraId="58317E26" w14:textId="2087EF6D" w:rsidR="00C45CA5" w:rsidRPr="00303024" w:rsidRDefault="00C45CA5" w:rsidP="00C45CA5">
            <w:pPr>
              <w:rPr>
                <w:sz w:val="18"/>
                <w:szCs w:val="18"/>
              </w:rPr>
            </w:pPr>
            <w:r w:rsidRPr="00303024">
              <w:rPr>
                <w:rFonts w:ascii="Calibri" w:hAnsi="Calibri" w:cs="Calibri"/>
                <w:color w:val="000000"/>
                <w:sz w:val="18"/>
                <w:szCs w:val="18"/>
              </w:rPr>
              <w:t>Oka</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10.1016/0378-7788(93)90016-N","ISSN":"03787788","author":[{"dropping-particle":"","family":"Oka","given":"Tatsuo","non-dropping-particle":"","parse-names":false,"suffix":""},{"dropping-particle":"","family":"Suzuki","given":"Michiya","non-dropping-particle":"","parse-names":false,"suffix":""},{"dropping-particle":"","family":"Konnya","given":"Tetsuo","non-dropping-particle":"","parse-names":false,"suffix":""}],"container-title":"Energy and Buildings","id":"ITEM-1","issue":"4","issued":{"date-parts":[["1993","1"]]},"page":"303-311","title":"The estimation of energy consumption and amount of pollutants due to the construction of buildings","type":"article-journal","volume":"19"},"uris":["http://www.mendeley.com/documents/?uuid=e198c55d-8027-4ea2-b8af-5f095b52a67a"]}],"mendeley":{"formattedCitation":"&lt;sup&gt;37&lt;/sup&gt;","plainTextFormattedCitation":"37","previouslyFormattedCitation":"&lt;sup&gt;37&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37</w:t>
            </w:r>
            <w:r w:rsidR="007151B4">
              <w:rPr>
                <w:rFonts w:ascii="Calibri" w:hAnsi="Calibri" w:cs="Calibri"/>
                <w:color w:val="000000"/>
                <w:sz w:val="18"/>
                <w:szCs w:val="18"/>
              </w:rPr>
              <w:fldChar w:fldCharType="end"/>
            </w:r>
          </w:p>
        </w:tc>
        <w:tc>
          <w:tcPr>
            <w:tcW w:w="1260" w:type="dxa"/>
            <w:shd w:val="clear" w:color="auto" w:fill="BDD6EE" w:themeFill="accent1" w:themeFillTint="66"/>
            <w:vAlign w:val="bottom"/>
          </w:tcPr>
          <w:p w14:paraId="7DC158FC" w14:textId="77777777" w:rsidR="00C45CA5" w:rsidRPr="00303024" w:rsidRDefault="00C45CA5" w:rsidP="00C45CA5">
            <w:pPr>
              <w:rPr>
                <w:sz w:val="18"/>
                <w:szCs w:val="18"/>
              </w:rPr>
            </w:pPr>
            <w:r w:rsidRPr="00303024">
              <w:rPr>
                <w:rFonts w:ascii="Calibri" w:hAnsi="Calibri" w:cs="Calibri"/>
                <w:color w:val="000000"/>
                <w:sz w:val="18"/>
                <w:szCs w:val="18"/>
              </w:rPr>
              <w:t>Offices</w:t>
            </w:r>
          </w:p>
        </w:tc>
        <w:tc>
          <w:tcPr>
            <w:tcW w:w="969" w:type="dxa"/>
            <w:tcBorders>
              <w:right w:val="single" w:sz="18" w:space="0" w:color="auto"/>
            </w:tcBorders>
            <w:shd w:val="clear" w:color="auto" w:fill="BDD6EE" w:themeFill="accent1" w:themeFillTint="66"/>
            <w:vAlign w:val="bottom"/>
          </w:tcPr>
          <w:p w14:paraId="7D7FABF0" w14:textId="77777777" w:rsidR="00C45CA5" w:rsidRPr="00303024" w:rsidRDefault="00C45CA5" w:rsidP="00C45CA5">
            <w:pPr>
              <w:rPr>
                <w:sz w:val="18"/>
                <w:szCs w:val="18"/>
              </w:rPr>
            </w:pPr>
            <w:r w:rsidRPr="00303024">
              <w:rPr>
                <w:rFonts w:ascii="Calibri" w:hAnsi="Calibri" w:cs="Calibri"/>
                <w:color w:val="000000"/>
                <w:sz w:val="18"/>
                <w:szCs w:val="18"/>
              </w:rPr>
              <w:t>Japan</w:t>
            </w:r>
          </w:p>
        </w:tc>
        <w:tc>
          <w:tcPr>
            <w:tcW w:w="689" w:type="dxa"/>
            <w:tcBorders>
              <w:left w:val="single" w:sz="18" w:space="0" w:color="auto"/>
            </w:tcBorders>
            <w:shd w:val="clear" w:color="auto" w:fill="BDD6EE" w:themeFill="accent1" w:themeFillTint="66"/>
            <w:vAlign w:val="bottom"/>
          </w:tcPr>
          <w:p w14:paraId="25F401B6" w14:textId="77777777" w:rsidR="00C45CA5" w:rsidRPr="00303024" w:rsidRDefault="00C45CA5" w:rsidP="00C45CA5">
            <w:pPr>
              <w:jc w:val="center"/>
              <w:rPr>
                <w:sz w:val="18"/>
                <w:szCs w:val="18"/>
              </w:rPr>
            </w:pPr>
            <w:r w:rsidRPr="00303024">
              <w:rPr>
                <w:rFonts w:ascii="Calibri" w:hAnsi="Calibri" w:cs="Calibri"/>
                <w:color w:val="000000"/>
                <w:sz w:val="18"/>
                <w:szCs w:val="18"/>
              </w:rPr>
              <w:t>158</w:t>
            </w:r>
          </w:p>
        </w:tc>
        <w:tc>
          <w:tcPr>
            <w:tcW w:w="1006" w:type="dxa"/>
            <w:shd w:val="clear" w:color="auto" w:fill="BDD6EE" w:themeFill="accent1" w:themeFillTint="66"/>
            <w:vAlign w:val="bottom"/>
          </w:tcPr>
          <w:p w14:paraId="1CF26FC5" w14:textId="77777777" w:rsidR="00C45CA5" w:rsidRPr="00303024" w:rsidRDefault="00C45CA5" w:rsidP="00C45CA5">
            <w:pPr>
              <w:jc w:val="center"/>
              <w:rPr>
                <w:sz w:val="18"/>
                <w:szCs w:val="18"/>
              </w:rPr>
            </w:pPr>
          </w:p>
        </w:tc>
        <w:tc>
          <w:tcPr>
            <w:tcW w:w="1170" w:type="dxa"/>
            <w:shd w:val="clear" w:color="auto" w:fill="BDD6EE" w:themeFill="accent1" w:themeFillTint="66"/>
            <w:vAlign w:val="bottom"/>
          </w:tcPr>
          <w:p w14:paraId="1BB6AB71" w14:textId="77777777" w:rsidR="00C45CA5" w:rsidRPr="00303024" w:rsidRDefault="00C45CA5" w:rsidP="00C45CA5">
            <w:pPr>
              <w:jc w:val="center"/>
              <w:rPr>
                <w:sz w:val="18"/>
                <w:szCs w:val="18"/>
              </w:rPr>
            </w:pPr>
          </w:p>
        </w:tc>
        <w:tc>
          <w:tcPr>
            <w:tcW w:w="900" w:type="dxa"/>
            <w:shd w:val="clear" w:color="auto" w:fill="BDD6EE" w:themeFill="accent1" w:themeFillTint="66"/>
            <w:vAlign w:val="bottom"/>
          </w:tcPr>
          <w:p w14:paraId="49DBBD7B" w14:textId="77777777" w:rsidR="00C45CA5" w:rsidRPr="00303024" w:rsidRDefault="00C45CA5" w:rsidP="00C45CA5">
            <w:pPr>
              <w:jc w:val="center"/>
              <w:rPr>
                <w:sz w:val="18"/>
                <w:szCs w:val="18"/>
              </w:rPr>
            </w:pPr>
          </w:p>
        </w:tc>
        <w:tc>
          <w:tcPr>
            <w:tcW w:w="720" w:type="dxa"/>
            <w:shd w:val="clear" w:color="auto" w:fill="BDD6EE" w:themeFill="accent1" w:themeFillTint="66"/>
            <w:vAlign w:val="bottom"/>
          </w:tcPr>
          <w:p w14:paraId="0E00F0B4" w14:textId="77777777" w:rsidR="00C45CA5" w:rsidRPr="00303024" w:rsidRDefault="00C45CA5" w:rsidP="00C45CA5">
            <w:pPr>
              <w:jc w:val="center"/>
              <w:rPr>
                <w:sz w:val="18"/>
                <w:szCs w:val="18"/>
              </w:rPr>
            </w:pPr>
          </w:p>
        </w:tc>
        <w:tc>
          <w:tcPr>
            <w:tcW w:w="733" w:type="dxa"/>
            <w:tcBorders>
              <w:right w:val="single" w:sz="18" w:space="0" w:color="auto"/>
            </w:tcBorders>
            <w:shd w:val="clear" w:color="auto" w:fill="BDD6EE" w:themeFill="accent1" w:themeFillTint="66"/>
            <w:vAlign w:val="bottom"/>
          </w:tcPr>
          <w:p w14:paraId="551ED4C6" w14:textId="77777777" w:rsidR="00C45CA5" w:rsidRPr="00303024" w:rsidRDefault="00C45CA5" w:rsidP="00C45CA5">
            <w:pPr>
              <w:jc w:val="center"/>
              <w:rPr>
                <w:sz w:val="18"/>
                <w:szCs w:val="18"/>
              </w:rPr>
            </w:pPr>
          </w:p>
        </w:tc>
      </w:tr>
      <w:tr w:rsidR="00C45CA5" w14:paraId="393B856E" w14:textId="77777777" w:rsidTr="009C3171">
        <w:trPr>
          <w:trHeight w:val="401"/>
        </w:trPr>
        <w:tc>
          <w:tcPr>
            <w:tcW w:w="867" w:type="dxa"/>
            <w:vMerge/>
            <w:tcBorders>
              <w:left w:val="single" w:sz="18" w:space="0" w:color="auto"/>
              <w:right w:val="single" w:sz="18" w:space="0" w:color="auto"/>
            </w:tcBorders>
            <w:vAlign w:val="bottom"/>
          </w:tcPr>
          <w:p w14:paraId="0E0D30FE" w14:textId="77777777" w:rsidR="00C45CA5" w:rsidRPr="00303024" w:rsidRDefault="00C45CA5" w:rsidP="00C45CA5">
            <w:pPr>
              <w:rPr>
                <w:sz w:val="18"/>
                <w:szCs w:val="18"/>
              </w:rPr>
            </w:pPr>
          </w:p>
        </w:tc>
        <w:tc>
          <w:tcPr>
            <w:tcW w:w="1761" w:type="dxa"/>
            <w:tcBorders>
              <w:left w:val="single" w:sz="18" w:space="0" w:color="auto"/>
            </w:tcBorders>
            <w:shd w:val="clear" w:color="auto" w:fill="BDD6EE" w:themeFill="accent1" w:themeFillTint="66"/>
            <w:vAlign w:val="bottom"/>
          </w:tcPr>
          <w:p w14:paraId="2B1D260A" w14:textId="15AAF1BD" w:rsidR="00C45CA5" w:rsidRPr="00303024" w:rsidRDefault="00C45CA5" w:rsidP="00C45CA5">
            <w:pPr>
              <w:rPr>
                <w:sz w:val="18"/>
                <w:szCs w:val="18"/>
              </w:rPr>
            </w:pPr>
            <w:r w:rsidRPr="00303024">
              <w:rPr>
                <w:rFonts w:ascii="Calibri" w:hAnsi="Calibri" w:cs="Calibri"/>
                <w:color w:val="000000"/>
                <w:sz w:val="18"/>
                <w:szCs w:val="18"/>
              </w:rPr>
              <w:t>Reyna</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{"citationItems":[{"id":"ITEM-1","itemData":{"DOI":"10.1111/jiec.12211","ISSN":"10881980","author":[{"dropping-particle":"","family":"Reyna","given":"Janet L.","non-dropping-particle":"","parse-names":false,"suffix":""},{"dropping-particle":"V.","family":"Chester","given":"Mikhail","non-dropping-particle":"","parse-names":false,"suffix":""}],"container-title":"Journal of Industrial Ecology","id":"ITEM-1","issue":"4","issued":{"date-parts":[["2015","8"]]},"page":"524-537","title":"The Growth of Urban Building Stock: Unintended Lock-in and Embedded Environmental Effects","type":"article-journal","volume":"19"},"uris":["http://www.mendeley.com/documents/?uuid=2f255c08-9b7e-4e42-a26f-4237b32bc4c0"]}],"mendeley":{"formattedCitation":"&lt;sup&gt;38&lt;/sup&gt;","plainTextFormattedCitation":"38","previouslyFormattedCitation":"&lt;sup&gt;38&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38</w:t>
            </w:r>
            <w:r w:rsidR="007151B4">
              <w:rPr>
                <w:rFonts w:ascii="Calibri" w:hAnsi="Calibri" w:cs="Calibri"/>
                <w:color w:val="000000"/>
                <w:sz w:val="18"/>
                <w:szCs w:val="18"/>
              </w:rPr>
              <w:fldChar w:fldCharType="end"/>
            </w:r>
          </w:p>
        </w:tc>
        <w:tc>
          <w:tcPr>
            <w:tcW w:w="1260" w:type="dxa"/>
            <w:shd w:val="clear" w:color="auto" w:fill="BDD6EE" w:themeFill="accent1" w:themeFillTint="66"/>
            <w:vAlign w:val="bottom"/>
          </w:tcPr>
          <w:p w14:paraId="18491617" w14:textId="77777777" w:rsidR="00C45CA5" w:rsidRPr="00303024" w:rsidRDefault="00C45CA5" w:rsidP="00C45CA5">
            <w:pPr>
              <w:rPr>
                <w:sz w:val="18"/>
                <w:szCs w:val="18"/>
              </w:rPr>
            </w:pPr>
            <w:r w:rsidRPr="00303024">
              <w:rPr>
                <w:rFonts w:ascii="Calibri" w:hAnsi="Calibri" w:cs="Calibri"/>
                <w:color w:val="000000"/>
                <w:sz w:val="18"/>
                <w:szCs w:val="18"/>
              </w:rPr>
              <w:t>Offices (low &amp; high)</w:t>
            </w:r>
          </w:p>
        </w:tc>
        <w:tc>
          <w:tcPr>
            <w:tcW w:w="969" w:type="dxa"/>
            <w:tcBorders>
              <w:right w:val="single" w:sz="18" w:space="0" w:color="auto"/>
            </w:tcBorders>
            <w:shd w:val="clear" w:color="auto" w:fill="BDD6EE" w:themeFill="accent1" w:themeFillTint="66"/>
            <w:vAlign w:val="bottom"/>
          </w:tcPr>
          <w:p w14:paraId="46E13CA2" w14:textId="77777777" w:rsidR="00C45CA5" w:rsidRPr="00303024" w:rsidRDefault="00C45CA5" w:rsidP="00C45CA5">
            <w:pPr>
              <w:rPr>
                <w:sz w:val="18"/>
                <w:szCs w:val="18"/>
              </w:rPr>
            </w:pPr>
            <w:r w:rsidRPr="00303024">
              <w:rPr>
                <w:rFonts w:ascii="Calibri" w:hAnsi="Calibri" w:cs="Calibri"/>
                <w:color w:val="000000"/>
                <w:sz w:val="18"/>
                <w:szCs w:val="18"/>
              </w:rPr>
              <w:t>USA</w:t>
            </w:r>
          </w:p>
        </w:tc>
        <w:tc>
          <w:tcPr>
            <w:tcW w:w="689" w:type="dxa"/>
            <w:tcBorders>
              <w:left w:val="single" w:sz="18" w:space="0" w:color="auto"/>
            </w:tcBorders>
            <w:shd w:val="clear" w:color="auto" w:fill="BDD6EE" w:themeFill="accent1" w:themeFillTint="66"/>
            <w:vAlign w:val="bottom"/>
          </w:tcPr>
          <w:p w14:paraId="49DFE93E" w14:textId="77777777" w:rsidR="00C45CA5" w:rsidRPr="00303024" w:rsidRDefault="00C45CA5" w:rsidP="00C45CA5">
            <w:pPr>
              <w:jc w:val="center"/>
              <w:rPr>
                <w:sz w:val="18"/>
                <w:szCs w:val="18"/>
              </w:rPr>
            </w:pPr>
            <w:r w:rsidRPr="00303024">
              <w:rPr>
                <w:rFonts w:ascii="Calibri" w:hAnsi="Calibri" w:cs="Calibri"/>
                <w:color w:val="000000"/>
                <w:sz w:val="18"/>
                <w:szCs w:val="18"/>
              </w:rPr>
              <w:t>42</w:t>
            </w:r>
          </w:p>
        </w:tc>
        <w:tc>
          <w:tcPr>
            <w:tcW w:w="1006" w:type="dxa"/>
            <w:shd w:val="clear" w:color="auto" w:fill="BDD6EE" w:themeFill="accent1" w:themeFillTint="66"/>
            <w:vAlign w:val="bottom"/>
          </w:tcPr>
          <w:p w14:paraId="2E03D9EC" w14:textId="77777777" w:rsidR="00C45CA5" w:rsidRPr="00303024" w:rsidRDefault="00C45CA5" w:rsidP="00C45CA5">
            <w:pPr>
              <w:jc w:val="center"/>
              <w:rPr>
                <w:sz w:val="18"/>
                <w:szCs w:val="18"/>
              </w:rPr>
            </w:pPr>
            <w:r w:rsidRPr="00303024">
              <w:rPr>
                <w:rFonts w:ascii="Calibri" w:hAnsi="Calibri" w:cs="Calibri"/>
                <w:color w:val="000000"/>
                <w:sz w:val="18"/>
                <w:szCs w:val="18"/>
              </w:rPr>
              <w:t>533</w:t>
            </w:r>
          </w:p>
        </w:tc>
        <w:tc>
          <w:tcPr>
            <w:tcW w:w="1170" w:type="dxa"/>
            <w:shd w:val="clear" w:color="auto" w:fill="BDD6EE" w:themeFill="accent1" w:themeFillTint="66"/>
            <w:vAlign w:val="bottom"/>
          </w:tcPr>
          <w:p w14:paraId="64CC09E0" w14:textId="77777777" w:rsidR="00C45CA5" w:rsidRPr="00303024" w:rsidRDefault="00C45CA5" w:rsidP="00C45CA5">
            <w:pPr>
              <w:jc w:val="center"/>
              <w:rPr>
                <w:sz w:val="18"/>
                <w:szCs w:val="18"/>
              </w:rPr>
            </w:pPr>
            <w:r w:rsidRPr="00303024">
              <w:rPr>
                <w:rFonts w:ascii="Calibri" w:hAnsi="Calibri" w:cs="Calibri"/>
                <w:color w:val="000000"/>
                <w:sz w:val="18"/>
                <w:szCs w:val="18"/>
              </w:rPr>
              <w:t>9.7</w:t>
            </w:r>
          </w:p>
        </w:tc>
        <w:tc>
          <w:tcPr>
            <w:tcW w:w="900" w:type="dxa"/>
            <w:shd w:val="clear" w:color="auto" w:fill="BDD6EE" w:themeFill="accent1" w:themeFillTint="66"/>
            <w:vAlign w:val="bottom"/>
          </w:tcPr>
          <w:p w14:paraId="02A3B9BC" w14:textId="77777777" w:rsidR="00C45CA5" w:rsidRPr="00303024" w:rsidRDefault="00C45CA5" w:rsidP="00C45CA5">
            <w:pPr>
              <w:jc w:val="center"/>
              <w:rPr>
                <w:sz w:val="18"/>
                <w:szCs w:val="18"/>
              </w:rPr>
            </w:pPr>
          </w:p>
        </w:tc>
        <w:tc>
          <w:tcPr>
            <w:tcW w:w="720" w:type="dxa"/>
            <w:shd w:val="clear" w:color="auto" w:fill="BDD6EE" w:themeFill="accent1" w:themeFillTint="66"/>
            <w:vAlign w:val="bottom"/>
          </w:tcPr>
          <w:p w14:paraId="5E190F3A" w14:textId="77777777" w:rsidR="00C45CA5" w:rsidRPr="00303024" w:rsidRDefault="00C45CA5" w:rsidP="00C45CA5">
            <w:pPr>
              <w:jc w:val="center"/>
              <w:rPr>
                <w:sz w:val="18"/>
                <w:szCs w:val="18"/>
              </w:rPr>
            </w:pPr>
            <w:r w:rsidRPr="00303024">
              <w:rPr>
                <w:rFonts w:ascii="Calibri" w:hAnsi="Calibri" w:cs="Calibri"/>
                <w:color w:val="000000"/>
                <w:sz w:val="18"/>
                <w:szCs w:val="18"/>
              </w:rPr>
              <w:t>0.2</w:t>
            </w:r>
          </w:p>
        </w:tc>
        <w:tc>
          <w:tcPr>
            <w:tcW w:w="733" w:type="dxa"/>
            <w:tcBorders>
              <w:right w:val="single" w:sz="18" w:space="0" w:color="auto"/>
            </w:tcBorders>
            <w:shd w:val="clear" w:color="auto" w:fill="BDD6EE" w:themeFill="accent1" w:themeFillTint="66"/>
            <w:vAlign w:val="bottom"/>
          </w:tcPr>
          <w:p w14:paraId="026A0B2E" w14:textId="77777777" w:rsidR="00C45CA5" w:rsidRPr="00303024" w:rsidRDefault="00C45CA5" w:rsidP="00C45CA5">
            <w:pPr>
              <w:jc w:val="center"/>
              <w:rPr>
                <w:sz w:val="18"/>
                <w:szCs w:val="18"/>
              </w:rPr>
            </w:pPr>
            <w:r w:rsidRPr="00303024">
              <w:rPr>
                <w:rFonts w:ascii="Calibri" w:hAnsi="Calibri" w:cs="Calibri"/>
                <w:color w:val="000000"/>
                <w:sz w:val="18"/>
                <w:szCs w:val="18"/>
              </w:rPr>
              <w:t>4.6</w:t>
            </w:r>
          </w:p>
        </w:tc>
      </w:tr>
      <w:tr w:rsidR="00C45CA5" w14:paraId="48A1129E" w14:textId="77777777" w:rsidTr="009C3171">
        <w:trPr>
          <w:trHeight w:val="310"/>
        </w:trPr>
        <w:tc>
          <w:tcPr>
            <w:tcW w:w="867" w:type="dxa"/>
            <w:vMerge/>
            <w:tcBorders>
              <w:left w:val="single" w:sz="18" w:space="0" w:color="auto"/>
              <w:bottom w:val="single" w:sz="18" w:space="0" w:color="auto"/>
              <w:right w:val="single" w:sz="18" w:space="0" w:color="auto"/>
            </w:tcBorders>
            <w:vAlign w:val="bottom"/>
          </w:tcPr>
          <w:p w14:paraId="3B7A9CC3" w14:textId="77777777" w:rsidR="00C45CA5" w:rsidRPr="00303024" w:rsidRDefault="00C45CA5" w:rsidP="00C45CA5">
            <w:pPr>
              <w:rPr>
                <w:sz w:val="18"/>
                <w:szCs w:val="18"/>
              </w:rPr>
            </w:pPr>
          </w:p>
        </w:tc>
        <w:tc>
          <w:tcPr>
            <w:tcW w:w="1761" w:type="dxa"/>
            <w:tcBorders>
              <w:left w:val="single" w:sz="18" w:space="0" w:color="auto"/>
              <w:bottom w:val="single" w:sz="18" w:space="0" w:color="auto"/>
            </w:tcBorders>
            <w:shd w:val="clear" w:color="auto" w:fill="BDD6EE" w:themeFill="accent1" w:themeFillTint="66"/>
            <w:vAlign w:val="bottom"/>
          </w:tcPr>
          <w:p w14:paraId="69DCC07A" w14:textId="0F4619C9" w:rsidR="00C45CA5" w:rsidRPr="00303024" w:rsidRDefault="00C45CA5" w:rsidP="00C45CA5">
            <w:pPr>
              <w:rPr>
                <w:sz w:val="18"/>
                <w:szCs w:val="18"/>
              </w:rPr>
            </w:pPr>
            <w:r w:rsidRPr="00303024">
              <w:rPr>
                <w:rFonts w:ascii="Calibri" w:hAnsi="Calibri" w:cs="Calibri"/>
                <w:color w:val="000000"/>
                <w:sz w:val="18"/>
                <w:szCs w:val="18"/>
              </w:rPr>
              <w:t>Schebek</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{"citationItems":[{"id":"ITEM-1","itemData":{"DOI":"https://doi.org/10.1016/j.resconrec.2016.06.001","ISSN":"0921-3449","abstract":"The building sector is known to have the largest inventories of materials in industrialized societies. In comparison to residential buildings, non-residential buildings (NRBs) are much more diverse in function, components and their respective materials. In order to provide insights in material stocks of the non-residential area, this study focused on the case of the Rhine-Main area, a metropolitan region holding extensive stocks of office buildings as well as factory, logistic and other NRBs. The investigation covered analysis of spatial data and examination of single buildings. The structure of the NRB sector was comprehensively characterized in a case-study area as to function and age-classes of existing buildings in terms of building gross volume. The two types “factory” and “commercial/retail and services buildings” accounted for about half of the existing buildings. As to age, about one third of the buildings was found to originate before 1948. This indicates the high importance of renovation activities as a prerequisite for the continuous use of NRBs. Specific material contents of buildings were assessed, showing a large variety. Combining spatial and building related information, a methodological approach was developed which provides area-wide information on material stocks incorporating the allocation to function and age-class of NRBs. This approach may be used for regional estimation of potentials of secondary resources and for Material Flow Analysis in order to estimate potentials and flows of secondary resource.","author":[{"dropping-particle":"","family":"Schebek","given":"Liselotte","non-dropping-particle":"","parse-names":false,"suffix":""},{"dropping-particle":"","family":"Schnitzer","given":"Benjamin","non-dropping-particle":"","parse-names":false,"suffix":""},{"dropping-particle":"","family":"Blesinger","given":"Daniel","non-dropping-particle":"","parse-names":false,"suffix":""},{"dropping-particle":"","family":"Köhn","given":"Antonia","non-dropping-particle":"","parse-names":false,"suffix":""},{"dropping-particle":"","family":"Miekley","given":"Britta","non-dropping-particle":"","parse-names":false,"suffix":""},{"dropping-particle":"","family":"Linke","given":"Hans Joachim","non-dropping-particle":"","parse-names":false,"suffix":""},{"dropping-particle":"","family":"Lohmann","given":"Andreas","non-dropping-particle":"","parse-names":false,"suffix":""},{"dropping-particle":"","family":"Motzko","given":"Christoph","non-dropping-particle":"","parse-names":false,"suffix":""},{"dropping-particle":"","family":"Seemann","given":"Axel","non-dropping-particle":"","parse-names":false,"suffix":""}],"container-title":"Resources, Conservation and Recycling","id":"ITEM-1","issued":{"date-parts":[["2017"]]},"page":"24-36","title":"Material stocks of the non-residential building sector: the case of the Rhine-Main area","type":"article-journal","volume":"123"},"uris":["http://www.mendeley.com/documents/?uuid=7c48b1d4-2f68-47bb-a148-80a141bb20a5"]}],"mendeley":{"formattedCitation":"&lt;sup&gt;39&lt;/sup&gt;","plainTextFormattedCitation":"39","previouslyFormattedCitation":"&lt;sup&gt;39&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39</w:t>
            </w:r>
            <w:r w:rsidR="007151B4">
              <w:rPr>
                <w:rFonts w:ascii="Calibri" w:hAnsi="Calibri" w:cs="Calibri"/>
                <w:color w:val="000000"/>
                <w:sz w:val="18"/>
                <w:szCs w:val="18"/>
              </w:rPr>
              <w:fldChar w:fldCharType="end"/>
            </w:r>
          </w:p>
        </w:tc>
        <w:tc>
          <w:tcPr>
            <w:tcW w:w="1260" w:type="dxa"/>
            <w:tcBorders>
              <w:bottom w:val="single" w:sz="18" w:space="0" w:color="auto"/>
            </w:tcBorders>
            <w:shd w:val="clear" w:color="auto" w:fill="BDD6EE" w:themeFill="accent1" w:themeFillTint="66"/>
            <w:vAlign w:val="bottom"/>
          </w:tcPr>
          <w:p w14:paraId="54D0E7C7" w14:textId="77777777" w:rsidR="00C45CA5" w:rsidRPr="00303024" w:rsidRDefault="00C45CA5" w:rsidP="00C45CA5">
            <w:pPr>
              <w:rPr>
                <w:sz w:val="18"/>
                <w:szCs w:val="18"/>
              </w:rPr>
            </w:pPr>
            <w:r w:rsidRPr="00303024">
              <w:rPr>
                <w:rFonts w:ascii="Calibri" w:hAnsi="Calibri" w:cs="Calibri"/>
                <w:color w:val="000000"/>
                <w:sz w:val="18"/>
                <w:szCs w:val="18"/>
              </w:rPr>
              <w:t>Offices</w:t>
            </w:r>
          </w:p>
        </w:tc>
        <w:tc>
          <w:tcPr>
            <w:tcW w:w="969" w:type="dxa"/>
            <w:tcBorders>
              <w:bottom w:val="single" w:sz="18" w:space="0" w:color="auto"/>
              <w:right w:val="single" w:sz="18" w:space="0" w:color="auto"/>
            </w:tcBorders>
            <w:shd w:val="clear" w:color="auto" w:fill="BDD6EE" w:themeFill="accent1" w:themeFillTint="66"/>
            <w:vAlign w:val="bottom"/>
          </w:tcPr>
          <w:p w14:paraId="6D58A6DD" w14:textId="77777777" w:rsidR="00C45CA5" w:rsidRPr="00303024" w:rsidRDefault="00C45CA5" w:rsidP="00C45CA5">
            <w:pPr>
              <w:rPr>
                <w:sz w:val="18"/>
                <w:szCs w:val="18"/>
              </w:rPr>
            </w:pPr>
            <w:r w:rsidRPr="00303024">
              <w:rPr>
                <w:rFonts w:ascii="Calibri" w:hAnsi="Calibri" w:cs="Calibri"/>
                <w:color w:val="000000"/>
                <w:sz w:val="18"/>
                <w:szCs w:val="18"/>
              </w:rPr>
              <w:t>-</w:t>
            </w:r>
          </w:p>
        </w:tc>
        <w:tc>
          <w:tcPr>
            <w:tcW w:w="689" w:type="dxa"/>
            <w:tcBorders>
              <w:left w:val="single" w:sz="18" w:space="0" w:color="auto"/>
              <w:bottom w:val="single" w:sz="18" w:space="0" w:color="auto"/>
            </w:tcBorders>
            <w:shd w:val="clear" w:color="auto" w:fill="BDD6EE" w:themeFill="accent1" w:themeFillTint="66"/>
            <w:vAlign w:val="bottom"/>
          </w:tcPr>
          <w:p w14:paraId="7D0669DD" w14:textId="77777777" w:rsidR="00C45CA5" w:rsidRPr="00303024" w:rsidRDefault="00C45CA5" w:rsidP="00C45CA5">
            <w:pPr>
              <w:jc w:val="center"/>
              <w:rPr>
                <w:sz w:val="18"/>
                <w:szCs w:val="18"/>
              </w:rPr>
            </w:pPr>
            <w:r w:rsidRPr="00303024">
              <w:rPr>
                <w:rFonts w:ascii="Calibri" w:hAnsi="Calibri" w:cs="Calibri"/>
                <w:color w:val="000000"/>
                <w:sz w:val="18"/>
                <w:szCs w:val="18"/>
              </w:rPr>
              <w:t>87</w:t>
            </w:r>
          </w:p>
        </w:tc>
        <w:tc>
          <w:tcPr>
            <w:tcW w:w="1006" w:type="dxa"/>
            <w:tcBorders>
              <w:bottom w:val="single" w:sz="18" w:space="0" w:color="auto"/>
            </w:tcBorders>
            <w:shd w:val="clear" w:color="auto" w:fill="BDD6EE" w:themeFill="accent1" w:themeFillTint="66"/>
            <w:vAlign w:val="bottom"/>
          </w:tcPr>
          <w:p w14:paraId="7A182D9B" w14:textId="77777777" w:rsidR="00C45CA5" w:rsidRPr="00303024" w:rsidRDefault="00C45CA5" w:rsidP="00C45CA5">
            <w:pPr>
              <w:jc w:val="center"/>
              <w:rPr>
                <w:sz w:val="18"/>
                <w:szCs w:val="18"/>
              </w:rPr>
            </w:pPr>
            <w:r w:rsidRPr="00303024">
              <w:rPr>
                <w:rFonts w:ascii="Calibri" w:hAnsi="Calibri" w:cs="Calibri"/>
                <w:color w:val="000000"/>
                <w:sz w:val="18"/>
                <w:szCs w:val="18"/>
              </w:rPr>
              <w:t>1057</w:t>
            </w:r>
          </w:p>
        </w:tc>
        <w:tc>
          <w:tcPr>
            <w:tcW w:w="1170" w:type="dxa"/>
            <w:tcBorders>
              <w:bottom w:val="single" w:sz="18" w:space="0" w:color="auto"/>
            </w:tcBorders>
            <w:shd w:val="clear" w:color="auto" w:fill="BDD6EE" w:themeFill="accent1" w:themeFillTint="66"/>
            <w:vAlign w:val="bottom"/>
          </w:tcPr>
          <w:p w14:paraId="0C9A89EC" w14:textId="77777777" w:rsidR="00C45CA5" w:rsidRPr="00303024" w:rsidRDefault="00C45CA5" w:rsidP="00C45CA5">
            <w:pPr>
              <w:jc w:val="center"/>
              <w:rPr>
                <w:sz w:val="18"/>
                <w:szCs w:val="18"/>
              </w:rPr>
            </w:pPr>
            <w:r w:rsidRPr="00303024">
              <w:rPr>
                <w:rFonts w:ascii="Calibri" w:hAnsi="Calibri" w:cs="Calibri"/>
                <w:color w:val="000000"/>
                <w:sz w:val="18"/>
                <w:szCs w:val="18"/>
              </w:rPr>
              <w:t>0.6</w:t>
            </w:r>
          </w:p>
        </w:tc>
        <w:tc>
          <w:tcPr>
            <w:tcW w:w="900" w:type="dxa"/>
            <w:tcBorders>
              <w:bottom w:val="single" w:sz="18" w:space="0" w:color="auto"/>
            </w:tcBorders>
            <w:shd w:val="clear" w:color="auto" w:fill="BDD6EE" w:themeFill="accent1" w:themeFillTint="66"/>
            <w:vAlign w:val="bottom"/>
          </w:tcPr>
          <w:p w14:paraId="1FA9EAE5" w14:textId="77777777" w:rsidR="00C45CA5" w:rsidRPr="00303024" w:rsidRDefault="00C45CA5" w:rsidP="00C45CA5">
            <w:pPr>
              <w:jc w:val="center"/>
              <w:rPr>
                <w:sz w:val="18"/>
                <w:szCs w:val="18"/>
              </w:rPr>
            </w:pPr>
            <w:r w:rsidRPr="00303024">
              <w:rPr>
                <w:rFonts w:ascii="Calibri" w:hAnsi="Calibri" w:cs="Calibri"/>
                <w:color w:val="000000"/>
                <w:sz w:val="18"/>
                <w:szCs w:val="18"/>
              </w:rPr>
              <w:t>0.7</w:t>
            </w:r>
          </w:p>
        </w:tc>
        <w:tc>
          <w:tcPr>
            <w:tcW w:w="720" w:type="dxa"/>
            <w:tcBorders>
              <w:bottom w:val="single" w:sz="18" w:space="0" w:color="auto"/>
            </w:tcBorders>
            <w:shd w:val="clear" w:color="auto" w:fill="BDD6EE" w:themeFill="accent1" w:themeFillTint="66"/>
            <w:vAlign w:val="bottom"/>
          </w:tcPr>
          <w:p w14:paraId="54A50398" w14:textId="77777777" w:rsidR="00C45CA5" w:rsidRPr="00303024" w:rsidRDefault="00C45CA5" w:rsidP="00C45CA5">
            <w:pPr>
              <w:jc w:val="center"/>
              <w:rPr>
                <w:sz w:val="18"/>
                <w:szCs w:val="18"/>
              </w:rPr>
            </w:pPr>
            <w:r w:rsidRPr="00303024">
              <w:rPr>
                <w:rFonts w:ascii="Calibri" w:hAnsi="Calibri" w:cs="Calibri"/>
                <w:color w:val="000000"/>
                <w:sz w:val="18"/>
                <w:szCs w:val="18"/>
              </w:rPr>
              <w:t>4.2</w:t>
            </w:r>
          </w:p>
        </w:tc>
        <w:tc>
          <w:tcPr>
            <w:tcW w:w="733" w:type="dxa"/>
            <w:tcBorders>
              <w:bottom w:val="single" w:sz="18" w:space="0" w:color="auto"/>
              <w:right w:val="single" w:sz="18" w:space="0" w:color="auto"/>
            </w:tcBorders>
            <w:shd w:val="clear" w:color="auto" w:fill="BDD6EE" w:themeFill="accent1" w:themeFillTint="66"/>
            <w:vAlign w:val="bottom"/>
          </w:tcPr>
          <w:p w14:paraId="5987C518" w14:textId="77777777" w:rsidR="00C45CA5" w:rsidRPr="00303024" w:rsidRDefault="00C45CA5" w:rsidP="00C45CA5">
            <w:pPr>
              <w:jc w:val="center"/>
              <w:rPr>
                <w:sz w:val="18"/>
                <w:szCs w:val="18"/>
              </w:rPr>
            </w:pPr>
            <w:r w:rsidRPr="00303024">
              <w:rPr>
                <w:rFonts w:ascii="Calibri" w:hAnsi="Calibri" w:cs="Calibri"/>
                <w:color w:val="000000"/>
                <w:sz w:val="18"/>
                <w:szCs w:val="18"/>
              </w:rPr>
              <w:t>13.9</w:t>
            </w:r>
          </w:p>
        </w:tc>
      </w:tr>
      <w:tr w:rsidR="00C45CA5" w14:paraId="4C71CB87" w14:textId="77777777" w:rsidTr="009C3171">
        <w:trPr>
          <w:trHeight w:val="392"/>
        </w:trPr>
        <w:tc>
          <w:tcPr>
            <w:tcW w:w="867" w:type="dxa"/>
            <w:vMerge w:val="restart"/>
            <w:tcBorders>
              <w:top w:val="single" w:sz="18" w:space="0" w:color="auto"/>
              <w:left w:val="single" w:sz="18" w:space="0" w:color="auto"/>
              <w:right w:val="single" w:sz="18" w:space="0" w:color="auto"/>
            </w:tcBorders>
            <w:shd w:val="clear" w:color="auto" w:fill="BDD6EE" w:themeFill="accent1" w:themeFillTint="66"/>
            <w:textDirection w:val="btLr"/>
            <w:vAlign w:val="center"/>
          </w:tcPr>
          <w:p w14:paraId="66541CA0" w14:textId="77777777" w:rsidR="00C45CA5" w:rsidRPr="00303024" w:rsidRDefault="00C45CA5" w:rsidP="00C45CA5">
            <w:pPr>
              <w:ind w:left="113" w:right="113"/>
              <w:jc w:val="center"/>
              <w:rPr>
                <w:b/>
                <w:sz w:val="18"/>
                <w:szCs w:val="18"/>
              </w:rPr>
            </w:pPr>
            <w:r w:rsidRPr="00303024">
              <w:rPr>
                <w:rFonts w:ascii="Calibri" w:hAnsi="Calibri" w:cs="Calibri"/>
                <w:b/>
                <w:color w:val="000000"/>
                <w:sz w:val="18"/>
                <w:szCs w:val="18"/>
              </w:rPr>
              <w:t>Retail</w:t>
            </w:r>
            <w:r>
              <w:rPr>
                <w:rFonts w:ascii="Calibri" w:hAnsi="Calibri" w:cs="Calibri"/>
                <w:b/>
                <w:color w:val="000000"/>
                <w:sz w:val="18"/>
                <w:szCs w:val="18"/>
              </w:rPr>
              <w:t>+</w:t>
            </w:r>
          </w:p>
        </w:tc>
        <w:tc>
          <w:tcPr>
            <w:tcW w:w="1761" w:type="dxa"/>
            <w:tcBorders>
              <w:top w:val="single" w:sz="18" w:space="0" w:color="auto"/>
              <w:left w:val="single" w:sz="18" w:space="0" w:color="auto"/>
            </w:tcBorders>
            <w:vAlign w:val="bottom"/>
          </w:tcPr>
          <w:p w14:paraId="43DB0F2D" w14:textId="7A353254" w:rsidR="00C45CA5" w:rsidRPr="00303024" w:rsidRDefault="00C45CA5" w:rsidP="00C45CA5">
            <w:pPr>
              <w:rPr>
                <w:sz w:val="18"/>
                <w:szCs w:val="18"/>
              </w:rPr>
            </w:pPr>
            <w:r w:rsidRPr="00303024">
              <w:rPr>
                <w:rFonts w:ascii="Calibri" w:hAnsi="Calibri" w:cs="Calibri"/>
                <w:color w:val="000000"/>
                <w:sz w:val="18"/>
                <w:szCs w:val="18"/>
              </w:rPr>
              <w:t>Ecoinvent</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{"citationItems":[{"id":"ITEM-1","itemData":{"DOI":"10.1109/SECON.2017.7925283","ISBN":"VO  -","abstract":"This part corresponds to the original report (Werner et al. 2003) that has been updated with the changes reported in (Frischknecht et al. 2006) and augmented with various building products and components such as window frames, doors, claddings. The report consists of the following parts: Part I Gravel and Sand Products and Processes Part II Cement Products and Processes Part III Concrete Products and Processes Part IV Clay Products and Processes Part V Refractory Bricks Part VI Ceramics Part VII Lime Products and Processes Part VIII Gypsum Products and Processes Part IX Fibre Cement Products and Processes Part X Sand-Lime Brick Part XI Flat Glass Products and Processes Part XII Glass Products and Processing for Solar Collectors Part XIII Glass Fibre Reinforced Plastic Products Part XIV Insulation Products and Processes Part XV Elastomere Tube Insulation Part XVI Cork Part XVII Mortar and Plaster Products and Processes Part XVIII Additional Products and Processes Part XIX Bentonite Products and Processes Part XX Synthetic rubber (EPDM) Part XXI Lightweight Products and its Preliminary Products and Processes Part XXII Natural Stone Plate Part XXIII Bituminous Products and Processes Part XXIV Titanium Zinc Plate Part XXV Tin plating Part XXVI Glazing, Window frames, Claddings and Doors","author":[{"dropping-particle":"","family":"Kellenberger","given":"Daniel","non-dropping-particle":"","parse-names":false,"suffix":""},{"dropping-particle":"","family":"Althaus","given":"Hans-Jörg","non-dropping-particle":"","parse-names":false,"suffix":""},{"dropping-particle":"","family":"Künninger","given":"Tina","non-dropping-particle":"","parse-names":false,"suffix":""},{"dropping-particle":"","family":"Lehmann","given":"Martin","non-dropping-particle":"","parse-names":false,"suffix":""},{"dropping-particle":"","family":"Jungbluth","given":"Niels","non-dropping-particle":"","parse-names":false,"suffix":""},{"dropping-particle":"","family":"Thalmann","given":"Philipp","non-dropping-particle":"","parse-names":false,"suffix":""}],"container-title":"ecoinvent report No. 7","id":"ITEM-1","issued":{"date-parts":[["2007"]]},"title":"Life Cycle Inventories of Building Products","type":"article"},"uris":["http://www.mendeley.com/documents/?uuid=ef5d8d58-1500-4946-8952-c4b9683b2fbd"]}],"mendeley":{"formattedCitation":"&lt;sup&gt;34&lt;/sup&gt;","plainTextFormattedCitation":"34","previouslyFormattedCitation":"&lt;sup&gt;34&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34</w:t>
            </w:r>
            <w:r w:rsidR="007151B4">
              <w:rPr>
                <w:rFonts w:ascii="Calibri" w:hAnsi="Calibri" w:cs="Calibri"/>
                <w:color w:val="000000"/>
                <w:sz w:val="18"/>
                <w:szCs w:val="18"/>
              </w:rPr>
              <w:fldChar w:fldCharType="end"/>
            </w:r>
          </w:p>
        </w:tc>
        <w:tc>
          <w:tcPr>
            <w:tcW w:w="1260" w:type="dxa"/>
            <w:tcBorders>
              <w:top w:val="single" w:sz="18" w:space="0" w:color="auto"/>
            </w:tcBorders>
            <w:vAlign w:val="bottom"/>
          </w:tcPr>
          <w:p w14:paraId="45E1FE26" w14:textId="77777777" w:rsidR="00C45CA5" w:rsidRPr="00303024" w:rsidRDefault="00C45CA5" w:rsidP="00C45CA5">
            <w:pPr>
              <w:rPr>
                <w:sz w:val="18"/>
                <w:szCs w:val="18"/>
              </w:rPr>
            </w:pPr>
            <w:r w:rsidRPr="00303024">
              <w:rPr>
                <w:rFonts w:ascii="Calibri" w:hAnsi="Calibri" w:cs="Calibri"/>
                <w:color w:val="000000"/>
                <w:sz w:val="18"/>
                <w:szCs w:val="18"/>
              </w:rPr>
              <w:t>Hall-type building</w:t>
            </w:r>
          </w:p>
        </w:tc>
        <w:tc>
          <w:tcPr>
            <w:tcW w:w="969" w:type="dxa"/>
            <w:tcBorders>
              <w:top w:val="single" w:sz="18" w:space="0" w:color="auto"/>
              <w:right w:val="single" w:sz="18" w:space="0" w:color="auto"/>
            </w:tcBorders>
            <w:vAlign w:val="bottom"/>
          </w:tcPr>
          <w:p w14:paraId="09DFD89E" w14:textId="77777777" w:rsidR="00C45CA5" w:rsidRPr="00303024" w:rsidRDefault="00C45CA5" w:rsidP="00C45CA5">
            <w:pPr>
              <w:rPr>
                <w:sz w:val="18"/>
                <w:szCs w:val="18"/>
              </w:rPr>
            </w:pPr>
            <w:r w:rsidRPr="00303024">
              <w:rPr>
                <w:rFonts w:ascii="Calibri" w:hAnsi="Calibri" w:cs="Calibri"/>
                <w:color w:val="000000"/>
                <w:sz w:val="18"/>
                <w:szCs w:val="18"/>
              </w:rPr>
              <w:t>-</w:t>
            </w:r>
          </w:p>
        </w:tc>
        <w:tc>
          <w:tcPr>
            <w:tcW w:w="689" w:type="dxa"/>
            <w:tcBorders>
              <w:top w:val="single" w:sz="18" w:space="0" w:color="auto"/>
              <w:left w:val="single" w:sz="18" w:space="0" w:color="auto"/>
            </w:tcBorders>
            <w:vAlign w:val="bottom"/>
          </w:tcPr>
          <w:p w14:paraId="6B85CC95" w14:textId="77777777" w:rsidR="00C45CA5" w:rsidRPr="00303024" w:rsidRDefault="00C45CA5" w:rsidP="00C45CA5">
            <w:pPr>
              <w:jc w:val="center"/>
              <w:rPr>
                <w:sz w:val="18"/>
                <w:szCs w:val="18"/>
              </w:rPr>
            </w:pPr>
            <w:r w:rsidRPr="00303024">
              <w:rPr>
                <w:rFonts w:ascii="Calibri" w:hAnsi="Calibri" w:cs="Calibri"/>
                <w:color w:val="000000"/>
                <w:sz w:val="18"/>
                <w:szCs w:val="18"/>
              </w:rPr>
              <w:t>26</w:t>
            </w:r>
          </w:p>
        </w:tc>
        <w:tc>
          <w:tcPr>
            <w:tcW w:w="1006" w:type="dxa"/>
            <w:tcBorders>
              <w:top w:val="single" w:sz="18" w:space="0" w:color="auto"/>
            </w:tcBorders>
            <w:vAlign w:val="bottom"/>
          </w:tcPr>
          <w:p w14:paraId="07067043" w14:textId="77777777" w:rsidR="00C45CA5" w:rsidRPr="00303024" w:rsidRDefault="00C45CA5" w:rsidP="00C45CA5">
            <w:pPr>
              <w:jc w:val="center"/>
              <w:rPr>
                <w:sz w:val="18"/>
                <w:szCs w:val="18"/>
              </w:rPr>
            </w:pPr>
            <w:r w:rsidRPr="00303024">
              <w:rPr>
                <w:rFonts w:ascii="Calibri" w:hAnsi="Calibri" w:cs="Calibri"/>
                <w:color w:val="000000"/>
                <w:sz w:val="18"/>
                <w:szCs w:val="18"/>
              </w:rPr>
              <w:t>785</w:t>
            </w:r>
          </w:p>
        </w:tc>
        <w:tc>
          <w:tcPr>
            <w:tcW w:w="1170" w:type="dxa"/>
            <w:tcBorders>
              <w:top w:val="single" w:sz="18" w:space="0" w:color="auto"/>
            </w:tcBorders>
            <w:vAlign w:val="bottom"/>
          </w:tcPr>
          <w:p w14:paraId="1D0D5ED5" w14:textId="77777777" w:rsidR="00C45CA5" w:rsidRPr="00303024" w:rsidRDefault="00C45CA5" w:rsidP="00C45CA5">
            <w:pPr>
              <w:jc w:val="center"/>
              <w:rPr>
                <w:sz w:val="18"/>
                <w:szCs w:val="18"/>
              </w:rPr>
            </w:pPr>
            <w:r w:rsidRPr="00303024">
              <w:rPr>
                <w:rFonts w:ascii="Calibri" w:hAnsi="Calibri" w:cs="Calibri"/>
                <w:color w:val="000000"/>
                <w:sz w:val="18"/>
                <w:szCs w:val="18"/>
              </w:rPr>
              <w:t>1.2</w:t>
            </w:r>
          </w:p>
        </w:tc>
        <w:tc>
          <w:tcPr>
            <w:tcW w:w="900" w:type="dxa"/>
            <w:tcBorders>
              <w:top w:val="single" w:sz="18" w:space="0" w:color="auto"/>
            </w:tcBorders>
            <w:vAlign w:val="bottom"/>
          </w:tcPr>
          <w:p w14:paraId="24FBD677" w14:textId="77777777" w:rsidR="00C45CA5" w:rsidRPr="00303024" w:rsidRDefault="00C45CA5" w:rsidP="00C45CA5">
            <w:pPr>
              <w:jc w:val="center"/>
              <w:rPr>
                <w:sz w:val="18"/>
                <w:szCs w:val="18"/>
              </w:rPr>
            </w:pPr>
          </w:p>
        </w:tc>
        <w:tc>
          <w:tcPr>
            <w:tcW w:w="720" w:type="dxa"/>
            <w:tcBorders>
              <w:top w:val="single" w:sz="18" w:space="0" w:color="auto"/>
            </w:tcBorders>
            <w:vAlign w:val="bottom"/>
          </w:tcPr>
          <w:p w14:paraId="6C5F58D6" w14:textId="77777777" w:rsidR="00C45CA5" w:rsidRPr="00303024" w:rsidRDefault="00C45CA5" w:rsidP="00C45CA5">
            <w:pPr>
              <w:jc w:val="center"/>
              <w:rPr>
                <w:sz w:val="18"/>
                <w:szCs w:val="18"/>
              </w:rPr>
            </w:pPr>
            <w:r w:rsidRPr="00303024">
              <w:rPr>
                <w:rFonts w:ascii="Calibri" w:hAnsi="Calibri" w:cs="Calibri"/>
                <w:color w:val="000000"/>
                <w:sz w:val="18"/>
                <w:szCs w:val="18"/>
              </w:rPr>
              <w:t>18.2</w:t>
            </w:r>
          </w:p>
        </w:tc>
        <w:tc>
          <w:tcPr>
            <w:tcW w:w="733" w:type="dxa"/>
            <w:tcBorders>
              <w:top w:val="single" w:sz="18" w:space="0" w:color="auto"/>
              <w:right w:val="single" w:sz="18" w:space="0" w:color="auto"/>
            </w:tcBorders>
            <w:vAlign w:val="bottom"/>
          </w:tcPr>
          <w:p w14:paraId="20E00022" w14:textId="77777777" w:rsidR="00C45CA5" w:rsidRPr="00303024" w:rsidRDefault="00C45CA5" w:rsidP="00C45CA5">
            <w:pPr>
              <w:jc w:val="center"/>
              <w:rPr>
                <w:sz w:val="18"/>
                <w:szCs w:val="18"/>
              </w:rPr>
            </w:pPr>
            <w:r w:rsidRPr="00303024">
              <w:rPr>
                <w:rFonts w:ascii="Calibri" w:hAnsi="Calibri" w:cs="Calibri"/>
                <w:color w:val="000000"/>
                <w:sz w:val="18"/>
                <w:szCs w:val="18"/>
              </w:rPr>
              <w:t>1.8</w:t>
            </w:r>
          </w:p>
        </w:tc>
      </w:tr>
      <w:tr w:rsidR="00C45CA5" w14:paraId="0D0B9012" w14:textId="77777777" w:rsidTr="009C3171">
        <w:trPr>
          <w:trHeight w:val="392"/>
        </w:trPr>
        <w:tc>
          <w:tcPr>
            <w:tcW w:w="867" w:type="dxa"/>
            <w:vMerge/>
            <w:tcBorders>
              <w:left w:val="single" w:sz="18" w:space="0" w:color="auto"/>
              <w:right w:val="single" w:sz="18" w:space="0" w:color="auto"/>
            </w:tcBorders>
            <w:shd w:val="clear" w:color="auto" w:fill="BDD6EE" w:themeFill="accent1" w:themeFillTint="66"/>
            <w:vAlign w:val="bottom"/>
          </w:tcPr>
          <w:p w14:paraId="4499D634" w14:textId="77777777" w:rsidR="00C45CA5" w:rsidRPr="00303024" w:rsidRDefault="00C45CA5" w:rsidP="00C45CA5">
            <w:pPr>
              <w:rPr>
                <w:b/>
                <w:sz w:val="18"/>
                <w:szCs w:val="18"/>
              </w:rPr>
            </w:pPr>
          </w:p>
        </w:tc>
        <w:tc>
          <w:tcPr>
            <w:tcW w:w="1761" w:type="dxa"/>
            <w:tcBorders>
              <w:left w:val="single" w:sz="18" w:space="0" w:color="auto"/>
            </w:tcBorders>
            <w:vAlign w:val="bottom"/>
          </w:tcPr>
          <w:p w14:paraId="5CBB72C3" w14:textId="4381B3D6" w:rsidR="00C45CA5" w:rsidRPr="00303024" w:rsidRDefault="00C45CA5" w:rsidP="00C45CA5">
            <w:pPr>
              <w:rPr>
                <w:sz w:val="18"/>
                <w:szCs w:val="18"/>
              </w:rPr>
            </w:pPr>
            <w:r w:rsidRPr="00303024">
              <w:rPr>
                <w:rFonts w:ascii="Calibri" w:hAnsi="Calibri" w:cs="Calibri"/>
                <w:color w:val="000000"/>
                <w:sz w:val="18"/>
                <w:szCs w:val="18"/>
              </w:rPr>
              <w:t>Reyna</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{"citationItems":[{"id":"ITEM-1","itemData":{"DOI":"10.1111/jiec.12211","ISSN":"10881980","author":[{"dropping-particle":"","family":"Reyna","given":"Janet L.","non-dropping-particle":"","parse-names":false,"suffix":""},{"dropping-particle":"V.","family":"Chester","given":"Mikhail","non-dropping-particle":"","parse-names":false,"suffix":""}],"container-title":"Journal of Industrial Ecology","id":"ITEM-1","issue":"4","issued":{"date-parts":[["2015","8"]]},"page":"524-537","title":"The Growth of Urban Building Stock: Unintended Lock-in and Embedded Environmental Effects","type":"article-journal","volume":"19"},"uris":["http://www.mendeley.com/documents/?uuid=2f255c08-9b7e-4e42-a26f-4237b32bc4c0"]}],"mendeley":{"formattedCitation":"&lt;sup&gt;38&lt;/sup&gt;","plainTextFormattedCitation":"38","previouslyFormattedCitation":"&lt;sup&gt;38&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38</w:t>
            </w:r>
            <w:r w:rsidR="007151B4">
              <w:rPr>
                <w:rFonts w:ascii="Calibri" w:hAnsi="Calibri" w:cs="Calibri"/>
                <w:color w:val="000000"/>
                <w:sz w:val="18"/>
                <w:szCs w:val="18"/>
              </w:rPr>
              <w:fldChar w:fldCharType="end"/>
            </w:r>
          </w:p>
        </w:tc>
        <w:tc>
          <w:tcPr>
            <w:tcW w:w="1260" w:type="dxa"/>
            <w:vAlign w:val="bottom"/>
          </w:tcPr>
          <w:p w14:paraId="1E2E95EF" w14:textId="77777777" w:rsidR="00C45CA5" w:rsidRPr="00303024" w:rsidRDefault="00C45CA5" w:rsidP="00C45CA5">
            <w:pPr>
              <w:rPr>
                <w:sz w:val="18"/>
                <w:szCs w:val="18"/>
                <w:lang w:val="en-US"/>
              </w:rPr>
            </w:pPr>
            <w:r w:rsidRPr="00303024">
              <w:rPr>
                <w:rFonts w:ascii="Calibri" w:hAnsi="Calibri" w:cs="Calibri"/>
                <w:color w:val="000000"/>
                <w:sz w:val="18"/>
                <w:szCs w:val="18"/>
                <w:lang w:val="en-US"/>
              </w:rPr>
              <w:t xml:space="preserve">Warehouse, department store &amp; </w:t>
            </w:r>
            <w:r>
              <w:rPr>
                <w:rFonts w:ascii="Calibri" w:hAnsi="Calibri" w:cs="Calibri"/>
                <w:color w:val="000000"/>
                <w:sz w:val="18"/>
                <w:szCs w:val="18"/>
                <w:lang w:val="en-US"/>
              </w:rPr>
              <w:t>small store</w:t>
            </w:r>
          </w:p>
        </w:tc>
        <w:tc>
          <w:tcPr>
            <w:tcW w:w="969" w:type="dxa"/>
            <w:tcBorders>
              <w:right w:val="single" w:sz="18" w:space="0" w:color="auto"/>
            </w:tcBorders>
            <w:vAlign w:val="bottom"/>
          </w:tcPr>
          <w:p w14:paraId="7C3AA54C" w14:textId="77777777" w:rsidR="00C45CA5" w:rsidRPr="00303024" w:rsidRDefault="00C45CA5" w:rsidP="00C45CA5">
            <w:pPr>
              <w:rPr>
                <w:sz w:val="18"/>
                <w:szCs w:val="18"/>
              </w:rPr>
            </w:pPr>
            <w:r w:rsidRPr="00303024">
              <w:rPr>
                <w:rFonts w:ascii="Calibri" w:hAnsi="Calibri" w:cs="Calibri"/>
                <w:color w:val="000000"/>
                <w:sz w:val="18"/>
                <w:szCs w:val="18"/>
              </w:rPr>
              <w:t>USA</w:t>
            </w:r>
          </w:p>
        </w:tc>
        <w:tc>
          <w:tcPr>
            <w:tcW w:w="689" w:type="dxa"/>
            <w:tcBorders>
              <w:left w:val="single" w:sz="18" w:space="0" w:color="auto"/>
            </w:tcBorders>
            <w:vAlign w:val="bottom"/>
          </w:tcPr>
          <w:p w14:paraId="70E44CA4" w14:textId="77777777" w:rsidR="00C45CA5" w:rsidRPr="00303024" w:rsidRDefault="00C45CA5" w:rsidP="00C45CA5">
            <w:pPr>
              <w:jc w:val="center"/>
              <w:rPr>
                <w:sz w:val="18"/>
                <w:szCs w:val="18"/>
              </w:rPr>
            </w:pPr>
            <w:r w:rsidRPr="00303024">
              <w:rPr>
                <w:rFonts w:ascii="Calibri" w:hAnsi="Calibri" w:cs="Calibri"/>
                <w:color w:val="000000"/>
                <w:sz w:val="18"/>
                <w:szCs w:val="18"/>
              </w:rPr>
              <w:t>83</w:t>
            </w:r>
          </w:p>
        </w:tc>
        <w:tc>
          <w:tcPr>
            <w:tcW w:w="1006" w:type="dxa"/>
            <w:vAlign w:val="bottom"/>
          </w:tcPr>
          <w:p w14:paraId="015D2F7C" w14:textId="77777777" w:rsidR="00C45CA5" w:rsidRPr="00303024" w:rsidRDefault="00C45CA5" w:rsidP="00C45CA5">
            <w:pPr>
              <w:jc w:val="center"/>
              <w:rPr>
                <w:sz w:val="18"/>
                <w:szCs w:val="18"/>
              </w:rPr>
            </w:pPr>
            <w:r w:rsidRPr="00303024">
              <w:rPr>
                <w:rFonts w:ascii="Calibri" w:hAnsi="Calibri" w:cs="Calibri"/>
                <w:color w:val="000000"/>
                <w:sz w:val="18"/>
                <w:szCs w:val="18"/>
              </w:rPr>
              <w:t>658</w:t>
            </w:r>
          </w:p>
        </w:tc>
        <w:tc>
          <w:tcPr>
            <w:tcW w:w="1170" w:type="dxa"/>
            <w:vAlign w:val="bottom"/>
          </w:tcPr>
          <w:p w14:paraId="6EF35DEB" w14:textId="77777777" w:rsidR="00C45CA5" w:rsidRPr="00303024" w:rsidRDefault="00C45CA5" w:rsidP="00C45CA5">
            <w:pPr>
              <w:jc w:val="center"/>
              <w:rPr>
                <w:sz w:val="18"/>
                <w:szCs w:val="18"/>
              </w:rPr>
            </w:pPr>
            <w:r w:rsidRPr="00303024">
              <w:rPr>
                <w:rFonts w:ascii="Calibri" w:hAnsi="Calibri" w:cs="Calibri"/>
                <w:color w:val="000000"/>
                <w:sz w:val="18"/>
                <w:szCs w:val="18"/>
              </w:rPr>
              <w:t>2.1</w:t>
            </w:r>
          </w:p>
        </w:tc>
        <w:tc>
          <w:tcPr>
            <w:tcW w:w="900" w:type="dxa"/>
            <w:vAlign w:val="bottom"/>
          </w:tcPr>
          <w:p w14:paraId="0966F138" w14:textId="77777777" w:rsidR="00C45CA5" w:rsidRPr="00303024" w:rsidRDefault="00C45CA5" w:rsidP="00C45CA5">
            <w:pPr>
              <w:jc w:val="center"/>
              <w:rPr>
                <w:sz w:val="18"/>
                <w:szCs w:val="18"/>
              </w:rPr>
            </w:pPr>
          </w:p>
        </w:tc>
        <w:tc>
          <w:tcPr>
            <w:tcW w:w="720" w:type="dxa"/>
            <w:vAlign w:val="bottom"/>
          </w:tcPr>
          <w:p w14:paraId="4D409F20" w14:textId="77777777" w:rsidR="00C45CA5" w:rsidRPr="00303024" w:rsidRDefault="00C45CA5" w:rsidP="00C45CA5">
            <w:pPr>
              <w:jc w:val="center"/>
              <w:rPr>
                <w:sz w:val="18"/>
                <w:szCs w:val="18"/>
              </w:rPr>
            </w:pPr>
          </w:p>
        </w:tc>
        <w:tc>
          <w:tcPr>
            <w:tcW w:w="733" w:type="dxa"/>
            <w:tcBorders>
              <w:right w:val="single" w:sz="18" w:space="0" w:color="auto"/>
            </w:tcBorders>
            <w:vAlign w:val="bottom"/>
          </w:tcPr>
          <w:p w14:paraId="432567CA" w14:textId="77777777" w:rsidR="00C45CA5" w:rsidRPr="00303024" w:rsidRDefault="00C45CA5" w:rsidP="00C45CA5">
            <w:pPr>
              <w:jc w:val="center"/>
              <w:rPr>
                <w:sz w:val="18"/>
                <w:szCs w:val="18"/>
              </w:rPr>
            </w:pPr>
            <w:r w:rsidRPr="00303024">
              <w:rPr>
                <w:rFonts w:ascii="Calibri" w:hAnsi="Calibri" w:cs="Calibri"/>
                <w:color w:val="000000"/>
                <w:sz w:val="18"/>
                <w:szCs w:val="18"/>
              </w:rPr>
              <w:t>1.9</w:t>
            </w:r>
          </w:p>
        </w:tc>
      </w:tr>
      <w:tr w:rsidR="00C45CA5" w14:paraId="3808192F" w14:textId="77777777" w:rsidTr="009C3171">
        <w:trPr>
          <w:trHeight w:val="209"/>
        </w:trPr>
        <w:tc>
          <w:tcPr>
            <w:tcW w:w="867" w:type="dxa"/>
            <w:vMerge/>
            <w:tcBorders>
              <w:left w:val="single" w:sz="18" w:space="0" w:color="auto"/>
              <w:right w:val="single" w:sz="18" w:space="0" w:color="auto"/>
            </w:tcBorders>
            <w:shd w:val="clear" w:color="auto" w:fill="BDD6EE" w:themeFill="accent1" w:themeFillTint="66"/>
            <w:vAlign w:val="bottom"/>
          </w:tcPr>
          <w:p w14:paraId="0FA2B44B" w14:textId="77777777" w:rsidR="00C45CA5" w:rsidRPr="00303024" w:rsidRDefault="00C45CA5" w:rsidP="00C45CA5">
            <w:pPr>
              <w:rPr>
                <w:b/>
                <w:sz w:val="18"/>
                <w:szCs w:val="18"/>
              </w:rPr>
            </w:pPr>
          </w:p>
        </w:tc>
        <w:tc>
          <w:tcPr>
            <w:tcW w:w="1761" w:type="dxa"/>
            <w:tcBorders>
              <w:left w:val="single" w:sz="18" w:space="0" w:color="auto"/>
            </w:tcBorders>
            <w:vAlign w:val="bottom"/>
          </w:tcPr>
          <w:p w14:paraId="6FEB6C19" w14:textId="3E6BB14C" w:rsidR="00C45CA5" w:rsidRPr="00303024" w:rsidRDefault="00C45CA5" w:rsidP="00C45CA5">
            <w:pPr>
              <w:rPr>
                <w:sz w:val="18"/>
                <w:szCs w:val="18"/>
              </w:rPr>
            </w:pPr>
            <w:r w:rsidRPr="00303024">
              <w:rPr>
                <w:rFonts w:ascii="Calibri" w:hAnsi="Calibri" w:cs="Calibri"/>
                <w:color w:val="000000"/>
                <w:sz w:val="18"/>
                <w:szCs w:val="18"/>
              </w:rPr>
              <w:t>Schebek</w:t>
            </w:r>
            <w:r w:rsidR="007151B4">
              <w:rPr>
                <w:rFonts w:ascii="Calibri" w:hAnsi="Calibri" w:cs="Calibri"/>
                <w:color w:val="000000"/>
                <w:sz w:val="18"/>
                <w:szCs w:val="18"/>
              </w:rPr>
              <w:t xml:space="preserve"> </w:t>
            </w:r>
            <w:r w:rsidR="007151B4">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{"citationItems":[{"id":"ITEM-1","itemData":{"DOI":"https://doi.org/10.1016/j.resconrec.2016.06.001","ISSN":"0921-3449","abstract":"The building sector is known to have the largest inventories of materials in industrialized societies. In comparison to residential buildings, non-residential buildings (NRBs) are much more diverse in function, components and their respective materials. In order to provide insights in material stocks of the non-residential area, this study focused on the case of the Rhine-Main area, a metropolitan region holding extensive stocks of office buildings as well as factory, logistic and other NRBs. The investigation covered analysis of spatial data and examination of single buildings. The structure of the NRB sector was comprehensively characterized in a case-study area as to function and age-classes of existing buildings in terms of building gross volume. The two types “factory” and “commercial/retail and services buildings” accounted for about half of the existing buildings. As to age, about one third of the buildings was found to originate before 1948. This indicates the high importance of renovation activities as a prerequisite for the continuous use of NRBs. Specific material contents of buildings were assessed, showing a large variety. Combining spatial and building related information, a methodological approach was developed which provides area-wide information on material stocks incorporating the allocation to function and age-class of NRBs. This approach may be used for regional estimation of potentials of secondary resources and for Material Flow Analysis in order to estimate potentials and flows of secondary resource.","author":[{"dropping-particle":"","family":"Schebek","given":"Liselotte","non-dropping-particle":"","parse-names":false,"suffix":""},{"dropping-particle":"","family":"Schnitzer","given":"Benjamin","non-dropping-particle":"","parse-names":false,"suffix":""},{"dropping-particle":"","family":"Blesinger","given":"Daniel","non-dropping-particle":"","parse-names":false,"suffix":""},{"dropping-particle":"","family":"Köhn","given":"Antonia","non-dropping-particle":"","parse-names":false,"suffix":""},{"dropping-particle":"","family":"Miekley","given":"Britta","non-dropping-particle":"","parse-names":false,"suffix":""},{"dropping-particle":"","family":"Linke","given":"Hans Joachim","non-dropping-particle":"","parse-names":false,"suffix":""},{"dropping-particle":"","family":"Lohmann","given":"Andreas","non-dropping-particle":"","parse-names":false,"suffix":""},{"dropping-particle":"","family":"Motzko","given":"Christoph","non-dropping-particle":"","parse-names":false,"suffix":""},{"dropping-particle":"","family":"Seemann","given":"Axel","non-dropping-particle":"","parse-names":false,"suffix":""}],"container-title":"Resources, Conservation and Recycling","id":"ITEM-1","issued":{"date-parts":[["2017"]]},"page":"24-36","title":"Material stocks of the non-residential building sector: the case of the Rhine-Main area","type":"article-journal","volume":"123"},"uris":["http://www.mendeley.com/documents/?uuid=7c48b1d4-2f68-47bb-a148-80a141bb20a5"]}],"mendeley":{"formattedCitation":"&lt;sup&gt;39&lt;/sup&gt;","plainTextFormattedCitation":"39","previouslyFormattedCitation":"&lt;sup&gt;39&lt;/sup&gt;"},"properties":{"noteIndex":0},"schema":"https://github.com/citation-style-language/schema/raw/master/csl-citation.json"}</w:instrText>
            </w:r>
            <w:r w:rsidR="007151B4">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39</w:t>
            </w:r>
            <w:r w:rsidR="007151B4">
              <w:rPr>
                <w:rFonts w:ascii="Calibri" w:hAnsi="Calibri" w:cs="Calibri"/>
                <w:color w:val="000000"/>
                <w:sz w:val="18"/>
                <w:szCs w:val="18"/>
              </w:rPr>
              <w:fldChar w:fldCharType="end"/>
            </w:r>
          </w:p>
        </w:tc>
        <w:tc>
          <w:tcPr>
            <w:tcW w:w="1260" w:type="dxa"/>
            <w:vAlign w:val="bottom"/>
          </w:tcPr>
          <w:p w14:paraId="359EE688" w14:textId="77777777" w:rsidR="00C45CA5" w:rsidRPr="00303024" w:rsidRDefault="00C45CA5" w:rsidP="00C45CA5">
            <w:pPr>
              <w:rPr>
                <w:sz w:val="18"/>
                <w:szCs w:val="18"/>
              </w:rPr>
            </w:pPr>
            <w:r w:rsidRPr="00303024">
              <w:rPr>
                <w:rFonts w:ascii="Calibri" w:hAnsi="Calibri" w:cs="Calibri"/>
                <w:color w:val="000000"/>
                <w:sz w:val="18"/>
                <w:szCs w:val="18"/>
              </w:rPr>
              <w:t>Warehouse</w:t>
            </w:r>
          </w:p>
        </w:tc>
        <w:tc>
          <w:tcPr>
            <w:tcW w:w="969" w:type="dxa"/>
            <w:tcBorders>
              <w:right w:val="single" w:sz="18" w:space="0" w:color="auto"/>
            </w:tcBorders>
            <w:vAlign w:val="bottom"/>
          </w:tcPr>
          <w:p w14:paraId="2BFEB52B" w14:textId="77777777" w:rsidR="00C45CA5" w:rsidRPr="00303024" w:rsidRDefault="00C45CA5" w:rsidP="00C45CA5">
            <w:pPr>
              <w:rPr>
                <w:sz w:val="18"/>
                <w:szCs w:val="18"/>
              </w:rPr>
            </w:pPr>
            <w:r w:rsidRPr="00303024">
              <w:rPr>
                <w:rFonts w:ascii="Calibri" w:hAnsi="Calibri" w:cs="Calibri"/>
                <w:color w:val="000000"/>
                <w:sz w:val="18"/>
                <w:szCs w:val="18"/>
              </w:rPr>
              <w:t>-</w:t>
            </w:r>
          </w:p>
        </w:tc>
        <w:tc>
          <w:tcPr>
            <w:tcW w:w="689" w:type="dxa"/>
            <w:tcBorders>
              <w:left w:val="single" w:sz="18" w:space="0" w:color="auto"/>
            </w:tcBorders>
            <w:vAlign w:val="bottom"/>
          </w:tcPr>
          <w:p w14:paraId="6578EA37" w14:textId="77777777" w:rsidR="00C45CA5" w:rsidRPr="00303024" w:rsidRDefault="00C45CA5" w:rsidP="00C45CA5">
            <w:pPr>
              <w:jc w:val="center"/>
              <w:rPr>
                <w:sz w:val="18"/>
                <w:szCs w:val="18"/>
              </w:rPr>
            </w:pPr>
            <w:r w:rsidRPr="00303024">
              <w:rPr>
                <w:rFonts w:ascii="Calibri" w:hAnsi="Calibri" w:cs="Calibri"/>
                <w:color w:val="000000"/>
                <w:sz w:val="18"/>
                <w:szCs w:val="18"/>
              </w:rPr>
              <w:t>85</w:t>
            </w:r>
          </w:p>
        </w:tc>
        <w:tc>
          <w:tcPr>
            <w:tcW w:w="1006" w:type="dxa"/>
            <w:vAlign w:val="bottom"/>
          </w:tcPr>
          <w:p w14:paraId="6ABE37A3" w14:textId="77777777" w:rsidR="00C45CA5" w:rsidRPr="00303024" w:rsidRDefault="00C45CA5" w:rsidP="00C45CA5">
            <w:pPr>
              <w:jc w:val="center"/>
              <w:rPr>
                <w:sz w:val="18"/>
                <w:szCs w:val="18"/>
              </w:rPr>
            </w:pPr>
            <w:r w:rsidRPr="00303024">
              <w:rPr>
                <w:rFonts w:ascii="Calibri" w:hAnsi="Calibri" w:cs="Calibri"/>
                <w:color w:val="000000"/>
                <w:sz w:val="18"/>
                <w:szCs w:val="18"/>
              </w:rPr>
              <w:t>349</w:t>
            </w:r>
          </w:p>
        </w:tc>
        <w:tc>
          <w:tcPr>
            <w:tcW w:w="1170" w:type="dxa"/>
            <w:vAlign w:val="bottom"/>
          </w:tcPr>
          <w:p w14:paraId="1E696B7E" w14:textId="77777777" w:rsidR="00C45CA5" w:rsidRPr="00303024" w:rsidRDefault="00C45CA5" w:rsidP="00C45CA5">
            <w:pPr>
              <w:jc w:val="center"/>
              <w:rPr>
                <w:sz w:val="18"/>
                <w:szCs w:val="18"/>
              </w:rPr>
            </w:pPr>
            <w:r w:rsidRPr="00303024">
              <w:rPr>
                <w:rFonts w:ascii="Calibri" w:hAnsi="Calibri" w:cs="Calibri"/>
                <w:color w:val="000000"/>
                <w:sz w:val="18"/>
                <w:szCs w:val="18"/>
              </w:rPr>
              <w:t>1.1</w:t>
            </w:r>
          </w:p>
        </w:tc>
        <w:tc>
          <w:tcPr>
            <w:tcW w:w="900" w:type="dxa"/>
            <w:vAlign w:val="bottom"/>
          </w:tcPr>
          <w:p w14:paraId="4D4D7D3D" w14:textId="77777777" w:rsidR="00C45CA5" w:rsidRPr="00303024" w:rsidRDefault="00C45CA5" w:rsidP="00C45CA5">
            <w:pPr>
              <w:jc w:val="center"/>
              <w:rPr>
                <w:sz w:val="18"/>
                <w:szCs w:val="18"/>
              </w:rPr>
            </w:pPr>
            <w:r w:rsidRPr="00303024">
              <w:rPr>
                <w:rFonts w:ascii="Calibri" w:hAnsi="Calibri" w:cs="Calibri"/>
                <w:color w:val="000000"/>
                <w:sz w:val="18"/>
                <w:szCs w:val="18"/>
              </w:rPr>
              <w:t>0.7</w:t>
            </w:r>
          </w:p>
        </w:tc>
        <w:tc>
          <w:tcPr>
            <w:tcW w:w="720" w:type="dxa"/>
            <w:vAlign w:val="bottom"/>
          </w:tcPr>
          <w:p w14:paraId="30CA7D67" w14:textId="77777777" w:rsidR="00C45CA5" w:rsidRPr="00303024" w:rsidRDefault="00C45CA5" w:rsidP="00C45CA5">
            <w:pPr>
              <w:jc w:val="center"/>
              <w:rPr>
                <w:sz w:val="18"/>
                <w:szCs w:val="18"/>
              </w:rPr>
            </w:pPr>
            <w:r w:rsidRPr="00303024">
              <w:rPr>
                <w:rFonts w:ascii="Calibri" w:hAnsi="Calibri" w:cs="Calibri"/>
                <w:color w:val="000000"/>
                <w:sz w:val="18"/>
                <w:szCs w:val="18"/>
              </w:rPr>
              <w:t>4.2</w:t>
            </w:r>
          </w:p>
        </w:tc>
        <w:tc>
          <w:tcPr>
            <w:tcW w:w="733" w:type="dxa"/>
            <w:tcBorders>
              <w:right w:val="single" w:sz="18" w:space="0" w:color="auto"/>
            </w:tcBorders>
            <w:vAlign w:val="bottom"/>
          </w:tcPr>
          <w:p w14:paraId="6339B600" w14:textId="77777777" w:rsidR="00C45CA5" w:rsidRPr="00303024" w:rsidRDefault="00C45CA5" w:rsidP="00C45CA5">
            <w:pPr>
              <w:jc w:val="center"/>
              <w:rPr>
                <w:sz w:val="18"/>
                <w:szCs w:val="18"/>
              </w:rPr>
            </w:pPr>
            <w:r w:rsidRPr="00303024">
              <w:rPr>
                <w:rFonts w:ascii="Calibri" w:hAnsi="Calibri" w:cs="Calibri"/>
                <w:color w:val="000000"/>
                <w:sz w:val="18"/>
                <w:szCs w:val="18"/>
              </w:rPr>
              <w:t>13.9</w:t>
            </w:r>
          </w:p>
        </w:tc>
      </w:tr>
      <w:tr w:rsidR="00C45CA5" w14:paraId="6BB21049" w14:textId="77777777" w:rsidTr="009C3171">
        <w:trPr>
          <w:trHeight w:val="410"/>
        </w:trPr>
        <w:tc>
          <w:tcPr>
            <w:tcW w:w="867" w:type="dxa"/>
            <w:vMerge/>
            <w:tcBorders>
              <w:left w:val="single" w:sz="18" w:space="0" w:color="auto"/>
              <w:bottom w:val="single" w:sz="18" w:space="0" w:color="auto"/>
              <w:right w:val="single" w:sz="18" w:space="0" w:color="auto"/>
            </w:tcBorders>
            <w:shd w:val="clear" w:color="auto" w:fill="BDD6EE" w:themeFill="accent1" w:themeFillTint="66"/>
            <w:vAlign w:val="bottom"/>
          </w:tcPr>
          <w:p w14:paraId="29BAEB3B" w14:textId="77777777" w:rsidR="00C45CA5" w:rsidRPr="00303024" w:rsidRDefault="00C45CA5" w:rsidP="00C45CA5">
            <w:pPr>
              <w:rPr>
                <w:b/>
                <w:sz w:val="18"/>
                <w:szCs w:val="18"/>
              </w:rPr>
            </w:pPr>
          </w:p>
        </w:tc>
        <w:tc>
          <w:tcPr>
            <w:tcW w:w="1761" w:type="dxa"/>
            <w:tcBorders>
              <w:left w:val="single" w:sz="18" w:space="0" w:color="auto"/>
              <w:bottom w:val="single" w:sz="18" w:space="0" w:color="auto"/>
            </w:tcBorders>
            <w:vAlign w:val="bottom"/>
          </w:tcPr>
          <w:p w14:paraId="02DEF108" w14:textId="74F85E44" w:rsidR="00C45CA5" w:rsidRPr="00303024" w:rsidRDefault="00C45CA5" w:rsidP="00C45CA5">
            <w:pPr>
              <w:rPr>
                <w:sz w:val="18"/>
                <w:szCs w:val="18"/>
              </w:rPr>
            </w:pPr>
            <w:r w:rsidRPr="00303024">
              <w:rPr>
                <w:rFonts w:ascii="Calibri" w:hAnsi="Calibri" w:cs="Calibri"/>
                <w:color w:val="000000"/>
                <w:sz w:val="18"/>
                <w:szCs w:val="18"/>
              </w:rPr>
              <w:t>Gruhler*</w:t>
            </w:r>
            <w:r w:rsidR="007151B4">
              <w:rPr>
                <w:rFonts w:ascii="Calibri" w:hAnsi="Calibri" w:cs="Calibri"/>
                <w:color w:val="000000"/>
                <w:sz w:val="18"/>
                <w:szCs w:val="18"/>
              </w:rPr>
              <w:t xml:space="preserve"> </w:t>
            </w:r>
            <w:r w:rsidR="00C56E4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{"citationItems":[{"id":"ITEM-1","itemData":{"ISBN":"978-3-7388-0054-8","abstract":"Methodisches Vorgehen, Berechnungsverfahren, Gebäudedokumentation","author":[{"dropping-particle":"","family":"Gruhler","given":"Karin","non-dropping-particle":"","parse-names":false,"suffix":""},{"dropping-particle":"","family":"Deilmannl","given":"Clemens","non-dropping-particle":"","parse-names":false,"suffix":""}],"id":"ITEM-1","issued":{"date-parts":[["2017"]]},"publisher":"Fraunhofer IRB Verlag","publisher-place":"Stuttgart","title":"Materialaufwand von Nichtwohngebäuden – Teil II","type":"chapter"},"uris":["http://www.mendeley.com/documents/?uuid=ec038dfc-f925-4ba6-8fd8-9f5c736b1ec2"]}],"mendeley":{"formattedCitation":"&lt;sup&gt;40&lt;/sup&gt;","plainTextFormattedCitation":"40","previouslyFormattedCitation":"&lt;sup&gt;40&lt;/sup&gt;"},"properties":{"noteIndex":0},"schema":"https://github.com/citation-style-language/schema/raw/master/csl-citation.json"}</w:instrText>
            </w:r>
            <w:r w:rsidR="00C56E4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40</w:t>
            </w:r>
            <w:r w:rsidR="00C56E41">
              <w:rPr>
                <w:rFonts w:ascii="Calibri" w:hAnsi="Calibri" w:cs="Calibri"/>
                <w:color w:val="000000"/>
                <w:sz w:val="18"/>
                <w:szCs w:val="18"/>
              </w:rPr>
              <w:fldChar w:fldCharType="end"/>
            </w:r>
          </w:p>
        </w:tc>
        <w:tc>
          <w:tcPr>
            <w:tcW w:w="1260" w:type="dxa"/>
            <w:tcBorders>
              <w:bottom w:val="single" w:sz="18" w:space="0" w:color="auto"/>
            </w:tcBorders>
            <w:vAlign w:val="bottom"/>
          </w:tcPr>
          <w:p w14:paraId="3DD17508" w14:textId="77777777" w:rsidR="00C45CA5" w:rsidRDefault="00C45CA5" w:rsidP="00C45CA5">
            <w:pPr>
              <w:rPr>
                <w:rFonts w:ascii="Calibri" w:hAnsi="Calibri" w:cs="Calibri"/>
                <w:color w:val="000000"/>
                <w:sz w:val="18"/>
                <w:szCs w:val="18"/>
              </w:rPr>
            </w:pPr>
            <w:r w:rsidRPr="00303024">
              <w:rPr>
                <w:rFonts w:ascii="Calibri" w:hAnsi="Calibri" w:cs="Calibri"/>
                <w:color w:val="000000"/>
                <w:sz w:val="18"/>
                <w:szCs w:val="18"/>
              </w:rPr>
              <w:t xml:space="preserve">Wholesale &amp; </w:t>
            </w:r>
          </w:p>
          <w:p w14:paraId="2783856F" w14:textId="77777777" w:rsidR="00C45CA5" w:rsidRPr="00303024" w:rsidRDefault="00C45CA5" w:rsidP="00C45CA5">
            <w:pPr>
              <w:rPr>
                <w:sz w:val="18"/>
                <w:szCs w:val="18"/>
              </w:rPr>
            </w:pPr>
            <w:r w:rsidRPr="00303024">
              <w:rPr>
                <w:rFonts w:ascii="Calibri" w:hAnsi="Calibri" w:cs="Calibri"/>
                <w:color w:val="000000"/>
                <w:sz w:val="18"/>
                <w:szCs w:val="18"/>
              </w:rPr>
              <w:t>Car-shop</w:t>
            </w:r>
          </w:p>
        </w:tc>
        <w:tc>
          <w:tcPr>
            <w:tcW w:w="969" w:type="dxa"/>
            <w:tcBorders>
              <w:bottom w:val="single" w:sz="18" w:space="0" w:color="auto"/>
              <w:right w:val="single" w:sz="18" w:space="0" w:color="auto"/>
            </w:tcBorders>
            <w:vAlign w:val="bottom"/>
          </w:tcPr>
          <w:p w14:paraId="7BA2AF6A" w14:textId="77777777" w:rsidR="00C45CA5" w:rsidRPr="00303024" w:rsidRDefault="00C45CA5" w:rsidP="00C45CA5">
            <w:pPr>
              <w:rPr>
                <w:sz w:val="18"/>
                <w:szCs w:val="18"/>
              </w:rPr>
            </w:pPr>
            <w:r w:rsidRPr="00303024">
              <w:rPr>
                <w:rFonts w:ascii="Calibri" w:hAnsi="Calibri" w:cs="Calibri"/>
                <w:color w:val="000000"/>
                <w:sz w:val="18"/>
                <w:szCs w:val="18"/>
              </w:rPr>
              <w:t>Germany</w:t>
            </w:r>
          </w:p>
        </w:tc>
        <w:tc>
          <w:tcPr>
            <w:tcW w:w="689" w:type="dxa"/>
            <w:tcBorders>
              <w:left w:val="single" w:sz="18" w:space="0" w:color="auto"/>
              <w:bottom w:val="single" w:sz="18" w:space="0" w:color="auto"/>
            </w:tcBorders>
            <w:vAlign w:val="bottom"/>
          </w:tcPr>
          <w:p w14:paraId="2B306946" w14:textId="77777777" w:rsidR="00C45CA5" w:rsidRPr="00303024" w:rsidRDefault="00C45CA5" w:rsidP="00C45CA5">
            <w:pPr>
              <w:jc w:val="center"/>
              <w:rPr>
                <w:sz w:val="18"/>
                <w:szCs w:val="18"/>
              </w:rPr>
            </w:pPr>
            <w:r w:rsidRPr="00303024">
              <w:rPr>
                <w:rFonts w:ascii="Calibri" w:hAnsi="Calibri" w:cs="Calibri"/>
                <w:color w:val="000000"/>
                <w:sz w:val="18"/>
                <w:szCs w:val="18"/>
              </w:rPr>
              <w:t>121</w:t>
            </w:r>
          </w:p>
        </w:tc>
        <w:tc>
          <w:tcPr>
            <w:tcW w:w="1006" w:type="dxa"/>
            <w:tcBorders>
              <w:bottom w:val="single" w:sz="18" w:space="0" w:color="auto"/>
            </w:tcBorders>
            <w:vAlign w:val="bottom"/>
          </w:tcPr>
          <w:p w14:paraId="7B436E54" w14:textId="77777777" w:rsidR="00C45CA5" w:rsidRPr="00303024" w:rsidRDefault="00C45CA5" w:rsidP="00C45CA5">
            <w:pPr>
              <w:jc w:val="center"/>
              <w:rPr>
                <w:sz w:val="18"/>
                <w:szCs w:val="18"/>
              </w:rPr>
            </w:pPr>
            <w:r w:rsidRPr="00303024">
              <w:rPr>
                <w:rFonts w:ascii="Calibri" w:hAnsi="Calibri" w:cs="Calibri"/>
                <w:color w:val="000000"/>
                <w:sz w:val="18"/>
                <w:szCs w:val="18"/>
              </w:rPr>
              <w:t>1009</w:t>
            </w:r>
          </w:p>
        </w:tc>
        <w:tc>
          <w:tcPr>
            <w:tcW w:w="1170" w:type="dxa"/>
            <w:tcBorders>
              <w:bottom w:val="single" w:sz="18" w:space="0" w:color="auto"/>
            </w:tcBorders>
            <w:vAlign w:val="bottom"/>
          </w:tcPr>
          <w:p w14:paraId="64EC8CCA" w14:textId="77777777" w:rsidR="00C45CA5" w:rsidRPr="00303024" w:rsidRDefault="00C45CA5" w:rsidP="00C45CA5">
            <w:pPr>
              <w:jc w:val="center"/>
              <w:rPr>
                <w:sz w:val="18"/>
                <w:szCs w:val="18"/>
              </w:rPr>
            </w:pPr>
            <w:r w:rsidRPr="00303024">
              <w:rPr>
                <w:rFonts w:ascii="Calibri" w:hAnsi="Calibri" w:cs="Calibri"/>
                <w:color w:val="000000"/>
                <w:sz w:val="18"/>
                <w:szCs w:val="18"/>
              </w:rPr>
              <w:t>5.2</w:t>
            </w:r>
          </w:p>
        </w:tc>
        <w:tc>
          <w:tcPr>
            <w:tcW w:w="900" w:type="dxa"/>
            <w:tcBorders>
              <w:bottom w:val="single" w:sz="18" w:space="0" w:color="auto"/>
            </w:tcBorders>
            <w:vAlign w:val="bottom"/>
          </w:tcPr>
          <w:p w14:paraId="61E22062" w14:textId="77777777" w:rsidR="00C45CA5" w:rsidRPr="00303024" w:rsidRDefault="00C45CA5" w:rsidP="00C45CA5">
            <w:pPr>
              <w:jc w:val="center"/>
              <w:rPr>
                <w:sz w:val="18"/>
                <w:szCs w:val="18"/>
              </w:rPr>
            </w:pPr>
            <w:r w:rsidRPr="00303024">
              <w:rPr>
                <w:rFonts w:ascii="Calibri" w:hAnsi="Calibri" w:cs="Calibri"/>
                <w:color w:val="000000"/>
                <w:sz w:val="18"/>
                <w:szCs w:val="18"/>
              </w:rPr>
              <w:t>3.9</w:t>
            </w:r>
          </w:p>
        </w:tc>
        <w:tc>
          <w:tcPr>
            <w:tcW w:w="720" w:type="dxa"/>
            <w:tcBorders>
              <w:bottom w:val="single" w:sz="18" w:space="0" w:color="auto"/>
            </w:tcBorders>
            <w:vAlign w:val="bottom"/>
          </w:tcPr>
          <w:p w14:paraId="3B014B3C" w14:textId="77777777" w:rsidR="00C45CA5" w:rsidRPr="00303024" w:rsidRDefault="00C45CA5" w:rsidP="00C45CA5">
            <w:pPr>
              <w:jc w:val="center"/>
              <w:rPr>
                <w:sz w:val="18"/>
                <w:szCs w:val="18"/>
              </w:rPr>
            </w:pPr>
            <w:r w:rsidRPr="00303024">
              <w:rPr>
                <w:rFonts w:ascii="Calibri" w:hAnsi="Calibri" w:cs="Calibri"/>
                <w:color w:val="000000"/>
                <w:sz w:val="18"/>
                <w:szCs w:val="18"/>
              </w:rPr>
              <w:t>11.0</w:t>
            </w:r>
          </w:p>
        </w:tc>
        <w:tc>
          <w:tcPr>
            <w:tcW w:w="733" w:type="dxa"/>
            <w:tcBorders>
              <w:bottom w:val="single" w:sz="18" w:space="0" w:color="auto"/>
              <w:right w:val="single" w:sz="18" w:space="0" w:color="auto"/>
            </w:tcBorders>
            <w:vAlign w:val="bottom"/>
          </w:tcPr>
          <w:p w14:paraId="3BB00B66" w14:textId="77777777" w:rsidR="00C45CA5" w:rsidRPr="00303024" w:rsidRDefault="00C45CA5" w:rsidP="00C45CA5">
            <w:pPr>
              <w:jc w:val="center"/>
              <w:rPr>
                <w:sz w:val="18"/>
                <w:szCs w:val="18"/>
              </w:rPr>
            </w:pPr>
          </w:p>
        </w:tc>
      </w:tr>
      <w:tr w:rsidR="00C45CA5" w14:paraId="70702936" w14:textId="77777777" w:rsidTr="009C3171">
        <w:trPr>
          <w:trHeight w:val="191"/>
        </w:trPr>
        <w:tc>
          <w:tcPr>
            <w:tcW w:w="867" w:type="dxa"/>
            <w:vMerge w:val="restart"/>
            <w:tcBorders>
              <w:top w:val="single" w:sz="18" w:space="0" w:color="auto"/>
              <w:left w:val="single" w:sz="18" w:space="0" w:color="auto"/>
              <w:right w:val="single" w:sz="18" w:space="0" w:color="auto"/>
            </w:tcBorders>
            <w:textDirection w:val="btLr"/>
            <w:vAlign w:val="center"/>
          </w:tcPr>
          <w:p w14:paraId="29279E42" w14:textId="77777777" w:rsidR="00C45CA5" w:rsidRPr="00303024" w:rsidRDefault="00C45CA5" w:rsidP="00C45CA5">
            <w:pPr>
              <w:ind w:left="113" w:right="113"/>
              <w:jc w:val="center"/>
              <w:rPr>
                <w:b/>
                <w:sz w:val="18"/>
                <w:szCs w:val="18"/>
              </w:rPr>
            </w:pPr>
            <w:r w:rsidRPr="00303024">
              <w:rPr>
                <w:rFonts w:ascii="Calibri" w:hAnsi="Calibri" w:cs="Calibri"/>
                <w:b/>
                <w:color w:val="000000"/>
                <w:sz w:val="18"/>
                <w:szCs w:val="18"/>
              </w:rPr>
              <w:t>Hotels</w:t>
            </w:r>
            <w:r>
              <w:rPr>
                <w:rFonts w:ascii="Calibri" w:hAnsi="Calibri" w:cs="Calibri"/>
                <w:b/>
                <w:color w:val="000000"/>
                <w:sz w:val="18"/>
                <w:szCs w:val="18"/>
              </w:rPr>
              <w:t>+</w:t>
            </w:r>
          </w:p>
        </w:tc>
        <w:tc>
          <w:tcPr>
            <w:tcW w:w="1761" w:type="dxa"/>
            <w:tcBorders>
              <w:top w:val="single" w:sz="18" w:space="0" w:color="auto"/>
              <w:left w:val="single" w:sz="18" w:space="0" w:color="auto"/>
            </w:tcBorders>
            <w:shd w:val="clear" w:color="auto" w:fill="BDD6EE" w:themeFill="accent1" w:themeFillTint="66"/>
            <w:vAlign w:val="bottom"/>
          </w:tcPr>
          <w:p w14:paraId="6FEF0671" w14:textId="7889A8B5" w:rsidR="00C45CA5" w:rsidRPr="00303024" w:rsidRDefault="00C45CA5" w:rsidP="00C45CA5">
            <w:pPr>
              <w:rPr>
                <w:sz w:val="18"/>
                <w:szCs w:val="18"/>
              </w:rPr>
            </w:pPr>
            <w:r w:rsidRPr="00303024">
              <w:rPr>
                <w:rFonts w:ascii="Calibri" w:hAnsi="Calibri" w:cs="Calibri"/>
                <w:color w:val="000000"/>
                <w:sz w:val="18"/>
                <w:szCs w:val="18"/>
              </w:rPr>
              <w:t>Reyna</w:t>
            </w:r>
            <w:r w:rsidR="00C56E41">
              <w:rPr>
                <w:rFonts w:ascii="Calibri" w:hAnsi="Calibri" w:cs="Calibri"/>
                <w:color w:val="000000"/>
                <w:sz w:val="18"/>
                <w:szCs w:val="18"/>
              </w:rPr>
              <w:t xml:space="preserve"> </w:t>
            </w:r>
            <w:r w:rsidR="00C56E4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{"citationItems":[{"id":"ITEM-1","itemData":{"DOI":"10.1111/jiec.12211","ISSN":"10881980","author":[{"dropping-particle":"","family":"Reyna","given":"Janet L.","non-dropping-particle":"","parse-names":false,"suffix":""},{"dropping-particle":"V.","family":"Chester","given":"Mikhail","non-dropping-particle":"","parse-names":false,"suffix":""}],"container-title":"Journal of Industrial Ecology","id":"ITEM-1","issue":"4","issued":{"date-parts":[["2015","8"]]},"page":"524-537","title":"The Growth of Urban Building Stock: Unintended Lock-in and Embedded Environmental Effects","type":"article-journal","volume":"19"},"uris":["http://www.mendeley.com/documents/?uuid=2f255c08-9b7e-4e42-a26f-4237b32bc4c0"]}],"mendeley":{"formattedCitation":"&lt;sup&gt;38&lt;/sup&gt;","plainTextFormattedCitation":"38","previouslyFormattedCitation":"&lt;sup&gt;38&lt;/sup&gt;"},"properties":{"noteIndex":0},"schema":"https://github.com/citation-style-language/schema/raw/master/csl-citation.json"}</w:instrText>
            </w:r>
            <w:r w:rsidR="00C56E4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38</w:t>
            </w:r>
            <w:r w:rsidR="00C56E41">
              <w:rPr>
                <w:rFonts w:ascii="Calibri" w:hAnsi="Calibri" w:cs="Calibri"/>
                <w:color w:val="000000"/>
                <w:sz w:val="18"/>
                <w:szCs w:val="18"/>
              </w:rPr>
              <w:fldChar w:fldCharType="end"/>
            </w:r>
          </w:p>
        </w:tc>
        <w:tc>
          <w:tcPr>
            <w:tcW w:w="1260" w:type="dxa"/>
            <w:tcBorders>
              <w:top w:val="single" w:sz="18" w:space="0" w:color="auto"/>
            </w:tcBorders>
            <w:shd w:val="clear" w:color="auto" w:fill="BDD6EE" w:themeFill="accent1" w:themeFillTint="66"/>
            <w:vAlign w:val="bottom"/>
          </w:tcPr>
          <w:p w14:paraId="3FD70D4B" w14:textId="77777777" w:rsidR="00C45CA5" w:rsidRPr="00303024" w:rsidRDefault="00C45CA5" w:rsidP="00C45CA5">
            <w:pPr>
              <w:rPr>
                <w:sz w:val="18"/>
                <w:szCs w:val="18"/>
              </w:rPr>
            </w:pPr>
            <w:r w:rsidRPr="00303024">
              <w:rPr>
                <w:rFonts w:ascii="Calibri" w:hAnsi="Calibri" w:cs="Calibri"/>
                <w:color w:val="000000"/>
                <w:sz w:val="18"/>
                <w:szCs w:val="18"/>
              </w:rPr>
              <w:t>Hotel</w:t>
            </w:r>
          </w:p>
        </w:tc>
        <w:tc>
          <w:tcPr>
            <w:tcW w:w="969" w:type="dxa"/>
            <w:tcBorders>
              <w:top w:val="single" w:sz="18" w:space="0" w:color="auto"/>
              <w:right w:val="single" w:sz="18" w:space="0" w:color="auto"/>
            </w:tcBorders>
            <w:shd w:val="clear" w:color="auto" w:fill="BDD6EE" w:themeFill="accent1" w:themeFillTint="66"/>
            <w:vAlign w:val="bottom"/>
          </w:tcPr>
          <w:p w14:paraId="3825D3FB" w14:textId="77777777" w:rsidR="00C45CA5" w:rsidRPr="00303024" w:rsidRDefault="00C45CA5" w:rsidP="00C45CA5">
            <w:pPr>
              <w:rPr>
                <w:sz w:val="18"/>
                <w:szCs w:val="18"/>
              </w:rPr>
            </w:pPr>
            <w:r w:rsidRPr="00303024">
              <w:rPr>
                <w:rFonts w:ascii="Calibri" w:hAnsi="Calibri" w:cs="Calibri"/>
                <w:color w:val="000000"/>
                <w:sz w:val="18"/>
                <w:szCs w:val="18"/>
              </w:rPr>
              <w:t>USA</w:t>
            </w:r>
          </w:p>
        </w:tc>
        <w:tc>
          <w:tcPr>
            <w:tcW w:w="689" w:type="dxa"/>
            <w:tcBorders>
              <w:top w:val="single" w:sz="18" w:space="0" w:color="auto"/>
              <w:left w:val="single" w:sz="18" w:space="0" w:color="auto"/>
            </w:tcBorders>
            <w:shd w:val="clear" w:color="auto" w:fill="BDD6EE" w:themeFill="accent1" w:themeFillTint="66"/>
            <w:vAlign w:val="bottom"/>
          </w:tcPr>
          <w:p w14:paraId="1E4226F1" w14:textId="77777777" w:rsidR="00C45CA5" w:rsidRPr="00303024" w:rsidRDefault="00C45CA5" w:rsidP="00C45CA5">
            <w:pPr>
              <w:jc w:val="center"/>
              <w:rPr>
                <w:sz w:val="18"/>
                <w:szCs w:val="18"/>
              </w:rPr>
            </w:pPr>
            <w:r w:rsidRPr="00303024">
              <w:rPr>
                <w:rFonts w:ascii="Calibri" w:hAnsi="Calibri" w:cs="Calibri"/>
                <w:color w:val="000000"/>
                <w:sz w:val="18"/>
                <w:szCs w:val="18"/>
              </w:rPr>
              <w:t>89</w:t>
            </w:r>
          </w:p>
        </w:tc>
        <w:tc>
          <w:tcPr>
            <w:tcW w:w="1006" w:type="dxa"/>
            <w:tcBorders>
              <w:top w:val="single" w:sz="18" w:space="0" w:color="auto"/>
            </w:tcBorders>
            <w:shd w:val="clear" w:color="auto" w:fill="BDD6EE" w:themeFill="accent1" w:themeFillTint="66"/>
            <w:vAlign w:val="bottom"/>
          </w:tcPr>
          <w:p w14:paraId="6ADCAE76" w14:textId="77777777" w:rsidR="00C45CA5" w:rsidRPr="00303024" w:rsidRDefault="00C45CA5" w:rsidP="00C45CA5">
            <w:pPr>
              <w:jc w:val="center"/>
              <w:rPr>
                <w:sz w:val="18"/>
                <w:szCs w:val="18"/>
              </w:rPr>
            </w:pPr>
            <w:r w:rsidRPr="00303024">
              <w:rPr>
                <w:rFonts w:ascii="Calibri" w:hAnsi="Calibri" w:cs="Calibri"/>
                <w:color w:val="000000"/>
                <w:sz w:val="18"/>
                <w:szCs w:val="18"/>
              </w:rPr>
              <w:t>93</w:t>
            </w:r>
          </w:p>
        </w:tc>
        <w:tc>
          <w:tcPr>
            <w:tcW w:w="1170" w:type="dxa"/>
            <w:tcBorders>
              <w:top w:val="single" w:sz="18" w:space="0" w:color="auto"/>
            </w:tcBorders>
            <w:shd w:val="clear" w:color="auto" w:fill="BDD6EE" w:themeFill="accent1" w:themeFillTint="66"/>
            <w:vAlign w:val="bottom"/>
          </w:tcPr>
          <w:p w14:paraId="2F1DC693" w14:textId="77777777" w:rsidR="00C45CA5" w:rsidRPr="00303024" w:rsidRDefault="00C45CA5" w:rsidP="00C45CA5">
            <w:pPr>
              <w:jc w:val="center"/>
              <w:rPr>
                <w:sz w:val="18"/>
                <w:szCs w:val="18"/>
              </w:rPr>
            </w:pPr>
            <w:r w:rsidRPr="00303024">
              <w:rPr>
                <w:rFonts w:ascii="Calibri" w:hAnsi="Calibri" w:cs="Calibri"/>
                <w:color w:val="000000"/>
                <w:sz w:val="18"/>
                <w:szCs w:val="18"/>
              </w:rPr>
              <w:t>5.2</w:t>
            </w:r>
          </w:p>
        </w:tc>
        <w:tc>
          <w:tcPr>
            <w:tcW w:w="900" w:type="dxa"/>
            <w:tcBorders>
              <w:top w:val="single" w:sz="18" w:space="0" w:color="auto"/>
            </w:tcBorders>
            <w:shd w:val="clear" w:color="auto" w:fill="BDD6EE" w:themeFill="accent1" w:themeFillTint="66"/>
            <w:vAlign w:val="bottom"/>
          </w:tcPr>
          <w:p w14:paraId="2457C9D9" w14:textId="77777777" w:rsidR="00C45CA5" w:rsidRPr="00303024" w:rsidRDefault="00C45CA5" w:rsidP="00C45CA5">
            <w:pPr>
              <w:jc w:val="center"/>
              <w:rPr>
                <w:sz w:val="18"/>
                <w:szCs w:val="18"/>
              </w:rPr>
            </w:pPr>
          </w:p>
        </w:tc>
        <w:tc>
          <w:tcPr>
            <w:tcW w:w="720" w:type="dxa"/>
            <w:tcBorders>
              <w:top w:val="single" w:sz="18" w:space="0" w:color="auto"/>
            </w:tcBorders>
            <w:shd w:val="clear" w:color="auto" w:fill="BDD6EE" w:themeFill="accent1" w:themeFillTint="66"/>
            <w:vAlign w:val="bottom"/>
          </w:tcPr>
          <w:p w14:paraId="56E75881" w14:textId="77777777" w:rsidR="00C45CA5" w:rsidRPr="00303024" w:rsidRDefault="00C45CA5" w:rsidP="00C45CA5">
            <w:pPr>
              <w:jc w:val="center"/>
              <w:rPr>
                <w:sz w:val="18"/>
                <w:szCs w:val="18"/>
              </w:rPr>
            </w:pPr>
          </w:p>
        </w:tc>
        <w:tc>
          <w:tcPr>
            <w:tcW w:w="733" w:type="dxa"/>
            <w:tcBorders>
              <w:top w:val="single" w:sz="18" w:space="0" w:color="auto"/>
              <w:right w:val="single" w:sz="18" w:space="0" w:color="auto"/>
            </w:tcBorders>
            <w:shd w:val="clear" w:color="auto" w:fill="BDD6EE" w:themeFill="accent1" w:themeFillTint="66"/>
            <w:vAlign w:val="bottom"/>
          </w:tcPr>
          <w:p w14:paraId="043B426E" w14:textId="77777777" w:rsidR="00C45CA5" w:rsidRPr="00303024" w:rsidRDefault="00C45CA5" w:rsidP="00C45CA5">
            <w:pPr>
              <w:jc w:val="center"/>
              <w:rPr>
                <w:sz w:val="18"/>
                <w:szCs w:val="18"/>
              </w:rPr>
            </w:pPr>
            <w:r w:rsidRPr="00303024">
              <w:rPr>
                <w:rFonts w:ascii="Calibri" w:hAnsi="Calibri" w:cs="Calibri"/>
                <w:color w:val="000000"/>
                <w:sz w:val="18"/>
                <w:szCs w:val="18"/>
              </w:rPr>
              <w:t>2.7</w:t>
            </w:r>
          </w:p>
        </w:tc>
      </w:tr>
      <w:tr w:rsidR="00C45CA5" w14:paraId="0D503911" w14:textId="77777777" w:rsidTr="009C3171">
        <w:trPr>
          <w:trHeight w:val="209"/>
        </w:trPr>
        <w:tc>
          <w:tcPr>
            <w:tcW w:w="867" w:type="dxa"/>
            <w:vMerge/>
            <w:tcBorders>
              <w:left w:val="single" w:sz="18" w:space="0" w:color="auto"/>
              <w:right w:val="single" w:sz="18" w:space="0" w:color="auto"/>
            </w:tcBorders>
            <w:vAlign w:val="bottom"/>
          </w:tcPr>
          <w:p w14:paraId="19E9DFC0" w14:textId="77777777" w:rsidR="00C45CA5" w:rsidRPr="00303024" w:rsidRDefault="00C45CA5" w:rsidP="00C45CA5">
            <w:pPr>
              <w:rPr>
                <w:b/>
                <w:sz w:val="18"/>
                <w:szCs w:val="18"/>
              </w:rPr>
            </w:pPr>
          </w:p>
        </w:tc>
        <w:tc>
          <w:tcPr>
            <w:tcW w:w="1761" w:type="dxa"/>
            <w:tcBorders>
              <w:left w:val="single" w:sz="18" w:space="0" w:color="auto"/>
            </w:tcBorders>
            <w:shd w:val="clear" w:color="auto" w:fill="BDD6EE" w:themeFill="accent1" w:themeFillTint="66"/>
            <w:vAlign w:val="bottom"/>
          </w:tcPr>
          <w:p w14:paraId="3C398837" w14:textId="0EB52098" w:rsidR="00C45CA5" w:rsidRPr="00303024" w:rsidRDefault="00C45CA5" w:rsidP="00C45CA5">
            <w:pPr>
              <w:rPr>
                <w:sz w:val="18"/>
                <w:szCs w:val="18"/>
              </w:rPr>
            </w:pPr>
            <w:r w:rsidRPr="00303024">
              <w:rPr>
                <w:rFonts w:ascii="Calibri" w:hAnsi="Calibri" w:cs="Calibri"/>
                <w:color w:val="000000"/>
                <w:sz w:val="18"/>
                <w:szCs w:val="18"/>
              </w:rPr>
              <w:t>Rossello-Batle</w:t>
            </w:r>
            <w:r w:rsidR="00C56E41">
              <w:rPr>
                <w:rFonts w:ascii="Calibri" w:hAnsi="Calibri" w:cs="Calibri"/>
                <w:color w:val="000000"/>
                <w:sz w:val="18"/>
                <w:szCs w:val="18"/>
              </w:rPr>
              <w:t xml:space="preserve"> </w:t>
            </w:r>
            <w:r w:rsidR="00C56E4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{"citationItems":[{"id":"ITEM-1","itemData":{"DOI":"https://doi.org/10.1016/j.enbuild.2009.10.024","ISSN":"0378-7788","abstract":"Tourism is the most developed economic sector in the Balearic Islands. The great rise in construction activities within the last 50 years, the increase in energy use, in CO2 emissions and in waste production due to tourism, as well as an electrical energy production system mainly based on coal and fossil fuels is not an environmentally sustainable scenario. The aim of this study is to identify the processes that have had the greatest impact on the life cycle of a tourist building. In order to do this, the energy uses, CO2 emissions and waste materials generated have been estimated, assuming a life cycle of 50 years, within a sample of hotels from the Balearic Islands. The results show that the operating phase, which represents between 70% and 80% of the total energy use, is the one with the greatest impact; that the energy use due to the manufacture of materials represents a fifth of the total and that electric consumption is the main cause of CO2 emissions because of the regional energy system.","author":[{"dropping-particle":"","family":"Rosselló-Batle","given":"Beatriz","non-dropping-particle":"","parse-names":false,"suffix":""},{"dropping-particle":"","family":"Moià","given":"Andreu","non-dropping-particle":"","parse-names":false,"suffix":""},{"dropping-particle":"","family":"Cladera","given":"Antoni","non-dropping-particle":"","parse-names":false,"suffix":""},{"dropping-particle":"","family":"Martínez","given":"Víctor","non-dropping-particle":"","parse-names":false,"suffix":""}],"container-title":"Energy and Buildings","id":"ITEM-1","issue":"4","issued":{"date-parts":[["2010"]]},"page":"547-558","title":"Energy use, CO2 emissions and waste throughout the life cycle of a sample of hotels in the Balearic Islands","type":"article-journal","volume":"42"},"uris":["http://www.mendeley.com/documents/?uuid=1b4d6662-d6ae-4749-8f3d-61886a0ef5a2"]}],"mendeley":{"formattedCitation":"&lt;sup&gt;41&lt;/sup&gt;","plainTextFormattedCitation":"41","previouslyFormattedCitation":"&lt;sup&gt;41&lt;/sup&gt;"},"properties":{"noteIndex":0},"schema":"https://github.com/citation-style-language/schema/raw/master/csl-citation.json"}</w:instrText>
            </w:r>
            <w:r w:rsidR="00C56E4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41</w:t>
            </w:r>
            <w:r w:rsidR="00C56E41">
              <w:rPr>
                <w:rFonts w:ascii="Calibri" w:hAnsi="Calibri" w:cs="Calibri"/>
                <w:color w:val="000000"/>
                <w:sz w:val="18"/>
                <w:szCs w:val="18"/>
              </w:rPr>
              <w:fldChar w:fldCharType="end"/>
            </w:r>
          </w:p>
        </w:tc>
        <w:tc>
          <w:tcPr>
            <w:tcW w:w="1260" w:type="dxa"/>
            <w:shd w:val="clear" w:color="auto" w:fill="BDD6EE" w:themeFill="accent1" w:themeFillTint="66"/>
            <w:vAlign w:val="bottom"/>
          </w:tcPr>
          <w:p w14:paraId="062B7A0E" w14:textId="77777777" w:rsidR="00C45CA5" w:rsidRPr="00303024" w:rsidRDefault="00C45CA5" w:rsidP="00C45CA5">
            <w:pPr>
              <w:rPr>
                <w:sz w:val="18"/>
                <w:szCs w:val="18"/>
              </w:rPr>
            </w:pPr>
            <w:r w:rsidRPr="00303024">
              <w:rPr>
                <w:rFonts w:ascii="Calibri" w:hAnsi="Calibri" w:cs="Calibri"/>
                <w:color w:val="000000"/>
                <w:sz w:val="18"/>
                <w:szCs w:val="18"/>
              </w:rPr>
              <w:t>Hotel</w:t>
            </w:r>
          </w:p>
        </w:tc>
        <w:tc>
          <w:tcPr>
            <w:tcW w:w="969" w:type="dxa"/>
            <w:tcBorders>
              <w:right w:val="single" w:sz="18" w:space="0" w:color="auto"/>
            </w:tcBorders>
            <w:shd w:val="clear" w:color="auto" w:fill="BDD6EE" w:themeFill="accent1" w:themeFillTint="66"/>
            <w:vAlign w:val="bottom"/>
          </w:tcPr>
          <w:p w14:paraId="4CF616EB" w14:textId="77777777" w:rsidR="00C45CA5" w:rsidRPr="00303024" w:rsidRDefault="00C45CA5" w:rsidP="00C45CA5">
            <w:pPr>
              <w:rPr>
                <w:sz w:val="18"/>
                <w:szCs w:val="18"/>
              </w:rPr>
            </w:pPr>
            <w:r w:rsidRPr="00303024">
              <w:rPr>
                <w:rFonts w:ascii="Calibri" w:hAnsi="Calibri" w:cs="Calibri"/>
                <w:color w:val="000000"/>
                <w:sz w:val="18"/>
                <w:szCs w:val="18"/>
              </w:rPr>
              <w:t>Spain</w:t>
            </w:r>
          </w:p>
        </w:tc>
        <w:tc>
          <w:tcPr>
            <w:tcW w:w="689" w:type="dxa"/>
            <w:tcBorders>
              <w:left w:val="single" w:sz="18" w:space="0" w:color="auto"/>
            </w:tcBorders>
            <w:shd w:val="clear" w:color="auto" w:fill="BDD6EE" w:themeFill="accent1" w:themeFillTint="66"/>
            <w:vAlign w:val="bottom"/>
          </w:tcPr>
          <w:p w14:paraId="17DA192E" w14:textId="77777777" w:rsidR="00C45CA5" w:rsidRPr="00303024" w:rsidRDefault="00C45CA5" w:rsidP="00C45CA5">
            <w:pPr>
              <w:jc w:val="center"/>
              <w:rPr>
                <w:sz w:val="18"/>
                <w:szCs w:val="18"/>
              </w:rPr>
            </w:pPr>
            <w:r w:rsidRPr="00303024">
              <w:rPr>
                <w:rFonts w:ascii="Calibri" w:hAnsi="Calibri" w:cs="Calibri"/>
                <w:color w:val="000000"/>
                <w:sz w:val="18"/>
                <w:szCs w:val="18"/>
              </w:rPr>
              <w:t>51</w:t>
            </w:r>
          </w:p>
        </w:tc>
        <w:tc>
          <w:tcPr>
            <w:tcW w:w="1006" w:type="dxa"/>
            <w:shd w:val="clear" w:color="auto" w:fill="BDD6EE" w:themeFill="accent1" w:themeFillTint="66"/>
            <w:vAlign w:val="bottom"/>
          </w:tcPr>
          <w:p w14:paraId="2504AB17" w14:textId="77777777" w:rsidR="00C45CA5" w:rsidRPr="00303024" w:rsidRDefault="00C45CA5" w:rsidP="00C45CA5">
            <w:pPr>
              <w:jc w:val="center"/>
              <w:rPr>
                <w:sz w:val="18"/>
                <w:szCs w:val="18"/>
              </w:rPr>
            </w:pPr>
            <w:r w:rsidRPr="00303024">
              <w:rPr>
                <w:rFonts w:ascii="Calibri" w:hAnsi="Calibri" w:cs="Calibri"/>
                <w:color w:val="000000"/>
                <w:sz w:val="18"/>
                <w:szCs w:val="18"/>
              </w:rPr>
              <w:t>1007</w:t>
            </w:r>
          </w:p>
        </w:tc>
        <w:tc>
          <w:tcPr>
            <w:tcW w:w="1170" w:type="dxa"/>
            <w:shd w:val="clear" w:color="auto" w:fill="BDD6EE" w:themeFill="accent1" w:themeFillTint="66"/>
            <w:vAlign w:val="bottom"/>
          </w:tcPr>
          <w:p w14:paraId="3F245FBB" w14:textId="77777777" w:rsidR="00C45CA5" w:rsidRPr="00303024" w:rsidRDefault="00C45CA5" w:rsidP="00C45CA5">
            <w:pPr>
              <w:jc w:val="center"/>
              <w:rPr>
                <w:sz w:val="18"/>
                <w:szCs w:val="18"/>
              </w:rPr>
            </w:pPr>
            <w:r w:rsidRPr="00303024">
              <w:rPr>
                <w:rFonts w:ascii="Calibri" w:hAnsi="Calibri" w:cs="Calibri"/>
                <w:color w:val="000000"/>
                <w:sz w:val="18"/>
                <w:szCs w:val="18"/>
              </w:rPr>
              <w:t>3.0</w:t>
            </w:r>
          </w:p>
        </w:tc>
        <w:tc>
          <w:tcPr>
            <w:tcW w:w="900" w:type="dxa"/>
            <w:shd w:val="clear" w:color="auto" w:fill="BDD6EE" w:themeFill="accent1" w:themeFillTint="66"/>
            <w:vAlign w:val="bottom"/>
          </w:tcPr>
          <w:p w14:paraId="7179629F" w14:textId="77777777" w:rsidR="00C45CA5" w:rsidRPr="00303024" w:rsidRDefault="00C45CA5" w:rsidP="00C45CA5">
            <w:pPr>
              <w:jc w:val="center"/>
              <w:rPr>
                <w:sz w:val="18"/>
                <w:szCs w:val="18"/>
              </w:rPr>
            </w:pPr>
            <w:r w:rsidRPr="00303024">
              <w:rPr>
                <w:rFonts w:ascii="Calibri" w:hAnsi="Calibri" w:cs="Calibri"/>
                <w:color w:val="000000"/>
                <w:sz w:val="18"/>
                <w:szCs w:val="18"/>
              </w:rPr>
              <w:t>3.3</w:t>
            </w:r>
          </w:p>
        </w:tc>
        <w:tc>
          <w:tcPr>
            <w:tcW w:w="720" w:type="dxa"/>
            <w:shd w:val="clear" w:color="auto" w:fill="BDD6EE" w:themeFill="accent1" w:themeFillTint="66"/>
            <w:vAlign w:val="bottom"/>
          </w:tcPr>
          <w:p w14:paraId="58C957DC" w14:textId="77777777" w:rsidR="00C45CA5" w:rsidRPr="00303024" w:rsidRDefault="00C45CA5" w:rsidP="00C45CA5">
            <w:pPr>
              <w:jc w:val="center"/>
              <w:rPr>
                <w:sz w:val="18"/>
                <w:szCs w:val="18"/>
              </w:rPr>
            </w:pPr>
            <w:r w:rsidRPr="00303024">
              <w:rPr>
                <w:rFonts w:ascii="Calibri" w:hAnsi="Calibri" w:cs="Calibri"/>
                <w:color w:val="000000"/>
                <w:sz w:val="18"/>
                <w:szCs w:val="18"/>
              </w:rPr>
              <w:t>12.0</w:t>
            </w:r>
          </w:p>
        </w:tc>
        <w:tc>
          <w:tcPr>
            <w:tcW w:w="733" w:type="dxa"/>
            <w:tcBorders>
              <w:right w:val="single" w:sz="18" w:space="0" w:color="auto"/>
            </w:tcBorders>
            <w:shd w:val="clear" w:color="auto" w:fill="BDD6EE" w:themeFill="accent1" w:themeFillTint="66"/>
            <w:vAlign w:val="bottom"/>
          </w:tcPr>
          <w:p w14:paraId="3F3C748E" w14:textId="77777777" w:rsidR="00C45CA5" w:rsidRPr="00303024" w:rsidRDefault="00C45CA5" w:rsidP="00C45CA5">
            <w:pPr>
              <w:jc w:val="center"/>
              <w:rPr>
                <w:sz w:val="18"/>
                <w:szCs w:val="18"/>
              </w:rPr>
            </w:pPr>
            <w:r w:rsidRPr="00303024">
              <w:rPr>
                <w:rFonts w:ascii="Calibri" w:hAnsi="Calibri" w:cs="Calibri"/>
                <w:color w:val="000000"/>
                <w:sz w:val="18"/>
                <w:szCs w:val="18"/>
              </w:rPr>
              <w:t>5.1</w:t>
            </w:r>
          </w:p>
        </w:tc>
      </w:tr>
      <w:tr w:rsidR="00C45CA5" w14:paraId="1EE446EC" w14:textId="77777777" w:rsidTr="009C3171">
        <w:trPr>
          <w:trHeight w:val="410"/>
        </w:trPr>
        <w:tc>
          <w:tcPr>
            <w:tcW w:w="867" w:type="dxa"/>
            <w:vMerge/>
            <w:tcBorders>
              <w:left w:val="single" w:sz="18" w:space="0" w:color="auto"/>
              <w:bottom w:val="single" w:sz="18" w:space="0" w:color="auto"/>
              <w:right w:val="single" w:sz="18" w:space="0" w:color="auto"/>
            </w:tcBorders>
            <w:vAlign w:val="bottom"/>
          </w:tcPr>
          <w:p w14:paraId="59A9ED9B" w14:textId="77777777" w:rsidR="00C45CA5" w:rsidRPr="00303024" w:rsidRDefault="00C45CA5" w:rsidP="00C45CA5">
            <w:pPr>
              <w:rPr>
                <w:b/>
                <w:sz w:val="18"/>
                <w:szCs w:val="18"/>
              </w:rPr>
            </w:pPr>
          </w:p>
        </w:tc>
        <w:tc>
          <w:tcPr>
            <w:tcW w:w="1761" w:type="dxa"/>
            <w:tcBorders>
              <w:left w:val="single" w:sz="18" w:space="0" w:color="auto"/>
              <w:bottom w:val="single" w:sz="18" w:space="0" w:color="auto"/>
            </w:tcBorders>
            <w:shd w:val="clear" w:color="auto" w:fill="BDD6EE" w:themeFill="accent1" w:themeFillTint="66"/>
            <w:vAlign w:val="bottom"/>
          </w:tcPr>
          <w:p w14:paraId="670D487F" w14:textId="58F70090" w:rsidR="00C45CA5" w:rsidRPr="00303024" w:rsidRDefault="00C45CA5" w:rsidP="00C45CA5">
            <w:pPr>
              <w:rPr>
                <w:sz w:val="18"/>
                <w:szCs w:val="18"/>
              </w:rPr>
            </w:pPr>
            <w:r w:rsidRPr="00303024">
              <w:rPr>
                <w:rFonts w:ascii="Calibri" w:hAnsi="Calibri" w:cs="Calibri"/>
                <w:color w:val="000000"/>
                <w:sz w:val="18"/>
                <w:szCs w:val="18"/>
              </w:rPr>
              <w:t>Gruhler*</w:t>
            </w:r>
            <w:r w:rsidR="00C56E41">
              <w:rPr>
                <w:rFonts w:ascii="Calibri" w:hAnsi="Calibri" w:cs="Calibri"/>
                <w:color w:val="000000"/>
                <w:sz w:val="18"/>
                <w:szCs w:val="18"/>
              </w:rPr>
              <w:t xml:space="preserve"> </w:t>
            </w:r>
            <w:r w:rsidR="00C56E4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{"citationItems":[{"id":"ITEM-1","itemData":{"ISBN":"978-3-7388-0054-8","abstract":"Methodisches Vorgehen, Berechnungsverfahren, Gebäudedokumentation","author":[{"dropping-particle":"","family":"Gruhler","given":"Karin","non-dropping-particle":"","parse-names":false,"suffix":""},{"dropping-particle":"","family":"Deilmannl","given":"Clemens","non-dropping-particle":"","parse-names":false,"suffix":""}],"id":"ITEM-1","issued":{"date-parts":[["2017"]]},"publisher":"Fraunhofer IRB Verlag","publisher-place":"Stuttgart","title":"Materialaufwand von Nichtwohngebäuden – Teil II","type":"chapter"},"uris":["http://www.mendeley.com/documents/?uuid=ec038dfc-f925-4ba6-8fd8-9f5c736b1ec2"]}],"mendeley":{"formattedCitation":"&lt;sup&gt;40&lt;/sup&gt;","plainTextFormattedCitation":"40","previouslyFormattedCitation":"&lt;sup&gt;40&lt;/sup&gt;"},"properties":{"noteIndex":0},"schema":"https://github.com/citation-style-language/schema/raw/master/csl-citation.json"}</w:instrText>
            </w:r>
            <w:r w:rsidR="00C56E4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40</w:t>
            </w:r>
            <w:r w:rsidR="00C56E41">
              <w:rPr>
                <w:rFonts w:ascii="Calibri" w:hAnsi="Calibri" w:cs="Calibri"/>
                <w:color w:val="000000"/>
                <w:sz w:val="18"/>
                <w:szCs w:val="18"/>
              </w:rPr>
              <w:fldChar w:fldCharType="end"/>
            </w:r>
          </w:p>
        </w:tc>
        <w:tc>
          <w:tcPr>
            <w:tcW w:w="1260" w:type="dxa"/>
            <w:tcBorders>
              <w:bottom w:val="single" w:sz="18" w:space="0" w:color="auto"/>
            </w:tcBorders>
            <w:shd w:val="clear" w:color="auto" w:fill="BDD6EE" w:themeFill="accent1" w:themeFillTint="66"/>
            <w:vAlign w:val="bottom"/>
          </w:tcPr>
          <w:p w14:paraId="03A30D47" w14:textId="77777777" w:rsidR="00C45CA5" w:rsidRDefault="00C45CA5" w:rsidP="00C45CA5">
            <w:pPr>
              <w:rPr>
                <w:rFonts w:ascii="Calibri" w:hAnsi="Calibri" w:cs="Calibri"/>
                <w:color w:val="000000"/>
                <w:sz w:val="18"/>
                <w:szCs w:val="18"/>
              </w:rPr>
            </w:pPr>
            <w:r w:rsidRPr="00303024">
              <w:rPr>
                <w:rFonts w:ascii="Calibri" w:hAnsi="Calibri" w:cs="Calibri"/>
                <w:color w:val="000000"/>
                <w:sz w:val="18"/>
                <w:szCs w:val="18"/>
              </w:rPr>
              <w:t>Hotel/</w:t>
            </w:r>
          </w:p>
          <w:p w14:paraId="214107CE" w14:textId="77777777" w:rsidR="00C45CA5" w:rsidRPr="00303024" w:rsidRDefault="00C45CA5" w:rsidP="00C45CA5">
            <w:pPr>
              <w:rPr>
                <w:sz w:val="18"/>
                <w:szCs w:val="18"/>
              </w:rPr>
            </w:pPr>
            <w:r w:rsidRPr="00303024">
              <w:rPr>
                <w:rFonts w:ascii="Calibri" w:hAnsi="Calibri" w:cs="Calibri"/>
                <w:color w:val="000000"/>
                <w:sz w:val="18"/>
                <w:szCs w:val="18"/>
              </w:rPr>
              <w:t>guesthouse</w:t>
            </w:r>
          </w:p>
        </w:tc>
        <w:tc>
          <w:tcPr>
            <w:tcW w:w="969" w:type="dxa"/>
            <w:tcBorders>
              <w:bottom w:val="single" w:sz="18" w:space="0" w:color="auto"/>
              <w:right w:val="single" w:sz="18" w:space="0" w:color="auto"/>
            </w:tcBorders>
            <w:shd w:val="clear" w:color="auto" w:fill="BDD6EE" w:themeFill="accent1" w:themeFillTint="66"/>
            <w:vAlign w:val="bottom"/>
          </w:tcPr>
          <w:p w14:paraId="56D5275A" w14:textId="77777777" w:rsidR="00C45CA5" w:rsidRPr="00303024" w:rsidRDefault="00C45CA5" w:rsidP="00C45CA5">
            <w:pPr>
              <w:rPr>
                <w:sz w:val="18"/>
                <w:szCs w:val="18"/>
              </w:rPr>
            </w:pPr>
            <w:r w:rsidRPr="00303024">
              <w:rPr>
                <w:rFonts w:ascii="Calibri" w:hAnsi="Calibri" w:cs="Calibri"/>
                <w:color w:val="000000"/>
                <w:sz w:val="18"/>
                <w:szCs w:val="18"/>
              </w:rPr>
              <w:t>Germany</w:t>
            </w:r>
          </w:p>
        </w:tc>
        <w:tc>
          <w:tcPr>
            <w:tcW w:w="689" w:type="dxa"/>
            <w:tcBorders>
              <w:left w:val="single" w:sz="18" w:space="0" w:color="auto"/>
              <w:bottom w:val="single" w:sz="18" w:space="0" w:color="auto"/>
            </w:tcBorders>
            <w:shd w:val="clear" w:color="auto" w:fill="BDD6EE" w:themeFill="accent1" w:themeFillTint="66"/>
            <w:vAlign w:val="bottom"/>
          </w:tcPr>
          <w:p w14:paraId="4A538668" w14:textId="77777777" w:rsidR="00C45CA5" w:rsidRPr="00303024" w:rsidRDefault="00C45CA5" w:rsidP="00C45CA5">
            <w:pPr>
              <w:jc w:val="center"/>
              <w:rPr>
                <w:sz w:val="18"/>
                <w:szCs w:val="18"/>
              </w:rPr>
            </w:pPr>
            <w:r w:rsidRPr="00303024">
              <w:rPr>
                <w:rFonts w:ascii="Calibri" w:hAnsi="Calibri" w:cs="Calibri"/>
                <w:color w:val="000000"/>
                <w:sz w:val="18"/>
                <w:szCs w:val="18"/>
              </w:rPr>
              <w:t>113</w:t>
            </w:r>
          </w:p>
        </w:tc>
        <w:tc>
          <w:tcPr>
            <w:tcW w:w="1006" w:type="dxa"/>
            <w:tcBorders>
              <w:bottom w:val="single" w:sz="18" w:space="0" w:color="auto"/>
            </w:tcBorders>
            <w:shd w:val="clear" w:color="auto" w:fill="BDD6EE" w:themeFill="accent1" w:themeFillTint="66"/>
            <w:vAlign w:val="bottom"/>
          </w:tcPr>
          <w:p w14:paraId="01580E0A" w14:textId="77777777" w:rsidR="00C45CA5" w:rsidRPr="00303024" w:rsidRDefault="00C45CA5" w:rsidP="00C45CA5">
            <w:pPr>
              <w:jc w:val="center"/>
              <w:rPr>
                <w:sz w:val="18"/>
                <w:szCs w:val="18"/>
              </w:rPr>
            </w:pPr>
            <w:r w:rsidRPr="00303024">
              <w:rPr>
                <w:rFonts w:ascii="Calibri" w:hAnsi="Calibri" w:cs="Calibri"/>
                <w:color w:val="000000"/>
                <w:sz w:val="18"/>
                <w:szCs w:val="18"/>
              </w:rPr>
              <w:t>1073</w:t>
            </w:r>
          </w:p>
        </w:tc>
        <w:tc>
          <w:tcPr>
            <w:tcW w:w="1170" w:type="dxa"/>
            <w:tcBorders>
              <w:bottom w:val="single" w:sz="18" w:space="0" w:color="auto"/>
            </w:tcBorders>
            <w:shd w:val="clear" w:color="auto" w:fill="BDD6EE" w:themeFill="accent1" w:themeFillTint="66"/>
            <w:vAlign w:val="bottom"/>
          </w:tcPr>
          <w:p w14:paraId="2A1F4956" w14:textId="77777777" w:rsidR="00C45CA5" w:rsidRPr="00303024" w:rsidRDefault="00C45CA5" w:rsidP="00C45CA5">
            <w:pPr>
              <w:jc w:val="center"/>
              <w:rPr>
                <w:sz w:val="18"/>
                <w:szCs w:val="18"/>
              </w:rPr>
            </w:pPr>
            <w:r w:rsidRPr="00303024">
              <w:rPr>
                <w:rFonts w:ascii="Calibri" w:hAnsi="Calibri" w:cs="Calibri"/>
                <w:color w:val="000000"/>
                <w:sz w:val="18"/>
                <w:szCs w:val="18"/>
              </w:rPr>
              <w:t>4.9</w:t>
            </w:r>
          </w:p>
        </w:tc>
        <w:tc>
          <w:tcPr>
            <w:tcW w:w="900" w:type="dxa"/>
            <w:tcBorders>
              <w:bottom w:val="single" w:sz="18" w:space="0" w:color="auto"/>
            </w:tcBorders>
            <w:shd w:val="clear" w:color="auto" w:fill="BDD6EE" w:themeFill="accent1" w:themeFillTint="66"/>
            <w:vAlign w:val="bottom"/>
          </w:tcPr>
          <w:p w14:paraId="0D4D2876" w14:textId="77777777" w:rsidR="00C45CA5" w:rsidRPr="00303024" w:rsidRDefault="00C45CA5" w:rsidP="00C45CA5">
            <w:pPr>
              <w:jc w:val="center"/>
              <w:rPr>
                <w:sz w:val="18"/>
                <w:szCs w:val="18"/>
              </w:rPr>
            </w:pPr>
            <w:r w:rsidRPr="00303024">
              <w:rPr>
                <w:rFonts w:ascii="Calibri" w:hAnsi="Calibri" w:cs="Calibri"/>
                <w:color w:val="000000"/>
                <w:sz w:val="18"/>
                <w:szCs w:val="18"/>
              </w:rPr>
              <w:t>3.7</w:t>
            </w:r>
          </w:p>
        </w:tc>
        <w:tc>
          <w:tcPr>
            <w:tcW w:w="720" w:type="dxa"/>
            <w:tcBorders>
              <w:bottom w:val="single" w:sz="18" w:space="0" w:color="auto"/>
            </w:tcBorders>
            <w:shd w:val="clear" w:color="auto" w:fill="BDD6EE" w:themeFill="accent1" w:themeFillTint="66"/>
            <w:vAlign w:val="bottom"/>
          </w:tcPr>
          <w:p w14:paraId="6415E908" w14:textId="77777777" w:rsidR="00C45CA5" w:rsidRPr="00303024" w:rsidRDefault="00C45CA5" w:rsidP="00C45CA5">
            <w:pPr>
              <w:jc w:val="center"/>
              <w:rPr>
                <w:sz w:val="18"/>
                <w:szCs w:val="18"/>
              </w:rPr>
            </w:pPr>
            <w:r w:rsidRPr="00303024">
              <w:rPr>
                <w:rFonts w:ascii="Calibri" w:hAnsi="Calibri" w:cs="Calibri"/>
                <w:color w:val="000000"/>
                <w:sz w:val="18"/>
                <w:szCs w:val="18"/>
              </w:rPr>
              <w:t>25.0</w:t>
            </w:r>
          </w:p>
        </w:tc>
        <w:tc>
          <w:tcPr>
            <w:tcW w:w="733" w:type="dxa"/>
            <w:tcBorders>
              <w:bottom w:val="single" w:sz="18" w:space="0" w:color="auto"/>
              <w:right w:val="single" w:sz="18" w:space="0" w:color="auto"/>
            </w:tcBorders>
            <w:shd w:val="clear" w:color="auto" w:fill="BDD6EE" w:themeFill="accent1" w:themeFillTint="66"/>
            <w:vAlign w:val="bottom"/>
          </w:tcPr>
          <w:p w14:paraId="3799B5E8" w14:textId="77777777" w:rsidR="00C45CA5" w:rsidRPr="00303024" w:rsidRDefault="00C45CA5" w:rsidP="00C45CA5">
            <w:pPr>
              <w:jc w:val="center"/>
              <w:rPr>
                <w:sz w:val="18"/>
                <w:szCs w:val="18"/>
              </w:rPr>
            </w:pPr>
          </w:p>
        </w:tc>
      </w:tr>
      <w:tr w:rsidR="00C45CA5" w14:paraId="75999680" w14:textId="77777777" w:rsidTr="009C3171">
        <w:trPr>
          <w:trHeight w:val="200"/>
        </w:trPr>
        <w:tc>
          <w:tcPr>
            <w:tcW w:w="867" w:type="dxa"/>
            <w:vMerge w:val="restart"/>
            <w:tcBorders>
              <w:top w:val="single" w:sz="18" w:space="0" w:color="auto"/>
              <w:left w:val="single" w:sz="18" w:space="0" w:color="auto"/>
              <w:right w:val="single" w:sz="18" w:space="0" w:color="auto"/>
            </w:tcBorders>
            <w:shd w:val="clear" w:color="auto" w:fill="BDD6EE" w:themeFill="accent1" w:themeFillTint="66"/>
            <w:textDirection w:val="btLr"/>
            <w:vAlign w:val="center"/>
          </w:tcPr>
          <w:p w14:paraId="368183B5" w14:textId="77777777" w:rsidR="00C45CA5" w:rsidRPr="00303024" w:rsidRDefault="00C45CA5" w:rsidP="00C45CA5">
            <w:pPr>
              <w:ind w:left="113" w:right="113"/>
              <w:jc w:val="center"/>
              <w:rPr>
                <w:b/>
                <w:sz w:val="18"/>
                <w:szCs w:val="18"/>
              </w:rPr>
            </w:pPr>
            <w:r w:rsidRPr="00303024">
              <w:rPr>
                <w:rFonts w:ascii="Calibri" w:hAnsi="Calibri" w:cs="Calibri"/>
                <w:b/>
                <w:color w:val="000000"/>
                <w:sz w:val="18"/>
                <w:szCs w:val="18"/>
              </w:rPr>
              <w:t>Other</w:t>
            </w:r>
          </w:p>
        </w:tc>
        <w:tc>
          <w:tcPr>
            <w:tcW w:w="1761" w:type="dxa"/>
            <w:tcBorders>
              <w:top w:val="single" w:sz="18" w:space="0" w:color="auto"/>
              <w:left w:val="single" w:sz="18" w:space="0" w:color="auto"/>
            </w:tcBorders>
            <w:vAlign w:val="bottom"/>
          </w:tcPr>
          <w:p w14:paraId="21A68488" w14:textId="660187B7" w:rsidR="00C45CA5" w:rsidRPr="00303024" w:rsidRDefault="00C45CA5" w:rsidP="00C45CA5">
            <w:pPr>
              <w:rPr>
                <w:sz w:val="18"/>
                <w:szCs w:val="18"/>
              </w:rPr>
            </w:pPr>
            <w:r w:rsidRPr="00303024">
              <w:rPr>
                <w:rFonts w:ascii="Calibri" w:hAnsi="Calibri" w:cs="Calibri"/>
                <w:color w:val="000000"/>
                <w:sz w:val="18"/>
                <w:szCs w:val="18"/>
              </w:rPr>
              <w:t>Kumanayake</w:t>
            </w:r>
            <w:r w:rsidR="00C56E41">
              <w:rPr>
                <w:rFonts w:ascii="Calibri" w:hAnsi="Calibri" w:cs="Calibri"/>
                <w:color w:val="000000"/>
                <w:sz w:val="18"/>
                <w:szCs w:val="18"/>
              </w:rPr>
              <w:t xml:space="preserve"> </w:t>
            </w:r>
            <w:r w:rsidR="00C56E4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10.1016/j.enbuild.2018.01.065","ISSN":"03787788","author":[{"dropping-particle":"","family":"Kumanayake","given":"Ramya","non-dropping-particle":"","parse-names":false,"suffix":""},{"dropping-particle":"","family":"Luo","given":"Hanbin","non-dropping-particle":"","parse-names":false,"suffix":""},{"dropping-particle":"","family":"Paulusz","given":"Natalie","non-dropping-particle":"","parse-names":false,"suffix":""}],"container-title":"Energy and Buildings","id":"ITEM-1","issued":{"date-parts":[["2018","5"]]},"page":"250-257","title":"Assessment of material related embodied carbon of an office building in Sri Lanka","type":"article-journal","volume":"166"},"uris":["http://www.mendeley.com/documents/?uuid=fbe74155-26c0-4959-9c6e-4f84f4ccbba4"]}],"mendeley":{"formattedCitation":"&lt;sup&gt;42&lt;/sup&gt;","plainTextFormattedCitation":"42","previouslyFormattedCitation":"&lt;sup&gt;42&lt;/sup&gt;"},"properties":{"noteIndex":0},"schema":"https://github.com/citation-style-language/schema/raw/master/csl-citation.json"}</w:instrText>
            </w:r>
            <w:r w:rsidR="00C56E4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42</w:t>
            </w:r>
            <w:r w:rsidR="00C56E41">
              <w:rPr>
                <w:rFonts w:ascii="Calibri" w:hAnsi="Calibri" w:cs="Calibri"/>
                <w:color w:val="000000"/>
                <w:sz w:val="18"/>
                <w:szCs w:val="18"/>
              </w:rPr>
              <w:fldChar w:fldCharType="end"/>
            </w:r>
          </w:p>
        </w:tc>
        <w:tc>
          <w:tcPr>
            <w:tcW w:w="1260" w:type="dxa"/>
            <w:tcBorders>
              <w:top w:val="single" w:sz="18" w:space="0" w:color="auto"/>
            </w:tcBorders>
            <w:vAlign w:val="bottom"/>
          </w:tcPr>
          <w:p w14:paraId="0C371DB7" w14:textId="77777777" w:rsidR="00C45CA5" w:rsidRPr="00303024" w:rsidRDefault="00C45CA5" w:rsidP="00C45CA5">
            <w:pPr>
              <w:rPr>
                <w:sz w:val="18"/>
                <w:szCs w:val="18"/>
              </w:rPr>
            </w:pPr>
            <w:r w:rsidRPr="00303024">
              <w:rPr>
                <w:rFonts w:ascii="Calibri" w:hAnsi="Calibri" w:cs="Calibri"/>
                <w:color w:val="000000"/>
                <w:sz w:val="18"/>
                <w:szCs w:val="18"/>
              </w:rPr>
              <w:t>University</w:t>
            </w:r>
          </w:p>
        </w:tc>
        <w:tc>
          <w:tcPr>
            <w:tcW w:w="969" w:type="dxa"/>
            <w:tcBorders>
              <w:top w:val="single" w:sz="18" w:space="0" w:color="auto"/>
              <w:right w:val="single" w:sz="18" w:space="0" w:color="auto"/>
            </w:tcBorders>
            <w:vAlign w:val="bottom"/>
          </w:tcPr>
          <w:p w14:paraId="397BB3D2" w14:textId="77777777" w:rsidR="00C45CA5" w:rsidRPr="00303024" w:rsidRDefault="00C45CA5" w:rsidP="00C45CA5">
            <w:pPr>
              <w:rPr>
                <w:sz w:val="18"/>
                <w:szCs w:val="18"/>
              </w:rPr>
            </w:pPr>
            <w:r w:rsidRPr="00303024">
              <w:rPr>
                <w:rFonts w:ascii="Calibri" w:hAnsi="Calibri" w:cs="Calibri"/>
                <w:color w:val="000000"/>
                <w:sz w:val="18"/>
                <w:szCs w:val="18"/>
              </w:rPr>
              <w:t>Sri Lanka</w:t>
            </w:r>
          </w:p>
        </w:tc>
        <w:tc>
          <w:tcPr>
            <w:tcW w:w="689" w:type="dxa"/>
            <w:tcBorders>
              <w:top w:val="single" w:sz="18" w:space="0" w:color="auto"/>
              <w:left w:val="single" w:sz="18" w:space="0" w:color="auto"/>
            </w:tcBorders>
            <w:vAlign w:val="bottom"/>
          </w:tcPr>
          <w:p w14:paraId="59AE5DEC" w14:textId="77777777" w:rsidR="00C45CA5" w:rsidRPr="00303024" w:rsidRDefault="00C45CA5" w:rsidP="00C45CA5">
            <w:pPr>
              <w:jc w:val="center"/>
              <w:rPr>
                <w:sz w:val="18"/>
                <w:szCs w:val="18"/>
              </w:rPr>
            </w:pPr>
            <w:r w:rsidRPr="00303024">
              <w:rPr>
                <w:rFonts w:ascii="Calibri" w:hAnsi="Calibri" w:cs="Calibri"/>
                <w:color w:val="000000"/>
                <w:sz w:val="18"/>
                <w:szCs w:val="18"/>
              </w:rPr>
              <w:t>132</w:t>
            </w:r>
          </w:p>
        </w:tc>
        <w:tc>
          <w:tcPr>
            <w:tcW w:w="1006" w:type="dxa"/>
            <w:tcBorders>
              <w:top w:val="single" w:sz="18" w:space="0" w:color="auto"/>
            </w:tcBorders>
            <w:vAlign w:val="bottom"/>
          </w:tcPr>
          <w:p w14:paraId="11561063" w14:textId="77777777" w:rsidR="00C45CA5" w:rsidRPr="00303024" w:rsidRDefault="00C45CA5" w:rsidP="00C45CA5">
            <w:pPr>
              <w:jc w:val="center"/>
              <w:rPr>
                <w:sz w:val="18"/>
                <w:szCs w:val="18"/>
              </w:rPr>
            </w:pPr>
            <w:r w:rsidRPr="00303024">
              <w:rPr>
                <w:rFonts w:ascii="Calibri" w:hAnsi="Calibri" w:cs="Calibri"/>
                <w:color w:val="000000"/>
                <w:sz w:val="18"/>
                <w:szCs w:val="18"/>
              </w:rPr>
              <w:t>1543</w:t>
            </w:r>
          </w:p>
        </w:tc>
        <w:tc>
          <w:tcPr>
            <w:tcW w:w="1170" w:type="dxa"/>
            <w:tcBorders>
              <w:top w:val="single" w:sz="18" w:space="0" w:color="auto"/>
            </w:tcBorders>
            <w:vAlign w:val="bottom"/>
          </w:tcPr>
          <w:p w14:paraId="2DBF5DCA" w14:textId="77777777" w:rsidR="00C45CA5" w:rsidRPr="00303024" w:rsidRDefault="00C45CA5" w:rsidP="00C45CA5">
            <w:pPr>
              <w:jc w:val="center"/>
              <w:rPr>
                <w:sz w:val="18"/>
                <w:szCs w:val="18"/>
              </w:rPr>
            </w:pPr>
            <w:r w:rsidRPr="00303024">
              <w:rPr>
                <w:rFonts w:ascii="Calibri" w:hAnsi="Calibri" w:cs="Calibri"/>
                <w:color w:val="000000"/>
                <w:sz w:val="18"/>
                <w:szCs w:val="18"/>
              </w:rPr>
              <w:t>5.0</w:t>
            </w:r>
          </w:p>
        </w:tc>
        <w:tc>
          <w:tcPr>
            <w:tcW w:w="900" w:type="dxa"/>
            <w:tcBorders>
              <w:top w:val="single" w:sz="18" w:space="0" w:color="auto"/>
            </w:tcBorders>
            <w:vAlign w:val="bottom"/>
          </w:tcPr>
          <w:p w14:paraId="217DCE39" w14:textId="77777777" w:rsidR="00C45CA5" w:rsidRPr="00303024" w:rsidRDefault="00C45CA5" w:rsidP="00C45CA5">
            <w:pPr>
              <w:jc w:val="center"/>
              <w:rPr>
                <w:sz w:val="18"/>
                <w:szCs w:val="18"/>
              </w:rPr>
            </w:pPr>
          </w:p>
        </w:tc>
        <w:tc>
          <w:tcPr>
            <w:tcW w:w="720" w:type="dxa"/>
            <w:tcBorders>
              <w:top w:val="single" w:sz="18" w:space="0" w:color="auto"/>
            </w:tcBorders>
            <w:vAlign w:val="bottom"/>
          </w:tcPr>
          <w:p w14:paraId="725D3141" w14:textId="77777777" w:rsidR="00C45CA5" w:rsidRPr="00303024" w:rsidRDefault="00C45CA5" w:rsidP="00C45CA5">
            <w:pPr>
              <w:jc w:val="center"/>
              <w:rPr>
                <w:sz w:val="18"/>
                <w:szCs w:val="18"/>
              </w:rPr>
            </w:pPr>
          </w:p>
        </w:tc>
        <w:tc>
          <w:tcPr>
            <w:tcW w:w="733" w:type="dxa"/>
            <w:tcBorders>
              <w:top w:val="single" w:sz="18" w:space="0" w:color="auto"/>
              <w:right w:val="single" w:sz="18" w:space="0" w:color="auto"/>
            </w:tcBorders>
            <w:vAlign w:val="bottom"/>
          </w:tcPr>
          <w:p w14:paraId="7C376E90" w14:textId="77777777" w:rsidR="00C45CA5" w:rsidRPr="00303024" w:rsidRDefault="00C45CA5" w:rsidP="00C45CA5">
            <w:pPr>
              <w:jc w:val="center"/>
              <w:rPr>
                <w:sz w:val="18"/>
                <w:szCs w:val="18"/>
              </w:rPr>
            </w:pPr>
            <w:r w:rsidRPr="00303024">
              <w:rPr>
                <w:rFonts w:ascii="Calibri" w:hAnsi="Calibri" w:cs="Calibri"/>
                <w:color w:val="000000"/>
                <w:sz w:val="18"/>
                <w:szCs w:val="18"/>
              </w:rPr>
              <w:t>7.6</w:t>
            </w:r>
          </w:p>
        </w:tc>
      </w:tr>
      <w:tr w:rsidR="00C45CA5" w14:paraId="52B9371A" w14:textId="77777777" w:rsidTr="009C3171">
        <w:trPr>
          <w:trHeight w:val="410"/>
        </w:trPr>
        <w:tc>
          <w:tcPr>
            <w:tcW w:w="867" w:type="dxa"/>
            <w:vMerge/>
            <w:tcBorders>
              <w:left w:val="single" w:sz="18" w:space="0" w:color="auto"/>
              <w:right w:val="single" w:sz="18" w:space="0" w:color="auto"/>
            </w:tcBorders>
            <w:shd w:val="clear" w:color="auto" w:fill="BDD6EE" w:themeFill="accent1" w:themeFillTint="66"/>
            <w:vAlign w:val="bottom"/>
          </w:tcPr>
          <w:p w14:paraId="202FA703" w14:textId="77777777" w:rsidR="00C45CA5" w:rsidRPr="00303024" w:rsidRDefault="00C45CA5" w:rsidP="00C45CA5">
            <w:pPr>
              <w:rPr>
                <w:sz w:val="18"/>
                <w:szCs w:val="18"/>
              </w:rPr>
            </w:pPr>
          </w:p>
        </w:tc>
        <w:tc>
          <w:tcPr>
            <w:tcW w:w="1761" w:type="dxa"/>
            <w:tcBorders>
              <w:left w:val="single" w:sz="18" w:space="0" w:color="auto"/>
            </w:tcBorders>
            <w:vAlign w:val="bottom"/>
          </w:tcPr>
          <w:p w14:paraId="5F26D0F7" w14:textId="1754704B" w:rsidR="00C45CA5" w:rsidRPr="00303024" w:rsidRDefault="00C45CA5" w:rsidP="00C45CA5">
            <w:pPr>
              <w:rPr>
                <w:sz w:val="18"/>
                <w:szCs w:val="18"/>
              </w:rPr>
            </w:pPr>
            <w:r w:rsidRPr="00303024">
              <w:rPr>
                <w:rFonts w:ascii="Calibri" w:hAnsi="Calibri" w:cs="Calibri"/>
                <w:color w:val="000000"/>
                <w:sz w:val="18"/>
                <w:szCs w:val="18"/>
              </w:rPr>
              <w:t>Reyna</w:t>
            </w:r>
            <w:r w:rsidR="009C3171">
              <w:rPr>
                <w:rFonts w:ascii="Calibri" w:hAnsi="Calibri" w:cs="Calibri"/>
                <w:color w:val="000000"/>
                <w:sz w:val="18"/>
                <w:szCs w:val="18"/>
              </w:rPr>
              <w:t xml:space="preserve"> </w:t>
            </w:r>
            <w:r w:rsidR="009C317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{"citationItems":[{"id":"ITEM-1","itemData":{"DOI":"10.1111/jiec.12211","ISSN":"10881980","author":[{"dropping-particle":"","family":"Reyna","given":"Janet L.","non-dropping-particle":"","parse-names":false,"suffix":""},{"dropping-particle":"V.","family":"Chester","given":"Mikhail","non-dropping-particle":"","parse-names":false,"suffix":""}],"container-title":"Journal of Industrial Ecology","id":"ITEM-1","issue":"4","issued":{"date-parts":[["2015","8"]]},"page":"524-537","title":"The Growth of Urban Building Stock: Unintended Lock-in and Embedded Environmental Effects","type":"article-journal","volume":"19"},"uris":["http://www.mendeley.com/documents/?uuid=2f255c08-9b7e-4e42-a26f-4237b32bc4c0"]}],"mendeley":{"formattedCitation":"&lt;sup&gt;38&lt;/sup&gt;","plainTextFormattedCitation":"38","previouslyFormattedCitation":"&lt;sup&gt;38&lt;/sup&gt;"},"properties":{"noteIndex":0},"schema":"https://github.com/citation-style-language/schema/raw/master/csl-citation.json"}</w:instrText>
            </w:r>
            <w:r w:rsidR="009C317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38</w:t>
            </w:r>
            <w:r w:rsidR="009C3171">
              <w:rPr>
                <w:rFonts w:ascii="Calibri" w:hAnsi="Calibri" w:cs="Calibri"/>
                <w:color w:val="000000"/>
                <w:sz w:val="18"/>
                <w:szCs w:val="18"/>
              </w:rPr>
              <w:fldChar w:fldCharType="end"/>
            </w:r>
          </w:p>
        </w:tc>
        <w:tc>
          <w:tcPr>
            <w:tcW w:w="1260" w:type="dxa"/>
            <w:vAlign w:val="bottom"/>
          </w:tcPr>
          <w:p w14:paraId="6F2B7A61" w14:textId="77777777" w:rsidR="00C45CA5" w:rsidRPr="00303024" w:rsidRDefault="00C45CA5" w:rsidP="00C45CA5">
            <w:pPr>
              <w:rPr>
                <w:sz w:val="18"/>
                <w:szCs w:val="18"/>
              </w:rPr>
            </w:pPr>
            <w:r w:rsidRPr="00303024">
              <w:rPr>
                <w:rFonts w:ascii="Calibri" w:hAnsi="Calibri" w:cs="Calibri"/>
                <w:color w:val="000000"/>
                <w:sz w:val="18"/>
                <w:szCs w:val="18"/>
              </w:rPr>
              <w:t>School &amp; Hospital</w:t>
            </w:r>
          </w:p>
        </w:tc>
        <w:tc>
          <w:tcPr>
            <w:tcW w:w="969" w:type="dxa"/>
            <w:tcBorders>
              <w:right w:val="single" w:sz="18" w:space="0" w:color="auto"/>
            </w:tcBorders>
            <w:vAlign w:val="bottom"/>
          </w:tcPr>
          <w:p w14:paraId="7202D598" w14:textId="77777777" w:rsidR="00C45CA5" w:rsidRPr="00303024" w:rsidRDefault="00C45CA5" w:rsidP="00C45CA5">
            <w:pPr>
              <w:rPr>
                <w:sz w:val="18"/>
                <w:szCs w:val="18"/>
              </w:rPr>
            </w:pPr>
            <w:r w:rsidRPr="00303024">
              <w:rPr>
                <w:rFonts w:ascii="Calibri" w:hAnsi="Calibri" w:cs="Calibri"/>
                <w:color w:val="000000"/>
                <w:sz w:val="18"/>
                <w:szCs w:val="18"/>
              </w:rPr>
              <w:t>USA</w:t>
            </w:r>
          </w:p>
        </w:tc>
        <w:tc>
          <w:tcPr>
            <w:tcW w:w="689" w:type="dxa"/>
            <w:tcBorders>
              <w:left w:val="single" w:sz="18" w:space="0" w:color="auto"/>
            </w:tcBorders>
            <w:vAlign w:val="bottom"/>
          </w:tcPr>
          <w:p w14:paraId="71C919E2" w14:textId="77777777" w:rsidR="00C45CA5" w:rsidRPr="00303024" w:rsidRDefault="00C45CA5" w:rsidP="00C45CA5">
            <w:pPr>
              <w:jc w:val="center"/>
              <w:rPr>
                <w:sz w:val="18"/>
                <w:szCs w:val="18"/>
              </w:rPr>
            </w:pPr>
            <w:r w:rsidRPr="00303024">
              <w:rPr>
                <w:rFonts w:ascii="Calibri" w:hAnsi="Calibri" w:cs="Calibri"/>
                <w:color w:val="000000"/>
                <w:sz w:val="18"/>
                <w:szCs w:val="18"/>
              </w:rPr>
              <w:t>132</w:t>
            </w:r>
          </w:p>
        </w:tc>
        <w:tc>
          <w:tcPr>
            <w:tcW w:w="1006" w:type="dxa"/>
            <w:vAlign w:val="bottom"/>
          </w:tcPr>
          <w:p w14:paraId="4AF2E212" w14:textId="77777777" w:rsidR="00C45CA5" w:rsidRPr="00303024" w:rsidRDefault="00C45CA5" w:rsidP="00C45CA5">
            <w:pPr>
              <w:jc w:val="center"/>
              <w:rPr>
                <w:sz w:val="18"/>
                <w:szCs w:val="18"/>
              </w:rPr>
            </w:pPr>
            <w:r w:rsidRPr="00303024">
              <w:rPr>
                <w:rFonts w:ascii="Calibri" w:hAnsi="Calibri" w:cs="Calibri"/>
                <w:color w:val="000000"/>
                <w:sz w:val="18"/>
                <w:szCs w:val="18"/>
              </w:rPr>
              <w:t>835</w:t>
            </w:r>
          </w:p>
        </w:tc>
        <w:tc>
          <w:tcPr>
            <w:tcW w:w="1170" w:type="dxa"/>
            <w:vAlign w:val="bottom"/>
          </w:tcPr>
          <w:p w14:paraId="62D7A6D3" w14:textId="77777777" w:rsidR="00C45CA5" w:rsidRPr="00303024" w:rsidRDefault="00C45CA5" w:rsidP="00C45CA5">
            <w:pPr>
              <w:jc w:val="center"/>
              <w:rPr>
                <w:sz w:val="18"/>
                <w:szCs w:val="18"/>
              </w:rPr>
            </w:pPr>
            <w:r w:rsidRPr="00303024">
              <w:rPr>
                <w:rFonts w:ascii="Calibri" w:hAnsi="Calibri" w:cs="Calibri"/>
                <w:color w:val="000000"/>
                <w:sz w:val="18"/>
                <w:szCs w:val="18"/>
              </w:rPr>
              <w:t>7.9</w:t>
            </w:r>
          </w:p>
        </w:tc>
        <w:tc>
          <w:tcPr>
            <w:tcW w:w="900" w:type="dxa"/>
            <w:vAlign w:val="bottom"/>
          </w:tcPr>
          <w:p w14:paraId="0627E823" w14:textId="77777777" w:rsidR="00C45CA5" w:rsidRPr="00303024" w:rsidRDefault="00C45CA5" w:rsidP="00C45CA5">
            <w:pPr>
              <w:jc w:val="center"/>
              <w:rPr>
                <w:sz w:val="18"/>
                <w:szCs w:val="18"/>
              </w:rPr>
            </w:pPr>
          </w:p>
        </w:tc>
        <w:tc>
          <w:tcPr>
            <w:tcW w:w="720" w:type="dxa"/>
            <w:vAlign w:val="bottom"/>
          </w:tcPr>
          <w:p w14:paraId="44014761" w14:textId="77777777" w:rsidR="00C45CA5" w:rsidRPr="00303024" w:rsidRDefault="00C45CA5" w:rsidP="00C45CA5">
            <w:pPr>
              <w:jc w:val="center"/>
              <w:rPr>
                <w:sz w:val="18"/>
                <w:szCs w:val="18"/>
              </w:rPr>
            </w:pPr>
          </w:p>
        </w:tc>
        <w:tc>
          <w:tcPr>
            <w:tcW w:w="733" w:type="dxa"/>
            <w:tcBorders>
              <w:right w:val="single" w:sz="18" w:space="0" w:color="auto"/>
            </w:tcBorders>
            <w:vAlign w:val="bottom"/>
          </w:tcPr>
          <w:p w14:paraId="001C24B7" w14:textId="77777777" w:rsidR="00C45CA5" w:rsidRPr="00303024" w:rsidRDefault="00C45CA5" w:rsidP="00C45CA5">
            <w:pPr>
              <w:jc w:val="center"/>
              <w:rPr>
                <w:sz w:val="18"/>
                <w:szCs w:val="18"/>
              </w:rPr>
            </w:pPr>
            <w:r w:rsidRPr="00303024">
              <w:rPr>
                <w:rFonts w:ascii="Calibri" w:hAnsi="Calibri" w:cs="Calibri"/>
                <w:color w:val="000000"/>
                <w:sz w:val="18"/>
                <w:szCs w:val="18"/>
              </w:rPr>
              <w:t>4.9</w:t>
            </w:r>
          </w:p>
        </w:tc>
      </w:tr>
      <w:tr w:rsidR="00C45CA5" w14:paraId="7A7D2784" w14:textId="77777777" w:rsidTr="009C3171">
        <w:trPr>
          <w:trHeight w:val="611"/>
        </w:trPr>
        <w:tc>
          <w:tcPr>
            <w:tcW w:w="867" w:type="dxa"/>
            <w:vMerge/>
            <w:tcBorders>
              <w:left w:val="single" w:sz="18" w:space="0" w:color="auto"/>
              <w:right w:val="single" w:sz="18" w:space="0" w:color="auto"/>
            </w:tcBorders>
            <w:shd w:val="clear" w:color="auto" w:fill="BDD6EE" w:themeFill="accent1" w:themeFillTint="66"/>
            <w:vAlign w:val="bottom"/>
          </w:tcPr>
          <w:p w14:paraId="2683CA3F" w14:textId="77777777" w:rsidR="00C45CA5" w:rsidRPr="00303024" w:rsidRDefault="00C45CA5" w:rsidP="00C45CA5">
            <w:pPr>
              <w:rPr>
                <w:sz w:val="18"/>
                <w:szCs w:val="18"/>
              </w:rPr>
            </w:pPr>
          </w:p>
        </w:tc>
        <w:tc>
          <w:tcPr>
            <w:tcW w:w="1761" w:type="dxa"/>
            <w:tcBorders>
              <w:left w:val="single" w:sz="18" w:space="0" w:color="auto"/>
            </w:tcBorders>
            <w:vAlign w:val="bottom"/>
          </w:tcPr>
          <w:p w14:paraId="28F2A708" w14:textId="76CAD113" w:rsidR="00C45CA5" w:rsidRPr="00303024" w:rsidRDefault="00C45CA5" w:rsidP="00C45CA5">
            <w:pPr>
              <w:rPr>
                <w:sz w:val="18"/>
                <w:szCs w:val="18"/>
              </w:rPr>
            </w:pPr>
            <w:r w:rsidRPr="00303024">
              <w:rPr>
                <w:rFonts w:ascii="Calibri" w:hAnsi="Calibri" w:cs="Calibri"/>
                <w:color w:val="000000"/>
                <w:sz w:val="18"/>
                <w:szCs w:val="18"/>
              </w:rPr>
              <w:t>Gruhler*</w:t>
            </w:r>
            <w:r w:rsidR="009C3171">
              <w:rPr>
                <w:rFonts w:ascii="Calibri" w:hAnsi="Calibri" w:cs="Calibri"/>
                <w:color w:val="000000"/>
                <w:sz w:val="18"/>
                <w:szCs w:val="18"/>
              </w:rPr>
              <w:t xml:space="preserve"> </w:t>
            </w:r>
            <w:r w:rsidR="009C317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{"citationItems":[{"id":"ITEM-1","itemData":{"ISBN":"978-3-7388-0054-8","abstract":"Methodisches Vorgehen, Berechnungsverfahren, Gebäudedokumentation","author":[{"dropping-particle":"","family":"Gruhler","given":"Karin","non-dropping-particle":"","parse-names":false,"suffix":""},{"dropping-particle":"","family":"Deilmannl","given":"Clemens","non-dropping-particle":"","parse-names":false,"suffix":""}],"id":"ITEM-1","issued":{"date-parts":[["2017"]]},"publisher":"Fraunhofer IRB Verlag","publisher-place":"Stuttgart","title":"Materialaufwand von Nichtwohngebäuden – Teil II","type":"chapter"},"uris":["http://www.mendeley.com/documents/?uuid=ec038dfc-f925-4ba6-8fd8-9f5c736b1ec2"]}],"mendeley":{"formattedCitation":"&lt;sup&gt;40&lt;/sup&gt;","plainTextFormattedCitation":"40","previouslyFormattedCitation":"&lt;sup&gt;40&lt;/sup&gt;"},"properties":{"noteIndex":0},"schema":"https://github.com/citation-style-language/schema/raw/master/csl-citation.json"}</w:instrText>
            </w:r>
            <w:r w:rsidR="009C317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40</w:t>
            </w:r>
            <w:r w:rsidR="009C3171">
              <w:rPr>
                <w:rFonts w:ascii="Calibri" w:hAnsi="Calibri" w:cs="Calibri"/>
                <w:color w:val="000000"/>
                <w:sz w:val="18"/>
                <w:szCs w:val="18"/>
              </w:rPr>
              <w:fldChar w:fldCharType="end"/>
            </w:r>
          </w:p>
        </w:tc>
        <w:tc>
          <w:tcPr>
            <w:tcW w:w="1260" w:type="dxa"/>
            <w:vAlign w:val="bottom"/>
          </w:tcPr>
          <w:p w14:paraId="7FFEB711" w14:textId="77777777" w:rsidR="00C45CA5" w:rsidRPr="00303024" w:rsidRDefault="00C45CA5" w:rsidP="00C45CA5">
            <w:pPr>
              <w:rPr>
                <w:sz w:val="18"/>
                <w:szCs w:val="18"/>
              </w:rPr>
            </w:pPr>
            <w:r w:rsidRPr="00303024">
              <w:rPr>
                <w:rFonts w:ascii="Calibri" w:hAnsi="Calibri" w:cs="Calibri"/>
                <w:color w:val="000000"/>
                <w:sz w:val="18"/>
                <w:szCs w:val="18"/>
              </w:rPr>
              <w:t>Nursing-home &amp; Emergency services</w:t>
            </w:r>
          </w:p>
        </w:tc>
        <w:tc>
          <w:tcPr>
            <w:tcW w:w="969" w:type="dxa"/>
            <w:tcBorders>
              <w:right w:val="single" w:sz="18" w:space="0" w:color="auto"/>
            </w:tcBorders>
            <w:vAlign w:val="bottom"/>
          </w:tcPr>
          <w:p w14:paraId="69C20D38" w14:textId="77777777" w:rsidR="00C45CA5" w:rsidRPr="00303024" w:rsidRDefault="00C45CA5" w:rsidP="00C45CA5">
            <w:pPr>
              <w:rPr>
                <w:sz w:val="18"/>
                <w:szCs w:val="18"/>
              </w:rPr>
            </w:pPr>
            <w:r w:rsidRPr="00303024">
              <w:rPr>
                <w:rFonts w:ascii="Calibri" w:hAnsi="Calibri" w:cs="Calibri"/>
                <w:color w:val="000000"/>
                <w:sz w:val="18"/>
                <w:szCs w:val="18"/>
              </w:rPr>
              <w:t>Germany</w:t>
            </w:r>
          </w:p>
        </w:tc>
        <w:tc>
          <w:tcPr>
            <w:tcW w:w="689" w:type="dxa"/>
            <w:tcBorders>
              <w:left w:val="single" w:sz="18" w:space="0" w:color="auto"/>
            </w:tcBorders>
            <w:vAlign w:val="bottom"/>
          </w:tcPr>
          <w:p w14:paraId="54821BE6" w14:textId="77777777" w:rsidR="00C45CA5" w:rsidRPr="00303024" w:rsidRDefault="00C45CA5" w:rsidP="00C45CA5">
            <w:pPr>
              <w:jc w:val="center"/>
              <w:rPr>
                <w:sz w:val="18"/>
                <w:szCs w:val="18"/>
              </w:rPr>
            </w:pPr>
            <w:r w:rsidRPr="00303024">
              <w:rPr>
                <w:rFonts w:ascii="Calibri" w:hAnsi="Calibri" w:cs="Calibri"/>
                <w:color w:val="000000"/>
                <w:sz w:val="18"/>
                <w:szCs w:val="18"/>
              </w:rPr>
              <w:t>104</w:t>
            </w:r>
          </w:p>
        </w:tc>
        <w:tc>
          <w:tcPr>
            <w:tcW w:w="1006" w:type="dxa"/>
            <w:vAlign w:val="bottom"/>
          </w:tcPr>
          <w:p w14:paraId="1E751861" w14:textId="77777777" w:rsidR="00C45CA5" w:rsidRPr="00303024" w:rsidRDefault="00C45CA5" w:rsidP="00C45CA5">
            <w:pPr>
              <w:jc w:val="center"/>
              <w:rPr>
                <w:sz w:val="18"/>
                <w:szCs w:val="18"/>
              </w:rPr>
            </w:pPr>
            <w:r w:rsidRPr="00303024">
              <w:rPr>
                <w:rFonts w:ascii="Calibri" w:hAnsi="Calibri" w:cs="Calibri"/>
                <w:color w:val="000000"/>
                <w:sz w:val="18"/>
                <w:szCs w:val="18"/>
              </w:rPr>
              <w:t>1037</w:t>
            </w:r>
          </w:p>
        </w:tc>
        <w:tc>
          <w:tcPr>
            <w:tcW w:w="1170" w:type="dxa"/>
            <w:vAlign w:val="bottom"/>
          </w:tcPr>
          <w:p w14:paraId="0D350234" w14:textId="77777777" w:rsidR="00C45CA5" w:rsidRPr="00303024" w:rsidRDefault="00C45CA5" w:rsidP="00C45CA5">
            <w:pPr>
              <w:jc w:val="center"/>
              <w:rPr>
                <w:sz w:val="18"/>
                <w:szCs w:val="18"/>
              </w:rPr>
            </w:pPr>
            <w:r w:rsidRPr="00303024">
              <w:rPr>
                <w:rFonts w:ascii="Calibri" w:hAnsi="Calibri" w:cs="Calibri"/>
                <w:color w:val="000000"/>
                <w:sz w:val="18"/>
                <w:szCs w:val="18"/>
              </w:rPr>
              <w:t>4.5</w:t>
            </w:r>
          </w:p>
        </w:tc>
        <w:tc>
          <w:tcPr>
            <w:tcW w:w="900" w:type="dxa"/>
            <w:vAlign w:val="bottom"/>
          </w:tcPr>
          <w:p w14:paraId="45A24AE0" w14:textId="77777777" w:rsidR="00C45CA5" w:rsidRPr="00303024" w:rsidRDefault="00C45CA5" w:rsidP="00C45CA5">
            <w:pPr>
              <w:jc w:val="center"/>
              <w:rPr>
                <w:sz w:val="18"/>
                <w:szCs w:val="18"/>
              </w:rPr>
            </w:pPr>
            <w:r w:rsidRPr="00303024">
              <w:rPr>
                <w:rFonts w:ascii="Calibri" w:hAnsi="Calibri" w:cs="Calibri"/>
                <w:color w:val="000000"/>
                <w:sz w:val="18"/>
                <w:szCs w:val="18"/>
              </w:rPr>
              <w:t>3.4</w:t>
            </w:r>
          </w:p>
        </w:tc>
        <w:tc>
          <w:tcPr>
            <w:tcW w:w="720" w:type="dxa"/>
            <w:vAlign w:val="bottom"/>
          </w:tcPr>
          <w:p w14:paraId="7E1F3FE0" w14:textId="77777777" w:rsidR="00C45CA5" w:rsidRPr="00303024" w:rsidRDefault="00C45CA5" w:rsidP="00C45CA5">
            <w:pPr>
              <w:jc w:val="center"/>
              <w:rPr>
                <w:sz w:val="18"/>
                <w:szCs w:val="18"/>
              </w:rPr>
            </w:pPr>
            <w:r w:rsidRPr="00303024">
              <w:rPr>
                <w:rFonts w:ascii="Calibri" w:hAnsi="Calibri" w:cs="Calibri"/>
                <w:color w:val="000000"/>
                <w:sz w:val="18"/>
                <w:szCs w:val="18"/>
              </w:rPr>
              <w:t>25.5</w:t>
            </w:r>
          </w:p>
        </w:tc>
        <w:tc>
          <w:tcPr>
            <w:tcW w:w="733" w:type="dxa"/>
            <w:tcBorders>
              <w:right w:val="single" w:sz="18" w:space="0" w:color="auto"/>
            </w:tcBorders>
            <w:vAlign w:val="bottom"/>
          </w:tcPr>
          <w:p w14:paraId="0FE25FAD" w14:textId="77777777" w:rsidR="00C45CA5" w:rsidRPr="00303024" w:rsidRDefault="00C45CA5" w:rsidP="00C45CA5">
            <w:pPr>
              <w:jc w:val="center"/>
              <w:rPr>
                <w:sz w:val="18"/>
                <w:szCs w:val="18"/>
              </w:rPr>
            </w:pPr>
          </w:p>
        </w:tc>
      </w:tr>
      <w:tr w:rsidR="00C45CA5" w14:paraId="3F8C525B" w14:textId="77777777" w:rsidTr="009C3171">
        <w:trPr>
          <w:trHeight w:val="410"/>
        </w:trPr>
        <w:tc>
          <w:tcPr>
            <w:tcW w:w="867" w:type="dxa"/>
            <w:vMerge/>
            <w:tcBorders>
              <w:left w:val="single" w:sz="18" w:space="0" w:color="auto"/>
              <w:bottom w:val="single" w:sz="18" w:space="0" w:color="auto"/>
              <w:right w:val="single" w:sz="18" w:space="0" w:color="auto"/>
            </w:tcBorders>
            <w:shd w:val="clear" w:color="auto" w:fill="BDD6EE" w:themeFill="accent1" w:themeFillTint="66"/>
            <w:vAlign w:val="bottom"/>
          </w:tcPr>
          <w:p w14:paraId="2E61F195" w14:textId="77777777" w:rsidR="00C45CA5" w:rsidRPr="00303024" w:rsidRDefault="00C45CA5" w:rsidP="00C45CA5">
            <w:pPr>
              <w:rPr>
                <w:sz w:val="18"/>
                <w:szCs w:val="18"/>
              </w:rPr>
            </w:pPr>
          </w:p>
        </w:tc>
        <w:tc>
          <w:tcPr>
            <w:tcW w:w="1761" w:type="dxa"/>
            <w:tcBorders>
              <w:left w:val="single" w:sz="18" w:space="0" w:color="auto"/>
              <w:bottom w:val="single" w:sz="18" w:space="0" w:color="auto"/>
            </w:tcBorders>
            <w:vAlign w:val="bottom"/>
          </w:tcPr>
          <w:p w14:paraId="7E7DBA11" w14:textId="24C8860B" w:rsidR="00C45CA5" w:rsidRPr="00303024" w:rsidRDefault="00C45CA5" w:rsidP="00C45CA5">
            <w:pPr>
              <w:rPr>
                <w:sz w:val="18"/>
                <w:szCs w:val="18"/>
              </w:rPr>
            </w:pPr>
            <w:r w:rsidRPr="00303024">
              <w:rPr>
                <w:rFonts w:ascii="Calibri" w:hAnsi="Calibri" w:cs="Calibri"/>
                <w:color w:val="000000"/>
                <w:sz w:val="18"/>
                <w:szCs w:val="18"/>
              </w:rPr>
              <w:t>Marcellus‐Zamora</w:t>
            </w:r>
            <w:r w:rsidR="009C3171">
              <w:rPr>
                <w:rFonts w:ascii="Calibri" w:hAnsi="Calibri" w:cs="Calibri"/>
                <w:color w:val="000000"/>
                <w:sz w:val="18"/>
                <w:szCs w:val="18"/>
              </w:rPr>
              <w:t xml:space="preserve"> </w:t>
            </w:r>
            <w:r w:rsidR="009C3171">
              <w:rPr>
                <w:rFonts w:ascii="Calibri" w:hAnsi="Calibri" w:cs="Calibri"/>
                <w:color w:val="000000"/>
                <w:sz w:val="18"/>
                <w:szCs w:val="18"/>
              </w:rPr>
              <w:fldChar w:fldCharType="begin" w:fldLock="1"/>
            </w:r>
            <w:r w:rsidR="00B12458">
              <w:rPr>
                <w:rFonts w:ascii="Calibri" w:hAnsi="Calibri" w:cs="Calibri"/>
                <w:color w:val="000000"/>
                <w:sz w:val="18"/>
                <w:szCs w:val="18"/>
              </w:rPr>
              <w:instrText>ADDIN CSL_CITATION {"citationItems":[{"id":"ITEM-1","itemData":{"DOI":"10.1111/jiec.12327","abstract":"Summary The construction industry is an important contributor to urban economic development and consumes large volumes of building material that are stocked in cities over long periods. Those stocked spaces store valuable materials that may be available for recovery in the future. Thus quantifying the urban building stock is important for managing construction materials across the building life cycle. This article develops a new approach to urban building material stock analysis (MSA) using land-use heuristics. Our objective is to characterize buildings to understand materials stocked in place by: (1) developing, validating, and testing a new method for characterizing building stock by land-use type and (2) quantifying building stock and determining material fractions. We conduct a spatial MSA to quantify materials within a 2.6-square-kilometer section of Philadelphia from 2004 to 2012. Data were collected for buildings classified by land-use type from many sources to create maps of material stock and spatial material intensity. In the spatial MSA, the land-use type that returned the largest footprint (by percentage) and greatest (number) of buildings were civic/institutional (42%; 147) and residential (23%; 275), respectively. The model was validated for total floor space and the absolute overall error (n = 46; 20%) in 2004 and (n = 47; 24%) in 2012. Typically, commercial and residential land-use types returned the lowest overall error and weighted error. We present a promising alternative method for characterizing buildings in urban MSA that leverages multiple tools (geographical information systems [GIS], design codes, and building models) and test the method in historic Philadelphia.","author":[{"dropping-particle":"","family":"Marcellus-Zamora","given":"Kimberlee A","non-dropping-particle":"","parse-names":false,"suffix":""},{"dropping-particle":"","family":"Gallagher","given":"Patricia M","non-dropping-particle":"","parse-names":false,"suffix":""},{"dropping-particle":"","family":"Spatari","given":"Sabrina","non-dropping-particle":"","parse-names":false,"suffix":""},{"dropping-particle":"","family":"Tanikawa","given":"Hiroki","non-dropping-particle":"","parse-names":false,"suffix":""}],"container-title":"Journal of Industrial Ecology","id":"ITEM-1","issue":"5","issued":{"date-parts":[["2016"]]},"page":"1025-1037","title":"Estimating Materials Stocked by Land-Use Type in Historic Urban Buildings Using Spatio-Temporal Analytical Tools","type":"article-journal","volume":"20"},"uris":["http://www.mendeley.com/documents/?uuid=9013e79c-432a-4993-a124-bff5a3a97828"]}],"mendeley":{"formattedCitation":"&lt;sup&gt;43&lt;/sup&gt;","plainTextFormattedCitation":"43","previouslyFormattedCitation":"&lt;sup&gt;43&lt;/sup&gt;"},"properties":{"noteIndex":0},"schema":"https://github.com/citation-style-language/schema/raw/master/csl-citation.json"}</w:instrText>
            </w:r>
            <w:r w:rsidR="009C3171">
              <w:rPr>
                <w:rFonts w:ascii="Calibri" w:hAnsi="Calibri" w:cs="Calibri"/>
                <w:color w:val="000000"/>
                <w:sz w:val="18"/>
                <w:szCs w:val="18"/>
              </w:rPr>
              <w:fldChar w:fldCharType="separate"/>
            </w:r>
            <w:r w:rsidR="00445553" w:rsidRPr="00445553">
              <w:rPr>
                <w:rFonts w:ascii="Calibri" w:hAnsi="Calibri" w:cs="Calibri"/>
                <w:noProof/>
                <w:color w:val="000000"/>
                <w:sz w:val="18"/>
                <w:szCs w:val="18"/>
                <w:vertAlign w:val="superscript"/>
              </w:rPr>
              <w:t>43</w:t>
            </w:r>
            <w:r w:rsidR="009C3171">
              <w:rPr>
                <w:rFonts w:ascii="Calibri" w:hAnsi="Calibri" w:cs="Calibri"/>
                <w:color w:val="000000"/>
                <w:sz w:val="18"/>
                <w:szCs w:val="18"/>
              </w:rPr>
              <w:fldChar w:fldCharType="end"/>
            </w:r>
          </w:p>
        </w:tc>
        <w:tc>
          <w:tcPr>
            <w:tcW w:w="1260" w:type="dxa"/>
            <w:tcBorders>
              <w:bottom w:val="single" w:sz="18" w:space="0" w:color="auto"/>
            </w:tcBorders>
            <w:vAlign w:val="bottom"/>
          </w:tcPr>
          <w:p w14:paraId="38580F51" w14:textId="77777777" w:rsidR="00C45CA5" w:rsidRDefault="00C45CA5" w:rsidP="00C45CA5">
            <w:pPr>
              <w:rPr>
                <w:rFonts w:ascii="Calibri" w:hAnsi="Calibri" w:cs="Calibri"/>
                <w:color w:val="000000"/>
                <w:sz w:val="18"/>
                <w:szCs w:val="18"/>
              </w:rPr>
            </w:pPr>
            <w:r w:rsidRPr="00303024">
              <w:rPr>
                <w:rFonts w:ascii="Calibri" w:hAnsi="Calibri" w:cs="Calibri"/>
                <w:color w:val="000000"/>
                <w:sz w:val="18"/>
                <w:szCs w:val="18"/>
              </w:rPr>
              <w:t>Civic/</w:t>
            </w:r>
          </w:p>
          <w:p w14:paraId="25507B0E" w14:textId="77777777" w:rsidR="00C45CA5" w:rsidRPr="00303024" w:rsidRDefault="00C45CA5" w:rsidP="00C45CA5">
            <w:pPr>
              <w:rPr>
                <w:sz w:val="18"/>
                <w:szCs w:val="18"/>
              </w:rPr>
            </w:pPr>
            <w:r w:rsidRPr="00303024">
              <w:rPr>
                <w:rFonts w:ascii="Calibri" w:hAnsi="Calibri" w:cs="Calibri"/>
                <w:color w:val="000000"/>
                <w:sz w:val="18"/>
                <w:szCs w:val="18"/>
              </w:rPr>
              <w:t>Institutional</w:t>
            </w:r>
          </w:p>
        </w:tc>
        <w:tc>
          <w:tcPr>
            <w:tcW w:w="969" w:type="dxa"/>
            <w:tcBorders>
              <w:bottom w:val="single" w:sz="18" w:space="0" w:color="auto"/>
              <w:right w:val="single" w:sz="18" w:space="0" w:color="auto"/>
            </w:tcBorders>
            <w:vAlign w:val="bottom"/>
          </w:tcPr>
          <w:p w14:paraId="1B8D9FC1" w14:textId="77777777" w:rsidR="00C45CA5" w:rsidRPr="00303024" w:rsidRDefault="00C45CA5" w:rsidP="00C45CA5">
            <w:pPr>
              <w:rPr>
                <w:sz w:val="18"/>
                <w:szCs w:val="18"/>
              </w:rPr>
            </w:pPr>
            <w:r w:rsidRPr="00303024">
              <w:rPr>
                <w:rFonts w:ascii="Calibri" w:hAnsi="Calibri" w:cs="Calibri"/>
                <w:color w:val="000000"/>
                <w:sz w:val="18"/>
                <w:szCs w:val="18"/>
              </w:rPr>
              <w:t>USA</w:t>
            </w:r>
          </w:p>
        </w:tc>
        <w:tc>
          <w:tcPr>
            <w:tcW w:w="689" w:type="dxa"/>
            <w:tcBorders>
              <w:left w:val="single" w:sz="18" w:space="0" w:color="auto"/>
              <w:bottom w:val="single" w:sz="18" w:space="0" w:color="auto"/>
            </w:tcBorders>
            <w:vAlign w:val="bottom"/>
          </w:tcPr>
          <w:p w14:paraId="23367686" w14:textId="77777777" w:rsidR="00C45CA5" w:rsidRPr="00303024" w:rsidRDefault="00C45CA5" w:rsidP="00C45CA5">
            <w:pPr>
              <w:jc w:val="center"/>
              <w:rPr>
                <w:sz w:val="18"/>
                <w:szCs w:val="18"/>
              </w:rPr>
            </w:pPr>
            <w:r w:rsidRPr="00303024">
              <w:rPr>
                <w:rFonts w:ascii="Calibri" w:hAnsi="Calibri" w:cs="Calibri"/>
                <w:color w:val="000000"/>
                <w:sz w:val="18"/>
                <w:szCs w:val="18"/>
              </w:rPr>
              <w:t>40</w:t>
            </w:r>
          </w:p>
        </w:tc>
        <w:tc>
          <w:tcPr>
            <w:tcW w:w="1006" w:type="dxa"/>
            <w:tcBorders>
              <w:bottom w:val="single" w:sz="18" w:space="0" w:color="auto"/>
            </w:tcBorders>
            <w:vAlign w:val="bottom"/>
          </w:tcPr>
          <w:p w14:paraId="7B6DAA20" w14:textId="77777777" w:rsidR="00C45CA5" w:rsidRPr="00303024" w:rsidRDefault="00C45CA5" w:rsidP="00C45CA5">
            <w:pPr>
              <w:jc w:val="center"/>
              <w:rPr>
                <w:sz w:val="18"/>
                <w:szCs w:val="18"/>
              </w:rPr>
            </w:pPr>
            <w:r w:rsidRPr="00303024">
              <w:rPr>
                <w:rFonts w:ascii="Calibri" w:hAnsi="Calibri" w:cs="Calibri"/>
                <w:color w:val="000000"/>
                <w:sz w:val="18"/>
                <w:szCs w:val="18"/>
              </w:rPr>
              <w:t>702</w:t>
            </w:r>
          </w:p>
        </w:tc>
        <w:tc>
          <w:tcPr>
            <w:tcW w:w="1170" w:type="dxa"/>
            <w:tcBorders>
              <w:bottom w:val="single" w:sz="18" w:space="0" w:color="auto"/>
            </w:tcBorders>
            <w:vAlign w:val="bottom"/>
          </w:tcPr>
          <w:p w14:paraId="39247759" w14:textId="77777777" w:rsidR="00C45CA5" w:rsidRPr="00303024" w:rsidRDefault="00C45CA5" w:rsidP="00C45CA5">
            <w:pPr>
              <w:jc w:val="center"/>
              <w:rPr>
                <w:sz w:val="18"/>
                <w:szCs w:val="18"/>
              </w:rPr>
            </w:pPr>
          </w:p>
        </w:tc>
        <w:tc>
          <w:tcPr>
            <w:tcW w:w="900" w:type="dxa"/>
            <w:tcBorders>
              <w:bottom w:val="single" w:sz="18" w:space="0" w:color="auto"/>
            </w:tcBorders>
            <w:vAlign w:val="bottom"/>
          </w:tcPr>
          <w:p w14:paraId="4703768F" w14:textId="77777777" w:rsidR="00C45CA5" w:rsidRPr="00303024" w:rsidRDefault="00C45CA5" w:rsidP="00C45CA5">
            <w:pPr>
              <w:jc w:val="center"/>
              <w:rPr>
                <w:sz w:val="18"/>
                <w:szCs w:val="18"/>
              </w:rPr>
            </w:pPr>
          </w:p>
        </w:tc>
        <w:tc>
          <w:tcPr>
            <w:tcW w:w="720" w:type="dxa"/>
            <w:tcBorders>
              <w:bottom w:val="single" w:sz="18" w:space="0" w:color="auto"/>
            </w:tcBorders>
            <w:vAlign w:val="bottom"/>
          </w:tcPr>
          <w:p w14:paraId="6AE834FF" w14:textId="77777777" w:rsidR="00C45CA5" w:rsidRPr="00303024" w:rsidRDefault="00C45CA5" w:rsidP="00C45CA5">
            <w:pPr>
              <w:jc w:val="center"/>
              <w:rPr>
                <w:sz w:val="18"/>
                <w:szCs w:val="18"/>
              </w:rPr>
            </w:pPr>
          </w:p>
        </w:tc>
        <w:tc>
          <w:tcPr>
            <w:tcW w:w="733" w:type="dxa"/>
            <w:tcBorders>
              <w:bottom w:val="single" w:sz="18" w:space="0" w:color="auto"/>
              <w:right w:val="single" w:sz="18" w:space="0" w:color="auto"/>
            </w:tcBorders>
            <w:vAlign w:val="bottom"/>
          </w:tcPr>
          <w:p w14:paraId="69460DCD" w14:textId="77777777" w:rsidR="00C45CA5" w:rsidRPr="00303024" w:rsidRDefault="00C45CA5" w:rsidP="00C45CA5">
            <w:pPr>
              <w:jc w:val="center"/>
              <w:rPr>
                <w:sz w:val="18"/>
                <w:szCs w:val="18"/>
              </w:rPr>
            </w:pPr>
            <w:r w:rsidRPr="00303024">
              <w:rPr>
                <w:rFonts w:ascii="Calibri" w:hAnsi="Calibri" w:cs="Calibri"/>
                <w:color w:val="000000"/>
                <w:sz w:val="18"/>
                <w:szCs w:val="18"/>
              </w:rPr>
              <w:t>31.0</w:t>
            </w:r>
          </w:p>
        </w:tc>
      </w:tr>
      <w:tr w:rsidR="00C45CA5" w14:paraId="35816F2B" w14:textId="77777777" w:rsidTr="00C45CA5">
        <w:trPr>
          <w:trHeight w:val="191"/>
        </w:trPr>
        <w:tc>
          <w:tcPr>
            <w:tcW w:w="867" w:type="dxa"/>
            <w:tcBorders>
              <w:top w:val="single" w:sz="18" w:space="0" w:color="auto"/>
              <w:left w:val="single" w:sz="18" w:space="0" w:color="auto"/>
              <w:bottom w:val="single" w:sz="18" w:space="0" w:color="auto"/>
              <w:right w:val="single" w:sz="18" w:space="0" w:color="auto"/>
            </w:tcBorders>
            <w:vAlign w:val="bottom"/>
          </w:tcPr>
          <w:p w14:paraId="05404195" w14:textId="77777777" w:rsidR="00C45CA5" w:rsidRPr="00303024" w:rsidRDefault="00C45CA5" w:rsidP="00C45CA5">
            <w:pPr>
              <w:rPr>
                <w:b/>
                <w:sz w:val="18"/>
                <w:szCs w:val="18"/>
              </w:rPr>
            </w:pPr>
            <w:r w:rsidRPr="00303024">
              <w:rPr>
                <w:rFonts w:ascii="Calibri" w:hAnsi="Calibri" w:cs="Calibri"/>
                <w:b/>
                <w:color w:val="000000"/>
                <w:sz w:val="18"/>
                <w:szCs w:val="18"/>
              </w:rPr>
              <w:t>Average</w:t>
            </w:r>
          </w:p>
        </w:tc>
        <w:tc>
          <w:tcPr>
            <w:tcW w:w="3990" w:type="dxa"/>
            <w:gridSpan w:val="3"/>
            <w:tcBorders>
              <w:top w:val="single" w:sz="18" w:space="0" w:color="auto"/>
              <w:left w:val="single" w:sz="18" w:space="0" w:color="auto"/>
              <w:bottom w:val="single" w:sz="18" w:space="0" w:color="auto"/>
              <w:right w:val="single" w:sz="18" w:space="0" w:color="auto"/>
            </w:tcBorders>
            <w:vAlign w:val="bottom"/>
          </w:tcPr>
          <w:p w14:paraId="0D20A069" w14:textId="77777777" w:rsidR="00C45CA5" w:rsidRPr="00303024" w:rsidRDefault="00C45CA5" w:rsidP="00C45CA5">
            <w:pPr>
              <w:rPr>
                <w:sz w:val="18"/>
                <w:szCs w:val="18"/>
              </w:rPr>
            </w:pPr>
          </w:p>
        </w:tc>
        <w:tc>
          <w:tcPr>
            <w:tcW w:w="689" w:type="dxa"/>
            <w:tcBorders>
              <w:top w:val="single" w:sz="18" w:space="0" w:color="auto"/>
              <w:left w:val="single" w:sz="18" w:space="0" w:color="auto"/>
              <w:bottom w:val="single" w:sz="18" w:space="0" w:color="auto"/>
            </w:tcBorders>
            <w:vAlign w:val="bottom"/>
          </w:tcPr>
          <w:p w14:paraId="37B6A739" w14:textId="77777777" w:rsidR="00C45CA5" w:rsidRPr="00C45CA5" w:rsidRDefault="00C45CA5" w:rsidP="00C45CA5">
            <w:pPr>
              <w:jc w:val="center"/>
              <w:rPr>
                <w:b/>
                <w:sz w:val="18"/>
                <w:szCs w:val="18"/>
              </w:rPr>
            </w:pPr>
            <w:r w:rsidRPr="00C45CA5">
              <w:rPr>
                <w:rFonts w:ascii="Calibri" w:hAnsi="Calibri" w:cs="Calibri"/>
                <w:b/>
                <w:color w:val="000000"/>
                <w:sz w:val="18"/>
                <w:szCs w:val="18"/>
              </w:rPr>
              <w:t>97.9</w:t>
            </w:r>
          </w:p>
        </w:tc>
        <w:tc>
          <w:tcPr>
            <w:tcW w:w="1006" w:type="dxa"/>
            <w:tcBorders>
              <w:top w:val="single" w:sz="18" w:space="0" w:color="auto"/>
              <w:bottom w:val="single" w:sz="18" w:space="0" w:color="auto"/>
            </w:tcBorders>
            <w:vAlign w:val="bottom"/>
          </w:tcPr>
          <w:p w14:paraId="753A0FB1" w14:textId="77777777" w:rsidR="00C45CA5" w:rsidRPr="00C45CA5" w:rsidRDefault="00C45CA5" w:rsidP="00C45CA5">
            <w:pPr>
              <w:jc w:val="center"/>
              <w:rPr>
                <w:b/>
                <w:sz w:val="18"/>
                <w:szCs w:val="18"/>
              </w:rPr>
            </w:pPr>
            <w:r w:rsidRPr="00C45CA5">
              <w:rPr>
                <w:rFonts w:ascii="Calibri" w:hAnsi="Calibri" w:cs="Calibri"/>
                <w:b/>
                <w:color w:val="000000"/>
                <w:sz w:val="18"/>
                <w:szCs w:val="18"/>
              </w:rPr>
              <w:t>850.9</w:t>
            </w:r>
          </w:p>
        </w:tc>
        <w:tc>
          <w:tcPr>
            <w:tcW w:w="1170" w:type="dxa"/>
            <w:tcBorders>
              <w:top w:val="single" w:sz="18" w:space="0" w:color="auto"/>
              <w:bottom w:val="single" w:sz="18" w:space="0" w:color="auto"/>
            </w:tcBorders>
            <w:vAlign w:val="bottom"/>
          </w:tcPr>
          <w:p w14:paraId="4F78FF46" w14:textId="77777777" w:rsidR="00C45CA5" w:rsidRPr="00C45CA5" w:rsidRDefault="00C45CA5" w:rsidP="00C45CA5">
            <w:pPr>
              <w:jc w:val="center"/>
              <w:rPr>
                <w:b/>
                <w:sz w:val="18"/>
                <w:szCs w:val="18"/>
              </w:rPr>
            </w:pPr>
            <w:r w:rsidRPr="00C45CA5">
              <w:rPr>
                <w:rFonts w:ascii="Calibri" w:hAnsi="Calibri" w:cs="Calibri"/>
                <w:b/>
                <w:color w:val="000000"/>
                <w:sz w:val="18"/>
                <w:szCs w:val="18"/>
              </w:rPr>
              <w:t>4.2</w:t>
            </w:r>
          </w:p>
        </w:tc>
        <w:tc>
          <w:tcPr>
            <w:tcW w:w="900" w:type="dxa"/>
            <w:tcBorders>
              <w:top w:val="single" w:sz="18" w:space="0" w:color="auto"/>
              <w:bottom w:val="single" w:sz="18" w:space="0" w:color="auto"/>
            </w:tcBorders>
            <w:vAlign w:val="bottom"/>
          </w:tcPr>
          <w:p w14:paraId="6FE5F193" w14:textId="77777777" w:rsidR="00C45CA5" w:rsidRPr="00C45CA5" w:rsidRDefault="00C45CA5" w:rsidP="00C45CA5">
            <w:pPr>
              <w:jc w:val="center"/>
              <w:rPr>
                <w:b/>
                <w:sz w:val="18"/>
                <w:szCs w:val="18"/>
              </w:rPr>
            </w:pPr>
            <w:r w:rsidRPr="00C45CA5">
              <w:rPr>
                <w:rFonts w:ascii="Calibri" w:hAnsi="Calibri" w:cs="Calibri"/>
                <w:b/>
                <w:color w:val="000000"/>
                <w:sz w:val="18"/>
                <w:szCs w:val="18"/>
              </w:rPr>
              <w:t>3.3</w:t>
            </w:r>
          </w:p>
        </w:tc>
        <w:tc>
          <w:tcPr>
            <w:tcW w:w="720" w:type="dxa"/>
            <w:tcBorders>
              <w:top w:val="single" w:sz="18" w:space="0" w:color="auto"/>
              <w:bottom w:val="single" w:sz="18" w:space="0" w:color="auto"/>
            </w:tcBorders>
            <w:vAlign w:val="bottom"/>
          </w:tcPr>
          <w:p w14:paraId="637189BD" w14:textId="77777777" w:rsidR="00C45CA5" w:rsidRPr="00C45CA5" w:rsidRDefault="00C45CA5" w:rsidP="00C45CA5">
            <w:pPr>
              <w:jc w:val="center"/>
              <w:rPr>
                <w:b/>
                <w:sz w:val="18"/>
                <w:szCs w:val="18"/>
              </w:rPr>
            </w:pPr>
            <w:r w:rsidRPr="00C45CA5">
              <w:rPr>
                <w:rFonts w:ascii="Calibri" w:hAnsi="Calibri" w:cs="Calibri"/>
                <w:b/>
                <w:color w:val="000000"/>
                <w:sz w:val="18"/>
                <w:szCs w:val="18"/>
              </w:rPr>
              <w:t>11.8</w:t>
            </w:r>
          </w:p>
        </w:tc>
        <w:tc>
          <w:tcPr>
            <w:tcW w:w="733" w:type="dxa"/>
            <w:tcBorders>
              <w:top w:val="single" w:sz="18" w:space="0" w:color="auto"/>
              <w:bottom w:val="single" w:sz="18" w:space="0" w:color="auto"/>
              <w:right w:val="single" w:sz="18" w:space="0" w:color="auto"/>
            </w:tcBorders>
            <w:vAlign w:val="bottom"/>
          </w:tcPr>
          <w:p w14:paraId="15BE02E3" w14:textId="77777777" w:rsidR="00C45CA5" w:rsidRPr="00C45CA5" w:rsidRDefault="00C45CA5" w:rsidP="00C45CA5">
            <w:pPr>
              <w:jc w:val="center"/>
              <w:rPr>
                <w:b/>
                <w:sz w:val="18"/>
                <w:szCs w:val="18"/>
              </w:rPr>
            </w:pPr>
            <w:r w:rsidRPr="00C45CA5">
              <w:rPr>
                <w:rFonts w:ascii="Calibri" w:hAnsi="Calibri" w:cs="Calibri"/>
                <w:b/>
                <w:color w:val="000000"/>
                <w:sz w:val="18"/>
                <w:szCs w:val="18"/>
              </w:rPr>
              <w:t>7.8</w:t>
            </w:r>
          </w:p>
        </w:tc>
      </w:tr>
    </w:tbl>
    <w:p w14:paraId="5E087EBF" w14:textId="796A39C4" w:rsidR="00563C63" w:rsidRPr="00EE4F1A" w:rsidRDefault="00C45CA5" w:rsidP="00563C63">
      <w:pPr>
        <w:rPr>
          <w:i/>
          <w:sz w:val="20"/>
        </w:rPr>
      </w:pPr>
      <w:r>
        <w:rPr>
          <w:i/>
          <w:sz w:val="20"/>
        </w:rPr>
        <w:br/>
      </w:r>
      <w:r w:rsidR="00B123FE" w:rsidRPr="00EE4F1A">
        <w:rPr>
          <w:i/>
          <w:sz w:val="20"/>
        </w:rPr>
        <w:t xml:space="preserve">Table S.2. </w:t>
      </w:r>
      <w:r w:rsidR="009268DA">
        <w:rPr>
          <w:i/>
          <w:sz w:val="20"/>
        </w:rPr>
        <w:t>M</w:t>
      </w:r>
      <w:r w:rsidR="00B123FE" w:rsidRPr="00EE4F1A">
        <w:rPr>
          <w:i/>
          <w:sz w:val="20"/>
        </w:rPr>
        <w:t xml:space="preserve">aterial content of </w:t>
      </w:r>
      <w:r w:rsidR="00B47BD6">
        <w:rPr>
          <w:i/>
          <w:sz w:val="20"/>
        </w:rPr>
        <w:t>service-related</w:t>
      </w:r>
      <w:r w:rsidR="00B123FE" w:rsidRPr="00EE4F1A">
        <w:rPr>
          <w:i/>
          <w:sz w:val="20"/>
        </w:rPr>
        <w:t xml:space="preserve"> building types in kg/m</w:t>
      </w:r>
      <w:r w:rsidR="00B123FE" w:rsidRPr="00EE4F1A">
        <w:rPr>
          <w:i/>
          <w:sz w:val="20"/>
          <w:vertAlign w:val="superscript"/>
        </w:rPr>
        <w:t>2</w:t>
      </w:r>
      <w:r w:rsidR="00EE4F1A">
        <w:rPr>
          <w:i/>
          <w:sz w:val="20"/>
        </w:rPr>
        <w:t>.</w:t>
      </w:r>
      <w:r w:rsidR="009268DA">
        <w:rPr>
          <w:i/>
          <w:sz w:val="20"/>
        </w:rPr>
        <w:t xml:space="preserve"> </w:t>
      </w:r>
      <w:r w:rsidR="00EE4F1A">
        <w:rPr>
          <w:i/>
          <w:sz w:val="20"/>
        </w:rPr>
        <w:t xml:space="preserve"> Corresponding to the use in the main text, ‘Retail+’ refers to the combination of retail, shops and warehouses, ‘Hotels+’ refers to hotels and restaurants and ‘Other’ refers to other buildings such as hospitals, educational buildings, governmental buildings, buildings for assembly and transport-related buildings.</w:t>
      </w:r>
      <w:r w:rsidR="007151B4">
        <w:rPr>
          <w:i/>
          <w:sz w:val="20"/>
        </w:rPr>
        <w:t xml:space="preserve"> </w:t>
      </w:r>
      <w:r w:rsidR="00C56E41">
        <w:rPr>
          <w:i/>
          <w:sz w:val="20"/>
        </w:rPr>
        <w:t xml:space="preserve">*The </w:t>
      </w:r>
      <w:r w:rsidR="009C3171">
        <w:rPr>
          <w:i/>
          <w:sz w:val="20"/>
        </w:rPr>
        <w:t xml:space="preserve">study by </w:t>
      </w:r>
      <w:r w:rsidR="00C56E41">
        <w:rPr>
          <w:i/>
          <w:sz w:val="20"/>
        </w:rPr>
        <w:t>Gruhler reports metals as a single category, we used an assumption on the share of 93% steel, 4% aluminium and 3% copper to disaggregate the three metals.</w:t>
      </w:r>
    </w:p>
    <w:p w14:paraId="4E06A79A" w14:textId="31466F52" w:rsidR="00F945DE" w:rsidRDefault="007A511D" w:rsidP="00563C63">
      <w:r>
        <w:t>The Ecoinvent database gives the material use during the assumed lifetime of a building, and thus incorporates the replacement of some building elements with shorter lifetimes, such as the window-frames for example. As indicated in the main text, we adjusted the material use per m</w:t>
      </w:r>
      <w:r>
        <w:rPr>
          <w:vertAlign w:val="superscript"/>
        </w:rPr>
        <w:t>2</w:t>
      </w:r>
      <w:r>
        <w:t xml:space="preserve"> to reflect the materials contained in the building, so not accounting for the maintenance &amp; refurbishment. We adjusted for this using the indicated lifetimes of the building components which are replaced during the lifetime of the entire building. </w:t>
      </w:r>
      <w:r w:rsidR="00F945DE">
        <w:t xml:space="preserve">To give an example; if the Ecoinvent database indicated 3 kgs of Aluminium window-frame, with an expected service life of 25 years, per square meter of a hall-type building with an expected 50 yr lifetime, we assumed a 1,5 kg/m2 Aluminium demand based on our ‘one-time-built’ approach.   </w:t>
      </w:r>
    </w:p>
    <w:p w14:paraId="4D546B52" w14:textId="7B36FFA6" w:rsidR="007A511D" w:rsidRDefault="007A511D" w:rsidP="00563C63">
      <w:r>
        <w:lastRenderedPageBreak/>
        <w:t xml:space="preserve">Other conversion factors used to derive the material content for </w:t>
      </w:r>
      <w:r w:rsidR="00B47BD6">
        <w:t xml:space="preserve">service sector </w:t>
      </w:r>
      <w:r>
        <w:t xml:space="preserve">buildings </w:t>
      </w:r>
      <w:r w:rsidR="007B7BEB">
        <w:t xml:space="preserve">as displayed in Table S.2 </w:t>
      </w:r>
      <w:r>
        <w:t xml:space="preserve">are shown in </w:t>
      </w:r>
      <w:r w:rsidRPr="000554B0">
        <w:t>Table S.3.</w:t>
      </w:r>
      <w:r w:rsidR="007B7BEB">
        <w:t xml:space="preserve"> </w:t>
      </w:r>
      <w:r>
        <w:t xml:space="preserve"> </w:t>
      </w:r>
      <w:r w:rsidR="005418F5">
        <w:t>Figure S.</w:t>
      </w:r>
      <w:r w:rsidR="00445553">
        <w:t>8</w:t>
      </w:r>
      <w:r w:rsidR="005418F5">
        <w:t xml:space="preserve"> shows the distribution of the data on material intensities for buildings in the service sector as a whole (4 building types combined). The mean values displayed in this figure </w:t>
      </w:r>
      <w:r w:rsidR="00634B5A">
        <w:t>are used in the sensitivity analysis, where they are applied to all 4 building service-related types.</w:t>
      </w:r>
    </w:p>
    <w:tbl>
      <w:tblPr>
        <w:tblW w:w="7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5"/>
        <w:gridCol w:w="1399"/>
        <w:gridCol w:w="2547"/>
      </w:tblGrid>
      <w:tr w:rsidR="00816A56" w:rsidRPr="007A511D" w14:paraId="63D2C79F" w14:textId="77777777" w:rsidTr="009923F3">
        <w:trPr>
          <w:trHeight w:val="285"/>
        </w:trPr>
        <w:tc>
          <w:tcPr>
            <w:tcW w:w="4005" w:type="dxa"/>
            <w:shd w:val="clear" w:color="auto" w:fill="auto"/>
            <w:noWrap/>
            <w:vAlign w:val="bottom"/>
          </w:tcPr>
          <w:p w14:paraId="4C833E0A" w14:textId="59EBA2BD" w:rsidR="00816A56" w:rsidRPr="00816A56" w:rsidRDefault="00816A56" w:rsidP="007A511D">
            <w:pPr>
              <w:spacing w:after="0" w:line="240" w:lineRule="auto"/>
              <w:rPr>
                <w:rFonts w:ascii="Calibri" w:eastAsia="Times New Roman" w:hAnsi="Calibri" w:cs="Calibri"/>
                <w:b/>
                <w:color w:val="000000"/>
              </w:rPr>
            </w:pPr>
            <w:r w:rsidRPr="00816A56">
              <w:rPr>
                <w:rFonts w:ascii="Calibri" w:eastAsia="Times New Roman" w:hAnsi="Calibri" w:cs="Calibri"/>
                <w:b/>
                <w:color w:val="000000"/>
              </w:rPr>
              <w:t>Conversion factor</w:t>
            </w:r>
          </w:p>
        </w:tc>
        <w:tc>
          <w:tcPr>
            <w:tcW w:w="1399" w:type="dxa"/>
            <w:shd w:val="clear" w:color="auto" w:fill="auto"/>
            <w:noWrap/>
            <w:vAlign w:val="bottom"/>
          </w:tcPr>
          <w:p w14:paraId="61EFD4AE" w14:textId="4A4F3A5B" w:rsidR="00816A56" w:rsidRPr="00816A56" w:rsidRDefault="00816A56" w:rsidP="007A511D">
            <w:pPr>
              <w:spacing w:after="0" w:line="240" w:lineRule="auto"/>
              <w:jc w:val="right"/>
              <w:rPr>
                <w:rFonts w:ascii="Calibri" w:eastAsia="Times New Roman" w:hAnsi="Calibri" w:cs="Calibri"/>
                <w:b/>
                <w:color w:val="000000"/>
              </w:rPr>
            </w:pPr>
            <w:r w:rsidRPr="00816A56">
              <w:rPr>
                <w:rFonts w:ascii="Calibri" w:eastAsia="Times New Roman" w:hAnsi="Calibri" w:cs="Calibri"/>
                <w:b/>
                <w:color w:val="000000"/>
              </w:rPr>
              <w:t>value</w:t>
            </w:r>
          </w:p>
        </w:tc>
        <w:tc>
          <w:tcPr>
            <w:tcW w:w="2547" w:type="dxa"/>
          </w:tcPr>
          <w:p w14:paraId="48BF0940" w14:textId="22C6903D" w:rsidR="00816A56" w:rsidRPr="00816A56" w:rsidRDefault="00816A56" w:rsidP="007A511D">
            <w:pPr>
              <w:spacing w:after="0" w:line="240" w:lineRule="auto"/>
              <w:jc w:val="right"/>
              <w:rPr>
                <w:rFonts w:ascii="Calibri" w:eastAsia="Times New Roman" w:hAnsi="Calibri" w:cs="Calibri"/>
                <w:b/>
                <w:color w:val="000000"/>
              </w:rPr>
            </w:pPr>
            <w:r w:rsidRPr="00816A56">
              <w:rPr>
                <w:rFonts w:ascii="Calibri" w:eastAsia="Times New Roman" w:hAnsi="Calibri" w:cs="Calibri"/>
                <w:b/>
                <w:color w:val="000000"/>
              </w:rPr>
              <w:t>source</w:t>
            </w:r>
          </w:p>
        </w:tc>
      </w:tr>
      <w:tr w:rsidR="00FA2674" w:rsidRPr="007A511D" w14:paraId="7E38A348" w14:textId="0EAE26F9" w:rsidTr="009923F3">
        <w:trPr>
          <w:trHeight w:val="285"/>
        </w:trPr>
        <w:tc>
          <w:tcPr>
            <w:tcW w:w="4005" w:type="dxa"/>
            <w:shd w:val="clear" w:color="auto" w:fill="auto"/>
            <w:noWrap/>
            <w:vAlign w:val="bottom"/>
            <w:hideMark/>
          </w:tcPr>
          <w:p w14:paraId="66CBD544" w14:textId="77777777" w:rsidR="00FA2674" w:rsidRPr="007A511D" w:rsidRDefault="00FA2674" w:rsidP="007A511D">
            <w:pPr>
              <w:spacing w:after="0" w:line="240" w:lineRule="auto"/>
              <w:rPr>
                <w:rFonts w:ascii="Calibri" w:eastAsia="Times New Roman" w:hAnsi="Calibri" w:cs="Calibri"/>
                <w:color w:val="000000"/>
              </w:rPr>
            </w:pPr>
            <w:r w:rsidRPr="007A511D">
              <w:rPr>
                <w:rFonts w:ascii="Calibri" w:eastAsia="Times New Roman" w:hAnsi="Calibri" w:cs="Calibri"/>
                <w:color w:val="000000"/>
              </w:rPr>
              <w:t>kg per m2 glass</w:t>
            </w:r>
          </w:p>
        </w:tc>
        <w:tc>
          <w:tcPr>
            <w:tcW w:w="1399" w:type="dxa"/>
            <w:shd w:val="clear" w:color="auto" w:fill="auto"/>
            <w:noWrap/>
            <w:vAlign w:val="bottom"/>
            <w:hideMark/>
          </w:tcPr>
          <w:p w14:paraId="34C17F2D" w14:textId="77777777" w:rsidR="00FA2674" w:rsidRPr="007A511D" w:rsidRDefault="00FA2674" w:rsidP="007A511D">
            <w:pPr>
              <w:spacing w:after="0" w:line="240" w:lineRule="auto"/>
              <w:jc w:val="right"/>
              <w:rPr>
                <w:rFonts w:ascii="Calibri" w:eastAsia="Times New Roman" w:hAnsi="Calibri" w:cs="Calibri"/>
                <w:color w:val="000000"/>
              </w:rPr>
            </w:pPr>
            <w:r w:rsidRPr="007A511D">
              <w:rPr>
                <w:rFonts w:ascii="Calibri" w:eastAsia="Times New Roman" w:hAnsi="Calibri" w:cs="Calibri"/>
                <w:color w:val="000000"/>
              </w:rPr>
              <w:t>10</w:t>
            </w:r>
          </w:p>
        </w:tc>
        <w:tc>
          <w:tcPr>
            <w:tcW w:w="2547" w:type="dxa"/>
          </w:tcPr>
          <w:p w14:paraId="4A19CF9C" w14:textId="53B49B5B" w:rsidR="00FA2674" w:rsidRPr="007A511D" w:rsidRDefault="00816A56" w:rsidP="00E00DFD">
            <w:pPr>
              <w:spacing w:after="0" w:line="240" w:lineRule="auto"/>
              <w:jc w:val="right"/>
              <w:rPr>
                <w:rFonts w:ascii="Calibri" w:eastAsia="Times New Roman" w:hAnsi="Calibri" w:cs="Calibri"/>
                <w:color w:val="000000"/>
              </w:rPr>
            </w:pPr>
            <w:r>
              <w:rPr>
                <w:rFonts w:ascii="Calibri" w:eastAsia="Times New Roman" w:hAnsi="Calibri" w:cs="Calibri"/>
                <w:color w:val="000000"/>
              </w:rPr>
              <w:fldChar w:fldCharType="begin" w:fldLock="1"/>
            </w:r>
            <w:r w:rsidR="00B12458">
              <w:rPr>
                <w:rFonts w:ascii="Calibri" w:eastAsia="Times New Roman" w:hAnsi="Calibri" w:cs="Calibri"/>
                <w:color w:val="000000"/>
              </w:rPr>
              <w:instrText>ADDIN CSL_CITATION {"citationItems":[{"id":"ITEM-1","itemData":{"URL":"http://www.leadbitterglass.co.uk/glassroom/calculate-weight-of-glass/","accessed":{"date-parts":[["2019","1","23"]]},"author":[{"dropping-particle":"","family":"Leadbitterglass","given":"","non-dropping-particle":"","parse-names":false,"suffix":""}],"id":"ITEM-1","issued":{"date-parts":[["2019"]]},"title":"How To Calculate The Weight Of Glass","type":"webpage"},"uris":["http://www.mendeley.com/documents/?uuid=441d300e-f699-4dda-b9d4-fd5f26acf525"]}],"mendeley":{"formattedCitation":"&lt;sup&gt;44&lt;/sup&gt;","plainTextFormattedCitation":"44","previouslyFormattedCitation":"&lt;sup&gt;44&lt;/sup&gt;"},"properties":{"noteIndex":0},"schema":"https://github.com/citation-style-language/schema/raw/master/csl-citation.json"}</w:instrText>
            </w:r>
            <w:r>
              <w:rPr>
                <w:rFonts w:ascii="Calibri" w:eastAsia="Times New Roman" w:hAnsi="Calibri" w:cs="Calibri"/>
                <w:color w:val="000000"/>
              </w:rPr>
              <w:fldChar w:fldCharType="separate"/>
            </w:r>
            <w:r w:rsidR="00445553" w:rsidRPr="00445553">
              <w:rPr>
                <w:rFonts w:ascii="Calibri" w:eastAsia="Times New Roman" w:hAnsi="Calibri" w:cs="Calibri"/>
                <w:noProof/>
                <w:color w:val="000000"/>
                <w:vertAlign w:val="superscript"/>
              </w:rPr>
              <w:t>44</w:t>
            </w:r>
            <w:r>
              <w:rPr>
                <w:rFonts w:ascii="Calibri" w:eastAsia="Times New Roman" w:hAnsi="Calibri" w:cs="Calibri"/>
                <w:color w:val="000000"/>
              </w:rPr>
              <w:fldChar w:fldCharType="end"/>
            </w:r>
          </w:p>
        </w:tc>
      </w:tr>
      <w:tr w:rsidR="00FA2674" w:rsidRPr="007A511D" w14:paraId="0C0152BB" w14:textId="5B3E7381" w:rsidTr="009923F3">
        <w:trPr>
          <w:trHeight w:val="285"/>
        </w:trPr>
        <w:tc>
          <w:tcPr>
            <w:tcW w:w="4005" w:type="dxa"/>
            <w:shd w:val="clear" w:color="auto" w:fill="auto"/>
            <w:noWrap/>
            <w:vAlign w:val="bottom"/>
            <w:hideMark/>
          </w:tcPr>
          <w:p w14:paraId="5DDCFB5D" w14:textId="77777777" w:rsidR="00FA2674" w:rsidRPr="007A511D" w:rsidRDefault="00FA2674" w:rsidP="007A511D">
            <w:pPr>
              <w:spacing w:after="0" w:line="240" w:lineRule="auto"/>
              <w:rPr>
                <w:rFonts w:ascii="Calibri" w:eastAsia="Times New Roman" w:hAnsi="Calibri" w:cs="Calibri"/>
                <w:color w:val="000000"/>
              </w:rPr>
            </w:pPr>
            <w:r w:rsidRPr="007A511D">
              <w:rPr>
                <w:rFonts w:ascii="Calibri" w:eastAsia="Times New Roman" w:hAnsi="Calibri" w:cs="Calibri"/>
                <w:color w:val="000000"/>
              </w:rPr>
              <w:t>kg per m2 corrugated steel roof plate</w:t>
            </w:r>
          </w:p>
        </w:tc>
        <w:tc>
          <w:tcPr>
            <w:tcW w:w="1399" w:type="dxa"/>
            <w:shd w:val="clear" w:color="auto" w:fill="auto"/>
            <w:noWrap/>
            <w:vAlign w:val="bottom"/>
            <w:hideMark/>
          </w:tcPr>
          <w:p w14:paraId="01A40285" w14:textId="77777777" w:rsidR="00FA2674" w:rsidRPr="007A511D" w:rsidRDefault="00FA2674" w:rsidP="007A511D">
            <w:pPr>
              <w:spacing w:after="0" w:line="240" w:lineRule="auto"/>
              <w:jc w:val="right"/>
              <w:rPr>
                <w:rFonts w:ascii="Calibri" w:eastAsia="Times New Roman" w:hAnsi="Calibri" w:cs="Calibri"/>
                <w:color w:val="000000"/>
              </w:rPr>
            </w:pPr>
            <w:r w:rsidRPr="007A511D">
              <w:rPr>
                <w:rFonts w:ascii="Calibri" w:eastAsia="Times New Roman" w:hAnsi="Calibri" w:cs="Calibri"/>
                <w:color w:val="000000"/>
              </w:rPr>
              <w:t>10</w:t>
            </w:r>
          </w:p>
        </w:tc>
        <w:tc>
          <w:tcPr>
            <w:tcW w:w="2547" w:type="dxa"/>
          </w:tcPr>
          <w:p w14:paraId="05E201EB" w14:textId="28D54CB8" w:rsidR="00FA2674" w:rsidRPr="007A511D" w:rsidRDefault="00816A56" w:rsidP="00E00DFD">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Appendix 1 in </w:t>
            </w:r>
            <w:r>
              <w:rPr>
                <w:rFonts w:ascii="Calibri" w:eastAsia="Times New Roman" w:hAnsi="Calibri" w:cs="Calibri"/>
                <w:color w:val="000000"/>
              </w:rPr>
              <w:fldChar w:fldCharType="begin" w:fldLock="1"/>
            </w:r>
            <w:r w:rsidR="00B12458">
              <w:rPr>
                <w:rFonts w:ascii="Calibri" w:eastAsia="Times New Roman" w:hAnsi="Calibri" w:cs="Calibri"/>
                <w:color w:val="000000"/>
              </w:rPr>
              <w:instrText>ADDIN CSL_CITATION {"citationItems":[{"id":"ITEM-1","itemData":{"DOI":"10.1002/9780470697818","author":[{"dropping-particle":"","family":"Porteus","given":"Jack","non-dropping-particle":"","parse-names":false,"suffix":""},{"dropping-particle":"","family":"Kermani","given":"Abdy","non-dropping-particle":"","parse-names":false,"suffix":""}],"edition":"1","id":"ITEM-1","issued":{"date-parts":[["2007"]]},"publisher":"John Wiley &amp; Sons, Ltd","title":"Structural Timber Design to Eurocode 5","type":"book"},"uris":["http://www.mendeley.com/documents/?uuid=3e73f374-de4d-4f74-87c8-f4fbb36a29b4"]}],"mendeley":{"formattedCitation":"&lt;sup&gt;45&lt;/sup&gt;","plainTextFormattedCitation":"45","previouslyFormattedCitation":"&lt;sup&gt;45&lt;/sup&gt;"},"properties":{"noteIndex":0},"schema":"https://github.com/citation-style-language/schema/raw/master/csl-citation.json"}</w:instrText>
            </w:r>
            <w:r>
              <w:rPr>
                <w:rFonts w:ascii="Calibri" w:eastAsia="Times New Roman" w:hAnsi="Calibri" w:cs="Calibri"/>
                <w:color w:val="000000"/>
              </w:rPr>
              <w:fldChar w:fldCharType="separate"/>
            </w:r>
            <w:r w:rsidR="00445553" w:rsidRPr="00445553">
              <w:rPr>
                <w:rFonts w:ascii="Calibri" w:eastAsia="Times New Roman" w:hAnsi="Calibri" w:cs="Calibri"/>
                <w:noProof/>
                <w:color w:val="000000"/>
                <w:vertAlign w:val="superscript"/>
              </w:rPr>
              <w:t>45</w:t>
            </w:r>
            <w:r>
              <w:rPr>
                <w:rFonts w:ascii="Calibri" w:eastAsia="Times New Roman" w:hAnsi="Calibri" w:cs="Calibri"/>
                <w:color w:val="000000"/>
              </w:rPr>
              <w:fldChar w:fldCharType="end"/>
            </w:r>
            <w:r>
              <w:rPr>
                <w:rFonts w:ascii="Calibri" w:eastAsia="Times New Roman" w:hAnsi="Calibri" w:cs="Calibri"/>
                <w:color w:val="000000"/>
              </w:rPr>
              <w:t xml:space="preserve"> </w:t>
            </w:r>
          </w:p>
        </w:tc>
      </w:tr>
      <w:tr w:rsidR="00FA2674" w:rsidRPr="007A511D" w14:paraId="40E2F22E" w14:textId="4A7056FB" w:rsidTr="009923F3">
        <w:trPr>
          <w:trHeight w:val="285"/>
        </w:trPr>
        <w:tc>
          <w:tcPr>
            <w:tcW w:w="4005" w:type="dxa"/>
            <w:shd w:val="clear" w:color="auto" w:fill="auto"/>
            <w:noWrap/>
            <w:vAlign w:val="bottom"/>
            <w:hideMark/>
          </w:tcPr>
          <w:p w14:paraId="29CF7C12" w14:textId="77777777" w:rsidR="00FA2674" w:rsidRPr="007A511D" w:rsidRDefault="00FA2674" w:rsidP="007A511D">
            <w:pPr>
              <w:spacing w:after="0" w:line="240" w:lineRule="auto"/>
              <w:rPr>
                <w:rFonts w:ascii="Calibri" w:eastAsia="Times New Roman" w:hAnsi="Calibri" w:cs="Calibri"/>
                <w:color w:val="000000"/>
              </w:rPr>
            </w:pPr>
            <w:r w:rsidRPr="007A511D">
              <w:rPr>
                <w:rFonts w:ascii="Calibri" w:eastAsia="Times New Roman" w:hAnsi="Calibri" w:cs="Calibri"/>
                <w:color w:val="000000"/>
              </w:rPr>
              <w:t>kg per cement block</w:t>
            </w:r>
          </w:p>
        </w:tc>
        <w:tc>
          <w:tcPr>
            <w:tcW w:w="1399" w:type="dxa"/>
            <w:shd w:val="clear" w:color="auto" w:fill="auto"/>
            <w:noWrap/>
            <w:vAlign w:val="bottom"/>
            <w:hideMark/>
          </w:tcPr>
          <w:p w14:paraId="17D77CFF" w14:textId="77777777" w:rsidR="00FA2674" w:rsidRPr="007A511D" w:rsidRDefault="00FA2674" w:rsidP="007A511D">
            <w:pPr>
              <w:spacing w:after="0" w:line="240" w:lineRule="auto"/>
              <w:jc w:val="right"/>
              <w:rPr>
                <w:rFonts w:ascii="Calibri" w:eastAsia="Times New Roman" w:hAnsi="Calibri" w:cs="Calibri"/>
                <w:color w:val="000000"/>
              </w:rPr>
            </w:pPr>
            <w:r w:rsidRPr="007A511D">
              <w:rPr>
                <w:rFonts w:ascii="Calibri" w:eastAsia="Times New Roman" w:hAnsi="Calibri" w:cs="Calibri"/>
                <w:color w:val="000000"/>
              </w:rPr>
              <w:t>12.25</w:t>
            </w:r>
          </w:p>
        </w:tc>
        <w:tc>
          <w:tcPr>
            <w:tcW w:w="2547" w:type="dxa"/>
          </w:tcPr>
          <w:p w14:paraId="52C5C761" w14:textId="00321224" w:rsidR="00FA2674" w:rsidRPr="007A511D" w:rsidRDefault="00816A56" w:rsidP="00E00DFD">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‘standard’ according to </w:t>
            </w:r>
            <w:r>
              <w:rPr>
                <w:rFonts w:ascii="Calibri" w:eastAsia="Times New Roman" w:hAnsi="Calibri" w:cs="Calibri"/>
                <w:color w:val="000000"/>
              </w:rPr>
              <w:fldChar w:fldCharType="begin" w:fldLock="1"/>
            </w:r>
            <w:r w:rsidR="00B12458">
              <w:rPr>
                <w:rFonts w:ascii="Calibri" w:eastAsia="Times New Roman" w:hAnsi="Calibri" w:cs="Calibri"/>
                <w:color w:val="000000"/>
              </w:rPr>
              <w:instrText>ADDIN CSL_CITATION {"citationItems":[{"id":"ITEM-1","itemData":{"URL":"https://www.brownsconcrete.com/images/Resources/Building/Product_Info/Block_Weight_Cube_Size.pdf","accessed":{"date-parts":[["2019","1","23"]]},"author":[{"dropping-particle":"","family":"Brown's","given":"","non-dropping-particle":"","parse-names":false,"suffix":""}],"id":"ITEM-1","issued":{"date-parts":[["2019"]]},"title":"Standard and Lightweight Concrete Block / Architectural Block Cube Sizes and Weights","type":"webpage"},"uris":["http://www.mendeley.com/documents/?uuid=f22d4f56-b145-4836-aea4-a0f0f5c54b86"]}],"mendeley":{"formattedCitation":"&lt;sup&gt;46&lt;/sup&gt;","plainTextFormattedCitation":"46","previouslyFormattedCitation":"&lt;sup&gt;46&lt;/sup&gt;"},"properties":{"noteIndex":0},"schema":"https://github.com/citation-style-language/schema/raw/master/csl-citation.json"}</w:instrText>
            </w:r>
            <w:r>
              <w:rPr>
                <w:rFonts w:ascii="Calibri" w:eastAsia="Times New Roman" w:hAnsi="Calibri" w:cs="Calibri"/>
                <w:color w:val="000000"/>
              </w:rPr>
              <w:fldChar w:fldCharType="separate"/>
            </w:r>
            <w:r w:rsidR="00445553" w:rsidRPr="00445553">
              <w:rPr>
                <w:rFonts w:ascii="Calibri" w:eastAsia="Times New Roman" w:hAnsi="Calibri" w:cs="Calibri"/>
                <w:noProof/>
                <w:color w:val="000000"/>
                <w:vertAlign w:val="superscript"/>
              </w:rPr>
              <w:t>46</w:t>
            </w:r>
            <w:r>
              <w:rPr>
                <w:rFonts w:ascii="Calibri" w:eastAsia="Times New Roman" w:hAnsi="Calibri" w:cs="Calibri"/>
                <w:color w:val="000000"/>
              </w:rPr>
              <w:fldChar w:fldCharType="end"/>
            </w:r>
          </w:p>
        </w:tc>
      </w:tr>
      <w:tr w:rsidR="00FA2674" w:rsidRPr="007A511D" w14:paraId="33A1CF96" w14:textId="087EB92C" w:rsidTr="009923F3">
        <w:trPr>
          <w:trHeight w:val="285"/>
        </w:trPr>
        <w:tc>
          <w:tcPr>
            <w:tcW w:w="4005" w:type="dxa"/>
            <w:shd w:val="clear" w:color="auto" w:fill="auto"/>
            <w:noWrap/>
            <w:vAlign w:val="bottom"/>
            <w:hideMark/>
          </w:tcPr>
          <w:p w14:paraId="5D719EFF" w14:textId="77777777" w:rsidR="00FA2674" w:rsidRPr="007A511D" w:rsidRDefault="00FA2674" w:rsidP="007A511D">
            <w:pPr>
              <w:spacing w:after="0" w:line="240" w:lineRule="auto"/>
              <w:rPr>
                <w:rFonts w:ascii="Calibri" w:eastAsia="Times New Roman" w:hAnsi="Calibri" w:cs="Calibri"/>
                <w:color w:val="000000"/>
              </w:rPr>
            </w:pPr>
            <w:r w:rsidRPr="007A511D">
              <w:rPr>
                <w:rFonts w:ascii="Calibri" w:eastAsia="Times New Roman" w:hAnsi="Calibri" w:cs="Calibri"/>
                <w:color w:val="000000"/>
              </w:rPr>
              <w:t>kg per m2 steel cladding</w:t>
            </w:r>
          </w:p>
        </w:tc>
        <w:tc>
          <w:tcPr>
            <w:tcW w:w="1399" w:type="dxa"/>
            <w:shd w:val="clear" w:color="auto" w:fill="auto"/>
            <w:noWrap/>
            <w:vAlign w:val="bottom"/>
            <w:hideMark/>
          </w:tcPr>
          <w:p w14:paraId="6AED7B58" w14:textId="3C2FC97C" w:rsidR="00FA2674" w:rsidRPr="007A511D" w:rsidRDefault="00FA2674" w:rsidP="007A511D">
            <w:pPr>
              <w:spacing w:after="0" w:line="240" w:lineRule="auto"/>
              <w:jc w:val="right"/>
              <w:rPr>
                <w:rFonts w:ascii="Calibri" w:eastAsia="Times New Roman" w:hAnsi="Calibri" w:cs="Calibri"/>
                <w:color w:val="000000"/>
              </w:rPr>
            </w:pPr>
            <w:r w:rsidRPr="007A511D">
              <w:rPr>
                <w:rFonts w:ascii="Calibri" w:eastAsia="Times New Roman" w:hAnsi="Calibri" w:cs="Calibri"/>
                <w:color w:val="000000"/>
              </w:rPr>
              <w:t>3.66</w:t>
            </w:r>
          </w:p>
        </w:tc>
        <w:tc>
          <w:tcPr>
            <w:tcW w:w="2547" w:type="dxa"/>
          </w:tcPr>
          <w:p w14:paraId="009273CD" w14:textId="375D4BB1" w:rsidR="00FA2674" w:rsidRPr="007A511D" w:rsidRDefault="00816A56" w:rsidP="00E00DFD">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26 Gauge according to </w:t>
            </w:r>
            <w:r>
              <w:rPr>
                <w:rFonts w:ascii="Calibri" w:eastAsia="Times New Roman" w:hAnsi="Calibri" w:cs="Calibri"/>
                <w:color w:val="000000"/>
              </w:rPr>
              <w:fldChar w:fldCharType="begin" w:fldLock="1"/>
            </w:r>
            <w:r w:rsidR="00B12458">
              <w:rPr>
                <w:rFonts w:ascii="Calibri" w:eastAsia="Times New Roman" w:hAnsi="Calibri" w:cs="Calibri"/>
                <w:color w:val="000000"/>
              </w:rPr>
              <w:instrText>ADDIN CSL_CITATION {"citationItems":[{"id":"ITEM-1","itemData":{"URL":"https://www.tedpella.com/company_html/gauge.htm","accessed":{"date-parts":[["2019","1","23"]]},"author":[{"dropping-particle":"","family":"Ted Pella inc.","given":"","non-dropping-particle":"","parse-names":false,"suffix":""}],"id":"ITEM-1","issued":{"date-parts":[["2019"]]},"title":"Standard Gauge for Sheet and Plate Iron and Steel","type":"webpage"},"uris":["http://www.mendeley.com/documents/?uuid=6d841e88-8118-45aa-8c19-6ee09b54819c"]}],"mendeley":{"formattedCitation":"&lt;sup&gt;47&lt;/sup&gt;","plainTextFormattedCitation":"47","previouslyFormattedCitation":"&lt;sup&gt;47&lt;/sup&gt;"},"properties":{"noteIndex":0},"schema":"https://github.com/citation-style-language/schema/raw/master/csl-citation.json"}</w:instrText>
            </w:r>
            <w:r>
              <w:rPr>
                <w:rFonts w:ascii="Calibri" w:eastAsia="Times New Roman" w:hAnsi="Calibri" w:cs="Calibri"/>
                <w:color w:val="000000"/>
              </w:rPr>
              <w:fldChar w:fldCharType="separate"/>
            </w:r>
            <w:r w:rsidR="00445553" w:rsidRPr="00445553">
              <w:rPr>
                <w:rFonts w:ascii="Calibri" w:eastAsia="Times New Roman" w:hAnsi="Calibri" w:cs="Calibri"/>
                <w:noProof/>
                <w:color w:val="000000"/>
                <w:vertAlign w:val="superscript"/>
              </w:rPr>
              <w:t>47</w:t>
            </w:r>
            <w:r>
              <w:rPr>
                <w:rFonts w:ascii="Calibri" w:eastAsia="Times New Roman" w:hAnsi="Calibri" w:cs="Calibri"/>
                <w:color w:val="000000"/>
              </w:rPr>
              <w:fldChar w:fldCharType="end"/>
            </w:r>
          </w:p>
        </w:tc>
      </w:tr>
      <w:tr w:rsidR="00FA2674" w:rsidRPr="007A511D" w14:paraId="3A553013" w14:textId="0D713666" w:rsidTr="009923F3">
        <w:trPr>
          <w:trHeight w:val="285"/>
        </w:trPr>
        <w:tc>
          <w:tcPr>
            <w:tcW w:w="4005" w:type="dxa"/>
            <w:shd w:val="clear" w:color="auto" w:fill="auto"/>
            <w:noWrap/>
            <w:vAlign w:val="bottom"/>
            <w:hideMark/>
          </w:tcPr>
          <w:p w14:paraId="2A6E502A" w14:textId="77777777" w:rsidR="00FA2674" w:rsidRPr="007A511D" w:rsidRDefault="00FA2674" w:rsidP="007A511D">
            <w:pPr>
              <w:spacing w:after="0" w:line="240" w:lineRule="auto"/>
              <w:rPr>
                <w:rFonts w:ascii="Calibri" w:eastAsia="Times New Roman" w:hAnsi="Calibri" w:cs="Calibri"/>
                <w:color w:val="000000"/>
              </w:rPr>
            </w:pPr>
            <w:r w:rsidRPr="007A511D">
              <w:rPr>
                <w:rFonts w:ascii="Calibri" w:eastAsia="Times New Roman" w:hAnsi="Calibri" w:cs="Calibri"/>
                <w:color w:val="000000"/>
              </w:rPr>
              <w:t>kg per ft2 of concrete brick</w:t>
            </w:r>
          </w:p>
        </w:tc>
        <w:tc>
          <w:tcPr>
            <w:tcW w:w="1399" w:type="dxa"/>
            <w:shd w:val="clear" w:color="auto" w:fill="auto"/>
            <w:noWrap/>
            <w:vAlign w:val="bottom"/>
            <w:hideMark/>
          </w:tcPr>
          <w:p w14:paraId="65063612" w14:textId="19ADD0CB" w:rsidR="00FA2674" w:rsidRPr="007A511D" w:rsidRDefault="00FA2674" w:rsidP="007A511D">
            <w:pPr>
              <w:spacing w:after="0" w:line="240" w:lineRule="auto"/>
              <w:jc w:val="right"/>
              <w:rPr>
                <w:rFonts w:ascii="Calibri" w:eastAsia="Times New Roman" w:hAnsi="Calibri" w:cs="Calibri"/>
                <w:color w:val="000000"/>
              </w:rPr>
            </w:pPr>
            <w:r w:rsidRPr="007A511D">
              <w:rPr>
                <w:rFonts w:ascii="Calibri" w:eastAsia="Times New Roman" w:hAnsi="Calibri" w:cs="Calibri"/>
                <w:color w:val="000000"/>
              </w:rPr>
              <w:t>18.07</w:t>
            </w:r>
          </w:p>
        </w:tc>
        <w:tc>
          <w:tcPr>
            <w:tcW w:w="2547" w:type="dxa"/>
          </w:tcPr>
          <w:p w14:paraId="4B40A000" w14:textId="0E4FDF3B" w:rsidR="00FA2674" w:rsidRPr="007B7BEB" w:rsidRDefault="00816A56" w:rsidP="00E00DFD">
            <w:pPr>
              <w:pStyle w:val="ListParagraph"/>
              <w:numPr>
                <w:ilvl w:val="1"/>
                <w:numId w:val="4"/>
              </w:numPr>
              <w:spacing w:after="0" w:line="240" w:lineRule="auto"/>
              <w:jc w:val="right"/>
              <w:rPr>
                <w:rFonts w:ascii="Calibri" w:eastAsia="Times New Roman" w:hAnsi="Calibri" w:cs="Calibri"/>
                <w:color w:val="000000"/>
              </w:rPr>
            </w:pPr>
            <w:r w:rsidRPr="007B7BEB">
              <w:rPr>
                <w:rFonts w:ascii="Calibri" w:eastAsia="Times New Roman" w:hAnsi="Calibri" w:cs="Calibri"/>
                <w:color w:val="000000"/>
              </w:rPr>
              <w:t xml:space="preserve">kg per brick acc. to </w:t>
            </w:r>
            <w:r w:rsidRPr="007B7BEB">
              <w:rPr>
                <w:rFonts w:ascii="Calibri" w:eastAsia="Times New Roman" w:hAnsi="Calibri" w:cs="Calibri"/>
                <w:color w:val="000000"/>
              </w:rPr>
              <w:fldChar w:fldCharType="begin" w:fldLock="1"/>
            </w:r>
            <w:r w:rsidR="00B12458">
              <w:rPr>
                <w:rFonts w:ascii="Calibri" w:eastAsia="Times New Roman" w:hAnsi="Calibri" w:cs="Calibri"/>
                <w:color w:val="000000"/>
              </w:rPr>
              <w:instrText>ADDIN CSL_CITATION {"citationItems":[{"id":"ITEM-1","itemData":{"URL":"https://www.nationalmasonry.com.au/wp-content/uploads/National_Masonry_Design_Guide_Book_2_SQLD.pdf","accessed":{"date-parts":[["2019","1","23"]]},"author":[{"dropping-particle":"","family":"National Masonry","given":"","non-dropping-particle":"","parse-names":false,"suffix":""}],"id":"ITEM-1","issued":{"date-parts":[["2019"]]},"title":"Masonry Blocks &amp; Bricks","type":"webpage"},"uris":["http://www.mendeley.com/documents/?uuid=12de681f-c7ee-4faf-b417-4bf454307a7c"]}],"mendeley":{"formattedCitation":"&lt;sup&gt;48&lt;/sup&gt;","plainTextFormattedCitation":"48","previouslyFormattedCitation":"&lt;sup&gt;48&lt;/sup&gt;"},"properties":{"noteIndex":0},"schema":"https://github.com/citation-style-language/schema/raw/master/csl-citation.json"}</w:instrText>
            </w:r>
            <w:r w:rsidRPr="007B7BEB">
              <w:rPr>
                <w:rFonts w:ascii="Calibri" w:eastAsia="Times New Roman" w:hAnsi="Calibri" w:cs="Calibri"/>
                <w:color w:val="000000"/>
              </w:rPr>
              <w:fldChar w:fldCharType="separate"/>
            </w:r>
            <w:r w:rsidR="00445553" w:rsidRPr="00445553">
              <w:rPr>
                <w:rFonts w:ascii="Calibri" w:eastAsia="Times New Roman" w:hAnsi="Calibri" w:cs="Calibri"/>
                <w:noProof/>
                <w:color w:val="000000"/>
                <w:vertAlign w:val="superscript"/>
              </w:rPr>
              <w:t>48</w:t>
            </w:r>
            <w:r w:rsidRPr="007B7BEB">
              <w:rPr>
                <w:rFonts w:ascii="Calibri" w:eastAsia="Times New Roman" w:hAnsi="Calibri" w:cs="Calibri"/>
                <w:color w:val="000000"/>
              </w:rPr>
              <w:fldChar w:fldCharType="end"/>
            </w:r>
          </w:p>
        </w:tc>
      </w:tr>
    </w:tbl>
    <w:p w14:paraId="76296EFB" w14:textId="07FA6F6E" w:rsidR="00394929" w:rsidRDefault="0075043F" w:rsidP="00563C63">
      <w:pPr>
        <w:rPr>
          <w:i/>
        </w:rPr>
      </w:pPr>
      <w:r w:rsidRPr="0075043F">
        <w:rPr>
          <w:i/>
          <w:sz w:val="20"/>
        </w:rPr>
        <w:t xml:space="preserve">Table S.3. Conversion factors used in calculating the material intensities of </w:t>
      </w:r>
      <w:r w:rsidR="00B47BD6">
        <w:rPr>
          <w:i/>
          <w:sz w:val="20"/>
        </w:rPr>
        <w:t>service sector</w:t>
      </w:r>
      <w:r w:rsidR="00B47BD6" w:rsidRPr="0075043F">
        <w:rPr>
          <w:i/>
          <w:sz w:val="20"/>
        </w:rPr>
        <w:t xml:space="preserve"> </w:t>
      </w:r>
      <w:r w:rsidRPr="0075043F">
        <w:rPr>
          <w:i/>
          <w:sz w:val="20"/>
        </w:rPr>
        <w:t>buildings.</w:t>
      </w:r>
      <w:r w:rsidR="007A511D" w:rsidRPr="0075043F">
        <w:rPr>
          <w:i/>
        </w:rPr>
        <w:t xml:space="preserve"> </w:t>
      </w:r>
    </w:p>
    <w:p w14:paraId="6A8DD82A" w14:textId="5769A1D3" w:rsidR="005418F5" w:rsidRDefault="00874130" w:rsidP="00563C63">
      <w:pPr>
        <w:rPr>
          <w:i/>
        </w:rPr>
      </w:pPr>
      <w:r>
        <w:rPr>
          <w:noProof/>
        </w:rPr>
        <w:drawing>
          <wp:anchor distT="0" distB="0" distL="114300" distR="114300" simplePos="0" relativeHeight="251823104" behindDoc="0" locked="0" layoutInCell="1" allowOverlap="1" wp14:anchorId="76073837" wp14:editId="301A9A32">
            <wp:simplePos x="0" y="0"/>
            <wp:positionH relativeFrom="column">
              <wp:posOffset>5721350</wp:posOffset>
            </wp:positionH>
            <wp:positionV relativeFrom="paragraph">
              <wp:posOffset>285115</wp:posOffset>
            </wp:positionV>
            <wp:extent cx="1171934" cy="1719072"/>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1934" cy="1719072"/>
                    </a:xfrm>
                    <a:prstGeom prst="rect">
                      <a:avLst/>
                    </a:prstGeom>
                  </pic:spPr>
                </pic:pic>
              </a:graphicData>
            </a:graphic>
            <wp14:sizeRelH relativeFrom="page">
              <wp14:pctWidth>0</wp14:pctWidth>
            </wp14:sizeRelH>
            <wp14:sizeRelV relativeFrom="page">
              <wp14:pctHeight>0</wp14:pctHeight>
            </wp14:sizeRelV>
          </wp:anchor>
        </w:drawing>
      </w:r>
    </w:p>
    <w:p w14:paraId="44A69B34" w14:textId="53073ADA" w:rsidR="00634B5A" w:rsidRDefault="008E19DE">
      <w:pPr>
        <w:rPr>
          <w:rFonts w:eastAsiaTheme="majorEastAsia" w:cstheme="minorHAnsi"/>
          <w:i/>
          <w:sz w:val="20"/>
          <w:szCs w:val="26"/>
        </w:rPr>
      </w:pPr>
      <w:r w:rsidRPr="008E19DE">
        <w:rPr>
          <w:noProof/>
        </w:rPr>
        <w:drawing>
          <wp:inline distT="0" distB="0" distL="0" distR="0" wp14:anchorId="73A9C971" wp14:editId="08413110">
            <wp:extent cx="5943600" cy="286755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508"/>
                    <a:stretch/>
                  </pic:blipFill>
                  <pic:spPr bwMode="auto">
                    <a:xfrm>
                      <a:off x="0" y="0"/>
                      <a:ext cx="5943600" cy="2867558"/>
                    </a:xfrm>
                    <a:prstGeom prst="rect">
                      <a:avLst/>
                    </a:prstGeom>
                    <a:ln>
                      <a:noFill/>
                    </a:ln>
                    <a:extLst>
                      <a:ext uri="{53640926-AAD7-44D8-BBD7-CCE9431645EC}">
                        <a14:shadowObscured xmlns:a14="http://schemas.microsoft.com/office/drawing/2010/main"/>
                      </a:ext>
                    </a:extLst>
                  </pic:spPr>
                </pic:pic>
              </a:graphicData>
            </a:graphic>
          </wp:inline>
        </w:drawing>
      </w:r>
      <w:r w:rsidR="00634B5A">
        <w:rPr>
          <w:rFonts w:asciiTheme="majorHAnsi" w:eastAsiaTheme="majorEastAsia" w:hAnsiTheme="majorHAnsi" w:cstheme="majorBidi"/>
          <w:color w:val="2E74B5" w:themeColor="accent1" w:themeShade="BF"/>
          <w:sz w:val="26"/>
          <w:szCs w:val="26"/>
        </w:rPr>
        <w:br/>
      </w:r>
      <w:r w:rsidR="00634B5A" w:rsidRPr="008E19DE">
        <w:rPr>
          <w:rFonts w:eastAsiaTheme="majorEastAsia" w:cstheme="minorHAnsi"/>
          <w:i/>
          <w:sz w:val="20"/>
          <w:szCs w:val="26"/>
        </w:rPr>
        <w:t>Figure S.</w:t>
      </w:r>
      <w:r w:rsidR="00445553" w:rsidRPr="008E19DE">
        <w:rPr>
          <w:rFonts w:eastAsiaTheme="majorEastAsia" w:cstheme="minorHAnsi"/>
          <w:i/>
          <w:sz w:val="20"/>
          <w:szCs w:val="26"/>
        </w:rPr>
        <w:t>8</w:t>
      </w:r>
      <w:r w:rsidR="00634B5A" w:rsidRPr="008E19DE">
        <w:rPr>
          <w:rFonts w:eastAsiaTheme="majorEastAsia" w:cstheme="minorHAnsi"/>
          <w:i/>
          <w:sz w:val="20"/>
          <w:szCs w:val="26"/>
        </w:rPr>
        <w:t>. Distribution of the data points on material intensity for buildings in the service sector. The boxes represent the 20</w:t>
      </w:r>
      <w:r w:rsidR="00634B5A" w:rsidRPr="008E19DE">
        <w:rPr>
          <w:rFonts w:eastAsiaTheme="majorEastAsia" w:cstheme="minorHAnsi"/>
          <w:i/>
          <w:sz w:val="20"/>
          <w:szCs w:val="26"/>
          <w:vertAlign w:val="superscript"/>
        </w:rPr>
        <w:t>th</w:t>
      </w:r>
      <w:r w:rsidR="00634B5A" w:rsidRPr="008E19DE">
        <w:rPr>
          <w:rFonts w:eastAsiaTheme="majorEastAsia" w:cstheme="minorHAnsi"/>
          <w:i/>
          <w:sz w:val="20"/>
          <w:szCs w:val="26"/>
        </w:rPr>
        <w:t xml:space="preserve"> to 80 percentile interval range, while the whisker indicate the maximum and minimum values for each of the six materials. Numbers above the plots indicate the number of data points. Though our analysis applies average material intensities </w:t>
      </w:r>
      <w:r w:rsidR="002376BF" w:rsidRPr="008E19DE">
        <w:rPr>
          <w:rFonts w:eastAsiaTheme="majorEastAsia" w:cstheme="minorHAnsi"/>
          <w:i/>
          <w:sz w:val="20"/>
          <w:szCs w:val="26"/>
        </w:rPr>
        <w:t>per service sector building type based on Table S.2 (not shown here)</w:t>
      </w:r>
      <w:r w:rsidRPr="008E19DE">
        <w:rPr>
          <w:rFonts w:eastAsiaTheme="majorEastAsia" w:cstheme="minorHAnsi"/>
          <w:i/>
          <w:sz w:val="20"/>
          <w:szCs w:val="26"/>
        </w:rPr>
        <w:t>, t</w:t>
      </w:r>
      <w:r w:rsidR="002376BF" w:rsidRPr="008E19DE">
        <w:rPr>
          <w:rFonts w:eastAsiaTheme="majorEastAsia" w:cstheme="minorHAnsi"/>
          <w:i/>
          <w:sz w:val="20"/>
          <w:szCs w:val="26"/>
        </w:rPr>
        <w:t>hese graphs are meant to give an impression of the overall data variability. Furthermore, the mean values displayed here are used in the sensitivity analysis.</w:t>
      </w:r>
    </w:p>
    <w:p w14:paraId="57FCDE2F" w14:textId="77777777" w:rsidR="008E19DE" w:rsidRDefault="008E19DE">
      <w:pPr>
        <w:rPr>
          <w:rFonts w:asciiTheme="majorHAnsi" w:eastAsiaTheme="majorEastAsia" w:hAnsiTheme="majorHAnsi" w:cstheme="majorBidi"/>
          <w:color w:val="2E74B5" w:themeColor="accent1" w:themeShade="BF"/>
          <w:sz w:val="26"/>
          <w:szCs w:val="26"/>
        </w:rPr>
      </w:pPr>
    </w:p>
    <w:p w14:paraId="7361C0F5" w14:textId="7AECDF49" w:rsidR="00F945DE" w:rsidRDefault="00F945DE" w:rsidP="003C06C8">
      <w:pPr>
        <w:pStyle w:val="Heading2"/>
        <w:numPr>
          <w:ilvl w:val="0"/>
          <w:numId w:val="2"/>
        </w:numPr>
      </w:pPr>
      <w:bookmarkStart w:id="9" w:name="_Toc10807391"/>
      <w:r>
        <w:t>Detailed results</w:t>
      </w:r>
      <w:bookmarkEnd w:id="9"/>
    </w:p>
    <w:p w14:paraId="114B39A8" w14:textId="77777777" w:rsidR="007B7BEB" w:rsidRDefault="007B7BEB" w:rsidP="007B7BEB">
      <w:pPr>
        <w:pStyle w:val="Heading3"/>
      </w:pPr>
    </w:p>
    <w:p w14:paraId="22E08BD1" w14:textId="0BEF9AB5" w:rsidR="007B7BEB" w:rsidRDefault="007B7BEB" w:rsidP="007B7BEB">
      <w:pPr>
        <w:pStyle w:val="Heading3"/>
      </w:pPr>
      <w:bookmarkStart w:id="10" w:name="_Toc10807392"/>
      <w:r>
        <w:t>5.1 Per capita floorspace demand</w:t>
      </w:r>
      <w:bookmarkEnd w:id="10"/>
    </w:p>
    <w:p w14:paraId="239F8796" w14:textId="5504988F" w:rsidR="007B7BEB" w:rsidRPr="007B7BEB" w:rsidRDefault="009921E6" w:rsidP="007B7BEB">
      <w:r w:rsidRPr="000554B0">
        <w:t>Figure 2 in t</w:t>
      </w:r>
      <w:r w:rsidR="007B7BEB" w:rsidRPr="000554B0">
        <w:t>he main text shows the development of the global building stock in terms of floor space (in m</w:t>
      </w:r>
      <w:r w:rsidR="007B7BEB" w:rsidRPr="000554B0">
        <w:rPr>
          <w:vertAlign w:val="superscript"/>
        </w:rPr>
        <w:t>2</w:t>
      </w:r>
      <w:r w:rsidR="007B7BEB" w:rsidRPr="000554B0">
        <w:t xml:space="preserve">) as a consequence of the development of population as well as affluence. To show the effect of </w:t>
      </w:r>
      <w:r w:rsidRPr="000554B0">
        <w:t>increased affluence only, Figure S.</w:t>
      </w:r>
      <w:r w:rsidR="00445553">
        <w:t>9</w:t>
      </w:r>
      <w:r w:rsidR="005418F5" w:rsidRPr="000554B0">
        <w:t xml:space="preserve"> </w:t>
      </w:r>
      <w:r w:rsidRPr="000554B0">
        <w:t>shows the development of the average per capita floor space (in-use stock) between 2000-2015 and 2035-</w:t>
      </w:r>
      <w:r>
        <w:t xml:space="preserve">2050, for both rural and urban residential purposes and for </w:t>
      </w:r>
      <w:r w:rsidR="00B47BD6">
        <w:t>service-</w:t>
      </w:r>
      <w:r w:rsidR="00B47BD6">
        <w:lastRenderedPageBreak/>
        <w:t xml:space="preserve">related </w:t>
      </w:r>
      <w:r>
        <w:t xml:space="preserve">purposes. The </w:t>
      </w:r>
      <w:r w:rsidR="00B47BD6">
        <w:t>per capita</w:t>
      </w:r>
      <w:r>
        <w:t xml:space="preserve"> floorspace demand </w:t>
      </w:r>
      <w:r w:rsidR="00B47BD6">
        <w:t>in the service sector</w:t>
      </w:r>
      <w:r>
        <w:t xml:space="preserve"> remains well below the residential floor space demand. It can also be seen that the per capita floor space for urban housing is slightly lower than the per capita floor space in rural areas, as elaborated by Daioglou et al.</w:t>
      </w:r>
      <w:r>
        <w:fldChar w:fldCharType="begin" w:fldLock="1"/>
      </w:r>
      <w:r w:rsidR="00B12458">
        <w:instrText>ADDIN CSL_CITATION {"citationItems":[{"id":"ITEM-1","itemData":{"DOI":"10.1016/j.energy.2011.10.044","ISBN":"0360-5442","ISSN":"03605442","abstract":"The residential sector plays an important role in the energy system of developing countries. In this paper we introduce a bottom up simulation model for household energy use. The model describes energy demand for several end-use functions based on a set of physical drivers, such as floor space and heating degree days. The model also recognizes different population groups: i.e. urban and rural households, each distinguishing five income quintiles. The model is applied to analyze possible future developments of residential energy use in five developing world regions: India, China, South East Asia, South Africa and Brazil. We find that in each of these regions cooking is currently the main end-use function, but that other functions, such as space heating, cooling and appliances become more important. At the same time, energy consumption slowly shifts towards modern fuels. The model also shows that climate policy can reduce residential energy emissions, but could also slow down the energy transition away from traditional fuels in low income classes. ?? 2011 Elsevier Ltd.","author":[{"dropping-particle":"","family":"Daioglou","given":"Vassilis","non-dropping-particle":"","parse-names":false,"suffix":""},{"dropping-particle":"","family":"Ruijven","given":"Bas J.","non-dropping-particle":"van","parse-names":false,"suffix":""},{"dropping-particle":"","family":"Vuuren","given":"Detlef P.","non-dropping-particle":"van","parse-names":false,"suffix":""}],"container-title":"Energy","id":"ITEM-1","issue":"1","issued":{"date-parts":[["2012","1"]]},"page":"601-615","title":"Model projections for household energy use in developing countries","type":"article-journal","volume":"37"},"uris":["http://www.mendeley.com/documents/?uuid=64afb493-eaf6-476b-b20e-b72a61460232"]}],"mendeley":{"formattedCitation":"&lt;sup&gt;49&lt;/sup&gt;","plainTextFormattedCitation":"49","previouslyFormattedCitation":"&lt;sup&gt;49&lt;/sup&gt;"},"properties":{"noteIndex":0},"schema":"https://github.com/citation-style-language/schema/raw/master/csl-citation.json"}</w:instrText>
      </w:r>
      <w:r>
        <w:fldChar w:fldCharType="separate"/>
      </w:r>
      <w:r w:rsidR="00445553" w:rsidRPr="00445553">
        <w:rPr>
          <w:noProof/>
          <w:vertAlign w:val="superscript"/>
        </w:rPr>
        <w:t>49</w:t>
      </w:r>
      <w:r>
        <w:fldChar w:fldCharType="end"/>
      </w:r>
      <w:r>
        <w:t xml:space="preserve">. Though this seems to be a logical consequence of compact urban living, driven by scarcity of space in areas with a high population density, the available data on per capita floor space in our database for </w:t>
      </w:r>
      <w:r w:rsidR="00485E6B">
        <w:t>materials in residential buildings seems to suggest the opposite. For a more elaborate discussion about this interesting finding and possible future model improvements, please see Marinova et al.</w:t>
      </w:r>
      <w:r w:rsidR="00485E6B">
        <w:fldChar w:fldCharType="begin" w:fldLock="1"/>
      </w:r>
      <w:r w:rsidR="00B12458">
        <w:instrText>ADDIN CSL_CITATION {"citationItems":[{"id":"ITEM-1","itemData":{"author":[{"dropping-particle":"","family":"Marinova","given":"Sylvia","non-dropping-particle":"","parse-names":false,"suffix":""},{"dropping-particle":"","family":"Deetman","given":"Sebastiaan","non-dropping-particle":"","parse-names":false,"suffix":""},{"dropping-particle":"","family":"Voet","given":"Ester","non-dropping-particle":"Van der","parse-names":false,"suffix":""}],"container-title":"Journal of Cleaner Production","id":"ITEM-1","issue":"this issue","issued":{"date-parts":[["2019"]]},"title":"Construction materials database and stock analysis of the global residential built environment: 1970-2050","type":"article-journal","volume":"in review"},"uris":["http://www.mendeley.com/documents/?uuid=d3e2c233-873b-4fc6-8b36-94b61007effa"]}],"mendeley":{"formattedCitation":"&lt;sup&gt;33&lt;/sup&gt;","plainTextFormattedCitation":"33","previouslyFormattedCitation":"&lt;sup&gt;33&lt;/sup&gt;"},"properties":{"noteIndex":0},"schema":"https://github.com/citation-style-language/schema/raw/master/csl-citation.json"}</w:instrText>
      </w:r>
      <w:r w:rsidR="00485E6B">
        <w:fldChar w:fldCharType="separate"/>
      </w:r>
      <w:r w:rsidR="00445553" w:rsidRPr="00445553">
        <w:rPr>
          <w:noProof/>
          <w:vertAlign w:val="superscript"/>
        </w:rPr>
        <w:t>33</w:t>
      </w:r>
      <w:r w:rsidR="00485E6B">
        <w:fldChar w:fldCharType="end"/>
      </w:r>
      <w:r w:rsidR="00485E6B">
        <w:t>.</w:t>
      </w:r>
    </w:p>
    <w:p w14:paraId="755EC5FA" w14:textId="03C726B8" w:rsidR="007B7B37" w:rsidRDefault="001B52A0" w:rsidP="00485E6B">
      <w:pPr>
        <w:rPr>
          <w:i/>
          <w:sz w:val="20"/>
        </w:rPr>
      </w:pPr>
      <w:r>
        <w:rPr>
          <w:i/>
          <w:noProof/>
          <w:sz w:val="20"/>
        </w:rPr>
        <w:drawing>
          <wp:inline distT="0" distB="0" distL="0" distR="0" wp14:anchorId="7A41EC1E" wp14:editId="3889678A">
            <wp:extent cx="5560060" cy="3731260"/>
            <wp:effectExtent l="0" t="0" r="2540" b="254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0060" cy="3731260"/>
                    </a:xfrm>
                    <a:prstGeom prst="rect">
                      <a:avLst/>
                    </a:prstGeom>
                    <a:noFill/>
                  </pic:spPr>
                </pic:pic>
              </a:graphicData>
            </a:graphic>
          </wp:inline>
        </w:drawing>
      </w:r>
      <w:r w:rsidR="00485E6B">
        <w:br/>
      </w:r>
      <w:r w:rsidR="00485E6B" w:rsidRPr="00485E6B">
        <w:rPr>
          <w:i/>
          <w:sz w:val="20"/>
        </w:rPr>
        <w:t>Figure S.</w:t>
      </w:r>
      <w:r w:rsidR="00445553">
        <w:rPr>
          <w:i/>
          <w:sz w:val="20"/>
        </w:rPr>
        <w:t>9</w:t>
      </w:r>
      <w:r w:rsidR="00485E6B" w:rsidRPr="00485E6B">
        <w:rPr>
          <w:i/>
          <w:sz w:val="20"/>
        </w:rPr>
        <w:t xml:space="preserve">. Development of the average per capita floor space stock by region, for the period 2000-2015 and 2035-2050. </w:t>
      </w:r>
      <w:r w:rsidR="00485E6B">
        <w:rPr>
          <w:i/>
          <w:sz w:val="20"/>
        </w:rPr>
        <w:t>U</w:t>
      </w:r>
      <w:r w:rsidR="00485E6B" w:rsidRPr="00485E6B">
        <w:rPr>
          <w:i/>
          <w:sz w:val="20"/>
        </w:rPr>
        <w:t xml:space="preserve">rban residential buildings </w:t>
      </w:r>
      <w:r w:rsidR="00485E6B">
        <w:rPr>
          <w:i/>
          <w:sz w:val="20"/>
        </w:rPr>
        <w:t xml:space="preserve">are shown </w:t>
      </w:r>
      <w:r w:rsidR="00485E6B" w:rsidRPr="00485E6B">
        <w:rPr>
          <w:i/>
          <w:sz w:val="20"/>
        </w:rPr>
        <w:t xml:space="preserve">in blue, rural residential buildings in orange and </w:t>
      </w:r>
      <w:r w:rsidR="00717FB7">
        <w:rPr>
          <w:i/>
          <w:sz w:val="20"/>
        </w:rPr>
        <w:t>service sector</w:t>
      </w:r>
      <w:r w:rsidR="00717FB7" w:rsidRPr="00485E6B">
        <w:rPr>
          <w:i/>
          <w:sz w:val="20"/>
        </w:rPr>
        <w:t xml:space="preserve"> </w:t>
      </w:r>
      <w:r w:rsidR="00485E6B" w:rsidRPr="00485E6B">
        <w:rPr>
          <w:i/>
          <w:sz w:val="20"/>
        </w:rPr>
        <w:t>floor space in grey.</w:t>
      </w:r>
    </w:p>
    <w:p w14:paraId="38B2B0CF" w14:textId="77D68E6A" w:rsidR="0075043F" w:rsidRDefault="007B7B37" w:rsidP="00485E6B">
      <w:r w:rsidRPr="000554B0">
        <w:t>Figure S.</w:t>
      </w:r>
      <w:r w:rsidR="00445553">
        <w:t>9</w:t>
      </w:r>
      <w:r w:rsidRPr="000554B0">
        <w:t xml:space="preserve"> shows</w:t>
      </w:r>
      <w:r>
        <w:t xml:space="preserve"> the growth of the residential and </w:t>
      </w:r>
      <w:r w:rsidR="00717FB7">
        <w:t>service-related</w:t>
      </w:r>
      <w:r>
        <w:t xml:space="preserve"> per capita floor space demand. As discussed in the main text, the latter grows more rapidly. As a consequence of the regression analysis and the resulting </w:t>
      </w:r>
      <w:r w:rsidR="0075043F">
        <w:t xml:space="preserve">demand curves as shown in Figure S.4a, some </w:t>
      </w:r>
      <w:r w:rsidR="00717FB7">
        <w:t xml:space="preserve">service sector </w:t>
      </w:r>
      <w:r w:rsidR="0075043F">
        <w:t xml:space="preserve">building types grow more rapidly than others. Table S.4 provides the relative contribution of each building type to the total commercial building stock and the resulting growth factors between 2018 and 2050. It shows that demand for retail and offices is expected to grow faster than the demand for other </w:t>
      </w:r>
      <w:r w:rsidR="00717FB7">
        <w:t xml:space="preserve">service-related </w:t>
      </w:r>
      <w:r w:rsidR="0075043F">
        <w:t>building types.</w:t>
      </w:r>
    </w:p>
    <w:p w14:paraId="224B0051" w14:textId="3257EAC3" w:rsidR="00717FB7" w:rsidRDefault="00717FB7" w:rsidP="00485E6B"/>
    <w:p w14:paraId="71D5F9B4" w14:textId="38D95771" w:rsidR="00717FB7" w:rsidRDefault="00717FB7" w:rsidP="00485E6B"/>
    <w:p w14:paraId="04FC5702" w14:textId="7D227F00" w:rsidR="00717FB7" w:rsidRDefault="00717FB7" w:rsidP="00485E6B"/>
    <w:p w14:paraId="2F6F2500" w14:textId="55EB5088" w:rsidR="008E19DE" w:rsidRDefault="008E19DE" w:rsidP="00485E6B"/>
    <w:p w14:paraId="3F7D61F3" w14:textId="77777777" w:rsidR="008E19DE" w:rsidRDefault="008E19DE" w:rsidP="00485E6B"/>
    <w:tbl>
      <w:tblPr>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990"/>
        <w:gridCol w:w="1170"/>
      </w:tblGrid>
      <w:tr w:rsidR="0075043F" w:rsidRPr="0075043F" w14:paraId="65D26ED9" w14:textId="77777777" w:rsidTr="00717FB7">
        <w:trPr>
          <w:trHeight w:val="290"/>
        </w:trPr>
        <w:tc>
          <w:tcPr>
            <w:tcW w:w="1260" w:type="dxa"/>
            <w:tcBorders>
              <w:top w:val="nil"/>
              <w:left w:val="nil"/>
              <w:bottom w:val="nil"/>
              <w:right w:val="single" w:sz="4" w:space="0" w:color="000000"/>
            </w:tcBorders>
            <w:shd w:val="clear" w:color="auto" w:fill="auto"/>
            <w:noWrap/>
            <w:vAlign w:val="bottom"/>
            <w:hideMark/>
          </w:tcPr>
          <w:p w14:paraId="39563533" w14:textId="77777777" w:rsidR="0075043F" w:rsidRPr="0075043F" w:rsidRDefault="0075043F" w:rsidP="0075043F">
            <w:pPr>
              <w:spacing w:after="0" w:line="240" w:lineRule="auto"/>
              <w:rPr>
                <w:rFonts w:ascii="Times New Roman" w:eastAsia="Times New Roman" w:hAnsi="Times New Roman" w:cs="Times New Roman"/>
                <w:sz w:val="24"/>
                <w:szCs w:val="24"/>
              </w:rPr>
            </w:pPr>
          </w:p>
        </w:tc>
        <w:tc>
          <w:tcPr>
            <w:tcW w:w="2070" w:type="dxa"/>
            <w:gridSpan w:val="2"/>
            <w:tcBorders>
              <w:left w:val="single" w:sz="4" w:space="0" w:color="000000"/>
            </w:tcBorders>
            <w:shd w:val="clear" w:color="auto" w:fill="auto"/>
            <w:noWrap/>
            <w:vAlign w:val="bottom"/>
            <w:hideMark/>
          </w:tcPr>
          <w:p w14:paraId="2DE0EF8D" w14:textId="0F7B1BB3" w:rsidR="0075043F" w:rsidRPr="0075043F" w:rsidRDefault="0075043F" w:rsidP="0075043F">
            <w:pPr>
              <w:spacing w:after="0" w:line="240" w:lineRule="auto"/>
              <w:rPr>
                <w:rFonts w:ascii="Calibri" w:eastAsia="Times New Roman" w:hAnsi="Calibri" w:cs="Calibri"/>
                <w:color w:val="000000"/>
              </w:rPr>
            </w:pPr>
            <w:r w:rsidRPr="0075043F">
              <w:rPr>
                <w:rFonts w:ascii="Calibri" w:eastAsia="Times New Roman" w:hAnsi="Calibri" w:cs="Calibri"/>
                <w:color w:val="000000"/>
              </w:rPr>
              <w:t>Share</w:t>
            </w:r>
          </w:p>
        </w:tc>
        <w:tc>
          <w:tcPr>
            <w:tcW w:w="1170" w:type="dxa"/>
            <w:tcBorders>
              <w:top w:val="single" w:sz="4" w:space="0" w:color="FFFFFF" w:themeColor="background1"/>
              <w:right w:val="single" w:sz="4" w:space="0" w:color="FFFFFF" w:themeColor="background1"/>
            </w:tcBorders>
            <w:shd w:val="clear" w:color="auto" w:fill="auto"/>
            <w:noWrap/>
            <w:vAlign w:val="bottom"/>
            <w:hideMark/>
          </w:tcPr>
          <w:p w14:paraId="2952BABB" w14:textId="367A88C8" w:rsidR="0075043F" w:rsidRPr="0075043F" w:rsidRDefault="0075043F" w:rsidP="0075043F">
            <w:pPr>
              <w:spacing w:after="0" w:line="240" w:lineRule="auto"/>
              <w:rPr>
                <w:rFonts w:ascii="Calibri" w:eastAsia="Times New Roman" w:hAnsi="Calibri" w:cs="Calibri"/>
                <w:color w:val="000000"/>
              </w:rPr>
            </w:pPr>
          </w:p>
        </w:tc>
      </w:tr>
      <w:tr w:rsidR="0075043F" w:rsidRPr="0075043F" w14:paraId="3FBC7FF5" w14:textId="77777777" w:rsidTr="00EE4F1A">
        <w:trPr>
          <w:trHeight w:val="290"/>
        </w:trPr>
        <w:tc>
          <w:tcPr>
            <w:tcW w:w="1260" w:type="dxa"/>
            <w:tcBorders>
              <w:top w:val="nil"/>
              <w:left w:val="nil"/>
              <w:bottom w:val="single" w:sz="4" w:space="0" w:color="000000"/>
              <w:right w:val="single" w:sz="4" w:space="0" w:color="000000"/>
            </w:tcBorders>
            <w:shd w:val="clear" w:color="auto" w:fill="auto"/>
            <w:noWrap/>
            <w:vAlign w:val="bottom"/>
            <w:hideMark/>
          </w:tcPr>
          <w:p w14:paraId="54F36FA5" w14:textId="77777777" w:rsidR="0075043F" w:rsidRPr="0075043F" w:rsidRDefault="0075043F" w:rsidP="0075043F">
            <w:pPr>
              <w:spacing w:after="0" w:line="240" w:lineRule="auto"/>
              <w:rPr>
                <w:rFonts w:ascii="Calibri" w:eastAsia="Times New Roman" w:hAnsi="Calibri" w:cs="Calibri"/>
                <w:color w:val="000000"/>
              </w:rPr>
            </w:pPr>
          </w:p>
        </w:tc>
        <w:tc>
          <w:tcPr>
            <w:tcW w:w="1080" w:type="dxa"/>
            <w:tcBorders>
              <w:left w:val="single" w:sz="4" w:space="0" w:color="000000"/>
            </w:tcBorders>
            <w:shd w:val="clear" w:color="auto" w:fill="auto"/>
            <w:noWrap/>
            <w:vAlign w:val="bottom"/>
            <w:hideMark/>
          </w:tcPr>
          <w:p w14:paraId="1A0EED9A" w14:textId="77777777" w:rsidR="0075043F" w:rsidRPr="0075043F" w:rsidRDefault="0075043F" w:rsidP="0075043F">
            <w:pPr>
              <w:spacing w:after="0" w:line="240" w:lineRule="auto"/>
              <w:jc w:val="right"/>
              <w:rPr>
                <w:rFonts w:ascii="Calibri" w:eastAsia="Times New Roman" w:hAnsi="Calibri" w:cs="Calibri"/>
                <w:color w:val="000000"/>
              </w:rPr>
            </w:pPr>
            <w:r w:rsidRPr="0075043F">
              <w:rPr>
                <w:rFonts w:ascii="Calibri" w:eastAsia="Times New Roman" w:hAnsi="Calibri" w:cs="Calibri"/>
                <w:color w:val="000000"/>
              </w:rPr>
              <w:t>2018</w:t>
            </w:r>
          </w:p>
        </w:tc>
        <w:tc>
          <w:tcPr>
            <w:tcW w:w="990" w:type="dxa"/>
            <w:shd w:val="clear" w:color="auto" w:fill="auto"/>
            <w:noWrap/>
            <w:vAlign w:val="bottom"/>
            <w:hideMark/>
          </w:tcPr>
          <w:p w14:paraId="49BDEC8F" w14:textId="77777777" w:rsidR="0075043F" w:rsidRPr="0075043F" w:rsidRDefault="0075043F" w:rsidP="0075043F">
            <w:pPr>
              <w:spacing w:after="0" w:line="240" w:lineRule="auto"/>
              <w:jc w:val="right"/>
              <w:rPr>
                <w:rFonts w:ascii="Calibri" w:eastAsia="Times New Roman" w:hAnsi="Calibri" w:cs="Calibri"/>
                <w:color w:val="000000"/>
              </w:rPr>
            </w:pPr>
            <w:r w:rsidRPr="0075043F">
              <w:rPr>
                <w:rFonts w:ascii="Calibri" w:eastAsia="Times New Roman" w:hAnsi="Calibri" w:cs="Calibri"/>
                <w:color w:val="000000"/>
              </w:rPr>
              <w:t>2050</w:t>
            </w:r>
          </w:p>
        </w:tc>
        <w:tc>
          <w:tcPr>
            <w:tcW w:w="1170" w:type="dxa"/>
            <w:shd w:val="clear" w:color="auto" w:fill="auto"/>
            <w:noWrap/>
            <w:vAlign w:val="bottom"/>
            <w:hideMark/>
          </w:tcPr>
          <w:p w14:paraId="16290BF5" w14:textId="15DE2080" w:rsidR="0075043F" w:rsidRPr="0075043F" w:rsidRDefault="00EE4F1A" w:rsidP="0075043F">
            <w:pPr>
              <w:spacing w:after="0" w:line="240" w:lineRule="auto"/>
              <w:jc w:val="right"/>
              <w:rPr>
                <w:rFonts w:ascii="Calibri" w:eastAsia="Times New Roman" w:hAnsi="Calibri" w:cs="Calibri"/>
                <w:color w:val="000000"/>
              </w:rPr>
            </w:pPr>
            <w:r w:rsidRPr="0075043F">
              <w:rPr>
                <w:rFonts w:ascii="Calibri" w:eastAsia="Times New Roman" w:hAnsi="Calibri" w:cs="Calibri"/>
                <w:color w:val="000000"/>
              </w:rPr>
              <w:t>Growth</w:t>
            </w:r>
          </w:p>
        </w:tc>
      </w:tr>
      <w:tr w:rsidR="00717FB7" w:rsidRPr="0075043F" w14:paraId="00B057D0" w14:textId="77777777" w:rsidTr="00EE4F1A">
        <w:trPr>
          <w:trHeight w:val="290"/>
        </w:trPr>
        <w:tc>
          <w:tcPr>
            <w:tcW w:w="1260" w:type="dxa"/>
            <w:tcBorders>
              <w:top w:val="single" w:sz="4" w:space="0" w:color="000000"/>
            </w:tcBorders>
            <w:shd w:val="clear" w:color="auto" w:fill="auto"/>
            <w:noWrap/>
            <w:vAlign w:val="bottom"/>
            <w:hideMark/>
          </w:tcPr>
          <w:p w14:paraId="3D85BE8F" w14:textId="77777777" w:rsidR="00717FB7" w:rsidRPr="0075043F" w:rsidRDefault="00717FB7" w:rsidP="00717FB7">
            <w:pPr>
              <w:spacing w:after="0" w:line="240" w:lineRule="auto"/>
              <w:rPr>
                <w:rFonts w:ascii="Calibri" w:eastAsia="Times New Roman" w:hAnsi="Calibri" w:cs="Calibri"/>
                <w:color w:val="000000"/>
              </w:rPr>
            </w:pPr>
            <w:r w:rsidRPr="0075043F">
              <w:rPr>
                <w:rFonts w:ascii="Calibri" w:eastAsia="Times New Roman" w:hAnsi="Calibri" w:cs="Calibri"/>
                <w:color w:val="000000"/>
              </w:rPr>
              <w:t>Hotels+</w:t>
            </w:r>
          </w:p>
        </w:tc>
        <w:tc>
          <w:tcPr>
            <w:tcW w:w="1080" w:type="dxa"/>
            <w:shd w:val="clear" w:color="auto" w:fill="auto"/>
            <w:noWrap/>
            <w:vAlign w:val="bottom"/>
            <w:hideMark/>
          </w:tcPr>
          <w:p w14:paraId="4EEC44A5" w14:textId="374883AF"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8%</w:t>
            </w:r>
          </w:p>
        </w:tc>
        <w:tc>
          <w:tcPr>
            <w:tcW w:w="990" w:type="dxa"/>
            <w:shd w:val="clear" w:color="auto" w:fill="auto"/>
            <w:noWrap/>
            <w:vAlign w:val="bottom"/>
            <w:hideMark/>
          </w:tcPr>
          <w:p w14:paraId="59125FD5" w14:textId="7067F177"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9%</w:t>
            </w:r>
          </w:p>
        </w:tc>
        <w:tc>
          <w:tcPr>
            <w:tcW w:w="1170" w:type="dxa"/>
            <w:shd w:val="clear" w:color="auto" w:fill="auto"/>
            <w:noWrap/>
            <w:vAlign w:val="bottom"/>
            <w:hideMark/>
          </w:tcPr>
          <w:p w14:paraId="30F34BD1" w14:textId="547E24D5"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2.71</w:t>
            </w:r>
          </w:p>
        </w:tc>
      </w:tr>
      <w:tr w:rsidR="00717FB7" w:rsidRPr="0075043F" w14:paraId="76771B58" w14:textId="77777777" w:rsidTr="00EE4F1A">
        <w:trPr>
          <w:trHeight w:val="290"/>
        </w:trPr>
        <w:tc>
          <w:tcPr>
            <w:tcW w:w="1260" w:type="dxa"/>
            <w:shd w:val="clear" w:color="auto" w:fill="auto"/>
            <w:noWrap/>
            <w:vAlign w:val="bottom"/>
            <w:hideMark/>
          </w:tcPr>
          <w:p w14:paraId="08257399" w14:textId="77777777" w:rsidR="00717FB7" w:rsidRPr="0075043F" w:rsidRDefault="00717FB7" w:rsidP="00717FB7">
            <w:pPr>
              <w:spacing w:after="0" w:line="240" w:lineRule="auto"/>
              <w:rPr>
                <w:rFonts w:ascii="Calibri" w:eastAsia="Times New Roman" w:hAnsi="Calibri" w:cs="Calibri"/>
                <w:color w:val="000000"/>
              </w:rPr>
            </w:pPr>
            <w:r w:rsidRPr="0075043F">
              <w:rPr>
                <w:rFonts w:ascii="Calibri" w:eastAsia="Times New Roman" w:hAnsi="Calibri" w:cs="Calibri"/>
                <w:color w:val="000000"/>
              </w:rPr>
              <w:t>Offices</w:t>
            </w:r>
          </w:p>
        </w:tc>
        <w:tc>
          <w:tcPr>
            <w:tcW w:w="1080" w:type="dxa"/>
            <w:shd w:val="clear" w:color="auto" w:fill="auto"/>
            <w:noWrap/>
            <w:vAlign w:val="bottom"/>
            <w:hideMark/>
          </w:tcPr>
          <w:p w14:paraId="1FD06E6E" w14:textId="73A525F8"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13%</w:t>
            </w:r>
          </w:p>
        </w:tc>
        <w:tc>
          <w:tcPr>
            <w:tcW w:w="990" w:type="dxa"/>
            <w:shd w:val="clear" w:color="auto" w:fill="auto"/>
            <w:noWrap/>
            <w:vAlign w:val="bottom"/>
            <w:hideMark/>
          </w:tcPr>
          <w:p w14:paraId="1A2939A2" w14:textId="4160719A"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16%</w:t>
            </w:r>
          </w:p>
        </w:tc>
        <w:tc>
          <w:tcPr>
            <w:tcW w:w="1170" w:type="dxa"/>
            <w:shd w:val="clear" w:color="auto" w:fill="auto"/>
            <w:noWrap/>
            <w:vAlign w:val="bottom"/>
            <w:hideMark/>
          </w:tcPr>
          <w:p w14:paraId="3A94B882" w14:textId="23D95F34"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2.96</w:t>
            </w:r>
          </w:p>
        </w:tc>
      </w:tr>
      <w:tr w:rsidR="00717FB7" w:rsidRPr="0075043F" w14:paraId="222EC60E" w14:textId="77777777" w:rsidTr="00EE4F1A">
        <w:trPr>
          <w:trHeight w:val="290"/>
        </w:trPr>
        <w:tc>
          <w:tcPr>
            <w:tcW w:w="1260" w:type="dxa"/>
            <w:shd w:val="clear" w:color="auto" w:fill="auto"/>
            <w:noWrap/>
            <w:vAlign w:val="bottom"/>
            <w:hideMark/>
          </w:tcPr>
          <w:p w14:paraId="5260E578" w14:textId="77777777" w:rsidR="00717FB7" w:rsidRPr="0075043F" w:rsidRDefault="00717FB7" w:rsidP="00717FB7">
            <w:pPr>
              <w:spacing w:after="0" w:line="240" w:lineRule="auto"/>
              <w:rPr>
                <w:rFonts w:ascii="Calibri" w:eastAsia="Times New Roman" w:hAnsi="Calibri" w:cs="Calibri"/>
                <w:color w:val="000000"/>
              </w:rPr>
            </w:pPr>
            <w:r w:rsidRPr="0075043F">
              <w:rPr>
                <w:rFonts w:ascii="Calibri" w:eastAsia="Times New Roman" w:hAnsi="Calibri" w:cs="Calibri"/>
                <w:color w:val="000000"/>
              </w:rPr>
              <w:t>Other</w:t>
            </w:r>
          </w:p>
        </w:tc>
        <w:tc>
          <w:tcPr>
            <w:tcW w:w="1080" w:type="dxa"/>
            <w:shd w:val="clear" w:color="auto" w:fill="auto"/>
            <w:noWrap/>
            <w:vAlign w:val="bottom"/>
            <w:hideMark/>
          </w:tcPr>
          <w:p w14:paraId="6A501903" w14:textId="7E909EFF"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63%</w:t>
            </w:r>
          </w:p>
        </w:tc>
        <w:tc>
          <w:tcPr>
            <w:tcW w:w="990" w:type="dxa"/>
            <w:shd w:val="clear" w:color="auto" w:fill="auto"/>
            <w:noWrap/>
            <w:vAlign w:val="bottom"/>
            <w:hideMark/>
          </w:tcPr>
          <w:p w14:paraId="1DDC81ED" w14:textId="1DE0CBB6"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54%</w:t>
            </w:r>
          </w:p>
        </w:tc>
        <w:tc>
          <w:tcPr>
            <w:tcW w:w="1170" w:type="dxa"/>
            <w:shd w:val="clear" w:color="auto" w:fill="auto"/>
            <w:noWrap/>
            <w:vAlign w:val="bottom"/>
            <w:hideMark/>
          </w:tcPr>
          <w:p w14:paraId="2F7121E9" w14:textId="4CF6D799"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2.10</w:t>
            </w:r>
          </w:p>
        </w:tc>
      </w:tr>
      <w:tr w:rsidR="00717FB7" w:rsidRPr="0075043F" w14:paraId="73EEE9DF" w14:textId="77777777" w:rsidTr="00EE4F1A">
        <w:trPr>
          <w:trHeight w:val="290"/>
        </w:trPr>
        <w:tc>
          <w:tcPr>
            <w:tcW w:w="1260" w:type="dxa"/>
            <w:shd w:val="clear" w:color="auto" w:fill="auto"/>
            <w:noWrap/>
            <w:vAlign w:val="bottom"/>
            <w:hideMark/>
          </w:tcPr>
          <w:p w14:paraId="7770DBD4" w14:textId="77777777" w:rsidR="00717FB7" w:rsidRPr="0075043F" w:rsidRDefault="00717FB7" w:rsidP="00717FB7">
            <w:pPr>
              <w:spacing w:after="0" w:line="240" w:lineRule="auto"/>
              <w:rPr>
                <w:rFonts w:ascii="Calibri" w:eastAsia="Times New Roman" w:hAnsi="Calibri" w:cs="Calibri"/>
                <w:color w:val="000000"/>
              </w:rPr>
            </w:pPr>
            <w:r w:rsidRPr="0075043F">
              <w:rPr>
                <w:rFonts w:ascii="Calibri" w:eastAsia="Times New Roman" w:hAnsi="Calibri" w:cs="Calibri"/>
                <w:color w:val="000000"/>
              </w:rPr>
              <w:t>Retail+</w:t>
            </w:r>
          </w:p>
        </w:tc>
        <w:tc>
          <w:tcPr>
            <w:tcW w:w="1080" w:type="dxa"/>
            <w:shd w:val="clear" w:color="auto" w:fill="auto"/>
            <w:noWrap/>
            <w:vAlign w:val="bottom"/>
            <w:hideMark/>
          </w:tcPr>
          <w:p w14:paraId="3FAE3E90" w14:textId="5C7D6065"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17%</w:t>
            </w:r>
          </w:p>
        </w:tc>
        <w:tc>
          <w:tcPr>
            <w:tcW w:w="990" w:type="dxa"/>
            <w:shd w:val="clear" w:color="auto" w:fill="auto"/>
            <w:noWrap/>
            <w:vAlign w:val="bottom"/>
            <w:hideMark/>
          </w:tcPr>
          <w:p w14:paraId="1AA2FF8B" w14:textId="69D34146"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22%</w:t>
            </w:r>
          </w:p>
        </w:tc>
        <w:tc>
          <w:tcPr>
            <w:tcW w:w="1170" w:type="dxa"/>
            <w:shd w:val="clear" w:color="auto" w:fill="auto"/>
            <w:noWrap/>
            <w:vAlign w:val="bottom"/>
            <w:hideMark/>
          </w:tcPr>
          <w:p w14:paraId="7A323A2E" w14:textId="7B0576CE" w:rsidR="00717FB7" w:rsidRPr="0075043F" w:rsidRDefault="00717FB7" w:rsidP="00717FB7">
            <w:pPr>
              <w:spacing w:after="0" w:line="240" w:lineRule="auto"/>
              <w:jc w:val="right"/>
              <w:rPr>
                <w:rFonts w:ascii="Calibri" w:eastAsia="Times New Roman" w:hAnsi="Calibri" w:cs="Calibri"/>
                <w:color w:val="000000"/>
              </w:rPr>
            </w:pPr>
            <w:r>
              <w:rPr>
                <w:rFonts w:ascii="Calibri" w:hAnsi="Calibri" w:cs="Calibri"/>
                <w:color w:val="000000"/>
              </w:rPr>
              <w:t>3.15</w:t>
            </w:r>
          </w:p>
        </w:tc>
      </w:tr>
    </w:tbl>
    <w:p w14:paraId="3344708F" w14:textId="56A8D945" w:rsidR="00B64802" w:rsidRPr="00B64802" w:rsidRDefault="0075043F" w:rsidP="00485E6B">
      <w:pPr>
        <w:rPr>
          <w:i/>
          <w:sz w:val="20"/>
        </w:rPr>
      </w:pPr>
      <w:r>
        <w:rPr>
          <w:i/>
          <w:sz w:val="20"/>
        </w:rPr>
        <w:t xml:space="preserve">Table S.4. </w:t>
      </w:r>
      <w:r w:rsidR="00EE4F1A">
        <w:rPr>
          <w:i/>
          <w:sz w:val="20"/>
        </w:rPr>
        <w:t xml:space="preserve">The share of </w:t>
      </w:r>
      <w:r w:rsidR="00717FB7">
        <w:rPr>
          <w:i/>
          <w:sz w:val="20"/>
        </w:rPr>
        <w:t xml:space="preserve">service sector </w:t>
      </w:r>
      <w:r w:rsidR="00EE4F1A">
        <w:rPr>
          <w:i/>
          <w:sz w:val="20"/>
        </w:rPr>
        <w:t xml:space="preserve">building types in the total </w:t>
      </w:r>
      <w:r w:rsidR="00717FB7">
        <w:rPr>
          <w:i/>
          <w:sz w:val="20"/>
        </w:rPr>
        <w:t xml:space="preserve">service-related </w:t>
      </w:r>
      <w:r w:rsidR="00EE4F1A">
        <w:rPr>
          <w:i/>
          <w:sz w:val="20"/>
        </w:rPr>
        <w:t xml:space="preserve">building stock, and the resulting growth factors per building type. Using the same definition of building types </w:t>
      </w:r>
      <w:r w:rsidR="00EE4F1A" w:rsidRPr="000554B0">
        <w:rPr>
          <w:i/>
          <w:sz w:val="20"/>
        </w:rPr>
        <w:t>as in Table S.2.</w:t>
      </w:r>
    </w:p>
    <w:p w14:paraId="0BAD0E0F" w14:textId="50DBA869" w:rsidR="00485E6B" w:rsidRDefault="00B64802" w:rsidP="00B64802">
      <w:pPr>
        <w:pStyle w:val="Heading3"/>
      </w:pPr>
      <w:bookmarkStart w:id="11" w:name="_Toc10807393"/>
      <w:r>
        <w:t>5.2 Detailed model outcomes</w:t>
      </w:r>
      <w:bookmarkEnd w:id="11"/>
    </w:p>
    <w:p w14:paraId="5B4B5CE1" w14:textId="530B3184" w:rsidR="00B64802" w:rsidRDefault="00485E6B" w:rsidP="00485E6B">
      <w:r>
        <w:t xml:space="preserve">The full set of model outcomes is available from the Supplementary Data, which provides data for the entire modelling period (1970-2050), for all 26 IMAGE regions, for 4 residential building types as well as 4 </w:t>
      </w:r>
      <w:r w:rsidR="003F509E">
        <w:t xml:space="preserve">service sector </w:t>
      </w:r>
      <w:r>
        <w:t xml:space="preserve">building types, and for </w:t>
      </w:r>
      <w:r w:rsidR="00B64802">
        <w:t>floorspace (in m</w:t>
      </w:r>
      <w:r w:rsidR="00B64802">
        <w:rPr>
          <w:vertAlign w:val="superscript"/>
        </w:rPr>
        <w:t>2</w:t>
      </w:r>
      <w:r w:rsidR="00B64802">
        <w:t xml:space="preserve">) as well as material demand (in kgs), it contains the model outcomes for the building stock, but also for the inflow and outflow as derived from the stock. </w:t>
      </w:r>
      <w:r w:rsidR="00601077">
        <w:t xml:space="preserve">As discussed in the main text, it is </w:t>
      </w:r>
      <w:r w:rsidR="00AF1285">
        <w:t>not advisable to use detailed regional outcomes without critical reflection. We present a first attempt to model the global building stock, with regional detai</w:t>
      </w:r>
      <w:r w:rsidR="00E3422F">
        <w:t xml:space="preserve">l. All assumptions are listed transparently where possible, but we cannot guarantee that the results make sense at the highest level of detail. We decided to provide the detailed results so that priorities for model improvement can be identified. We encourage people to use and expand this model as they see fit. Therefore, the model and </w:t>
      </w:r>
      <w:r w:rsidR="001E4870">
        <w:t xml:space="preserve">the associated data </w:t>
      </w:r>
      <w:r w:rsidR="002F16BA">
        <w:t>are</w:t>
      </w:r>
      <w:r w:rsidR="00E3422F">
        <w:t xml:space="preserve"> made available on Github</w:t>
      </w:r>
      <w:r w:rsidR="001E4870">
        <w:t>, under a creative commons license</w:t>
      </w:r>
      <w:r w:rsidR="00B12458">
        <w:fldChar w:fldCharType="begin" w:fldLock="1"/>
      </w:r>
      <w:r w:rsidR="00B12458">
        <w:instrText>ADDIN CSL_CITATION {"citationItems":[{"id":"ITEM-1","itemData":{"URL":"https://github.com/SPDeetman/BUMA","author":[{"dropping-particle":"","family":"Deetman","given":"S","non-dropping-particle":"","parse-names":false,"suffix":""}],"id":"ITEM-1","issued":{"date-parts":[["2019"]]},"title":"repository for the building materials model","type":"webpage"},"uris":["http://www.mendeley.com/documents/?uuid=43fb9a61-1498-4e1f-9431-12c2ead4b39c"]}],"mendeley":{"formattedCitation":"&lt;sup&gt;50&lt;/sup&gt;","plainTextFormattedCitation":"50"},"properties":{"noteIndex":0},"schema":"https://github.com/citation-style-language/schema/raw/master/csl-citation.json"}</w:instrText>
      </w:r>
      <w:r w:rsidR="00B12458">
        <w:fldChar w:fldCharType="separate"/>
      </w:r>
      <w:r w:rsidR="00B12458" w:rsidRPr="00B12458">
        <w:rPr>
          <w:noProof/>
          <w:vertAlign w:val="superscript"/>
        </w:rPr>
        <w:t>50</w:t>
      </w:r>
      <w:r w:rsidR="00B12458">
        <w:fldChar w:fldCharType="end"/>
      </w:r>
      <w:r w:rsidR="00E3422F">
        <w:t>.</w:t>
      </w:r>
      <w:r w:rsidR="0099209A">
        <w:t xml:space="preserve"> </w:t>
      </w:r>
    </w:p>
    <w:p w14:paraId="290CCA69" w14:textId="4E920F15" w:rsidR="00EE4F1A" w:rsidRDefault="00B64802" w:rsidP="00485E6B">
      <w:r>
        <w:t>To show the contribution of different building types on the demand of construction materials and the consequential outflow of scrap building materials</w:t>
      </w:r>
      <w:r w:rsidRPr="000554B0">
        <w:t>, Figure S.</w:t>
      </w:r>
      <w:r w:rsidR="00445553">
        <w:t>10</w:t>
      </w:r>
      <w:r w:rsidR="005418F5" w:rsidRPr="000554B0">
        <w:t xml:space="preserve"> </w:t>
      </w:r>
      <w:r w:rsidRPr="000554B0">
        <w:t>below</w:t>
      </w:r>
      <w:r>
        <w:t xml:space="preserve"> shows the material flows by the end of the modelling period (average of 2045-2050) for each building type, and for all six materials. </w:t>
      </w:r>
    </w:p>
    <w:p w14:paraId="42EE4C65" w14:textId="77777777" w:rsidR="00EE4F1A" w:rsidRDefault="00EE4F1A">
      <w:r>
        <w:br w:type="page"/>
      </w:r>
    </w:p>
    <w:p w14:paraId="4DC23436" w14:textId="4C9E0E98" w:rsidR="00F456A7" w:rsidRDefault="00095EA3" w:rsidP="00F456A7">
      <w:pPr>
        <w:pStyle w:val="ListParagraph"/>
      </w:pPr>
      <w:r>
        <w:rPr>
          <w:noProof/>
        </w:rPr>
        <w:lastRenderedPageBreak/>
        <w:drawing>
          <wp:inline distT="0" distB="0" distL="0" distR="0" wp14:anchorId="3F116290" wp14:editId="32087198">
            <wp:extent cx="1662324" cy="21767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2692" r="42206"/>
                    <a:stretch/>
                  </pic:blipFill>
                  <pic:spPr bwMode="auto">
                    <a:xfrm>
                      <a:off x="0" y="0"/>
                      <a:ext cx="1671389" cy="21886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82B84F" wp14:editId="46183349">
            <wp:extent cx="1622663" cy="216823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40725"/>
                    <a:stretch/>
                  </pic:blipFill>
                  <pic:spPr bwMode="auto">
                    <a:xfrm>
                      <a:off x="0" y="0"/>
                      <a:ext cx="1642450" cy="21946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4B2EAA" wp14:editId="1533CEAD">
            <wp:extent cx="3250612" cy="2602230"/>
            <wp:effectExtent l="0" t="0" r="698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29952"/>
                    <a:stretch/>
                  </pic:blipFill>
                  <pic:spPr bwMode="auto">
                    <a:xfrm>
                      <a:off x="0" y="0"/>
                      <a:ext cx="3252298" cy="2603580"/>
                    </a:xfrm>
                    <a:prstGeom prst="rect">
                      <a:avLst/>
                    </a:prstGeom>
                    <a:noFill/>
                    <a:ln>
                      <a:noFill/>
                    </a:ln>
                    <a:extLst>
                      <a:ext uri="{53640926-AAD7-44D8-BBD7-CCE9431645EC}">
                        <a14:shadowObscured xmlns:a14="http://schemas.microsoft.com/office/drawing/2010/main"/>
                      </a:ext>
                    </a:extLst>
                  </pic:spPr>
                </pic:pic>
              </a:graphicData>
            </a:graphic>
          </wp:inline>
        </w:drawing>
      </w:r>
    </w:p>
    <w:p w14:paraId="62C88298" w14:textId="5D96F7C0" w:rsidR="003E11E0" w:rsidRDefault="00095EA3" w:rsidP="00EE4F1A">
      <w:pPr>
        <w:pStyle w:val="ListParagraph"/>
        <w:rPr>
          <w:i/>
          <w:sz w:val="20"/>
        </w:rPr>
      </w:pPr>
      <w:r>
        <w:rPr>
          <w:i/>
          <w:noProof/>
          <w:sz w:val="20"/>
        </w:rPr>
        <w:drawing>
          <wp:inline distT="0" distB="0" distL="0" distR="0" wp14:anchorId="165BF63F" wp14:editId="2FD833F2">
            <wp:extent cx="4635426" cy="23500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2791" b="7115"/>
                    <a:stretch/>
                  </pic:blipFill>
                  <pic:spPr bwMode="auto">
                    <a:xfrm>
                      <a:off x="0" y="0"/>
                      <a:ext cx="4645007" cy="2354918"/>
                    </a:xfrm>
                    <a:prstGeom prst="rect">
                      <a:avLst/>
                    </a:prstGeom>
                    <a:noFill/>
                    <a:ln>
                      <a:noFill/>
                    </a:ln>
                    <a:extLst>
                      <a:ext uri="{53640926-AAD7-44D8-BBD7-CCE9431645EC}">
                        <a14:shadowObscured xmlns:a14="http://schemas.microsoft.com/office/drawing/2010/main"/>
                      </a:ext>
                    </a:extLst>
                  </pic:spPr>
                </pic:pic>
              </a:graphicData>
            </a:graphic>
          </wp:inline>
        </w:drawing>
      </w:r>
    </w:p>
    <w:p w14:paraId="1188DCF8" w14:textId="4D7E98A8" w:rsidR="00525D51" w:rsidRDefault="001E4870" w:rsidP="00DF5F8A">
      <w:pPr>
        <w:pStyle w:val="ListParagraph"/>
        <w:rPr>
          <w:i/>
          <w:sz w:val="20"/>
        </w:rPr>
      </w:pPr>
      <w:r w:rsidRPr="001E4870">
        <w:rPr>
          <w:i/>
          <w:sz w:val="20"/>
        </w:rPr>
        <w:t>Figure S.</w:t>
      </w:r>
      <w:r w:rsidR="00445553">
        <w:rPr>
          <w:i/>
          <w:sz w:val="20"/>
        </w:rPr>
        <w:t>10</w:t>
      </w:r>
      <w:r w:rsidRPr="001E4870">
        <w:rPr>
          <w:i/>
          <w:sz w:val="20"/>
        </w:rPr>
        <w:t xml:space="preserve">. Ratio between the total inflow and outflow of building materials by the end of the modelling period (average of the period 2045-2050). The contribution of </w:t>
      </w:r>
      <w:r w:rsidR="00CE255F">
        <w:rPr>
          <w:i/>
          <w:sz w:val="20"/>
        </w:rPr>
        <w:t>service sector</w:t>
      </w:r>
      <w:r w:rsidRPr="001E4870">
        <w:rPr>
          <w:i/>
          <w:sz w:val="20"/>
        </w:rPr>
        <w:t xml:space="preserve"> building types (in grey) and residential building types (in blue) is shown. </w:t>
      </w:r>
      <w:r w:rsidR="0075043F">
        <w:rPr>
          <w:i/>
          <w:sz w:val="20"/>
        </w:rPr>
        <w:t xml:space="preserve">For the definition of residential building types, please see </w:t>
      </w:r>
      <w:r w:rsidR="0075043F">
        <w:rPr>
          <w:i/>
          <w:sz w:val="20"/>
        </w:rPr>
        <w:fldChar w:fldCharType="begin" w:fldLock="1"/>
      </w:r>
      <w:r w:rsidR="00B12458">
        <w:rPr>
          <w:i/>
          <w:sz w:val="20"/>
        </w:rPr>
        <w:instrText>ADDIN CSL_CITATION {"citationItems":[{"id":"ITEM-1","itemData":{"author":[{"dropping-particle":"","family":"Marinova","given":"Sylvia","non-dropping-particle":"","parse-names":false,"suffix":""},{"dropping-particle":"","family":"Deetman","given":"Sebastiaan","non-dropping-particle":"","parse-names":false,"suffix":""},{"dropping-particle":"","family":"Voet","given":"Ester","non-dropping-particle":"Van der","parse-names":false,"suffix":""}],"container-title":"Journal of Cleaner Production","id":"ITEM-1","issue":"this issue","issued":{"date-parts":[["2019"]]},"title":"Construction materials database and stock analysis of the global residential built environment: 1970-2050","type":"article-journal","volume":"in review"},"uris":["http://www.mendeley.com/documents/?uuid=d3e2c233-873b-4fc6-8b36-94b61007effa"]}],"mendeley":{"formattedCitation":"&lt;sup&gt;33&lt;/sup&gt;","plainTextFormattedCitation":"33","previouslyFormattedCitation":"&lt;sup&gt;33&lt;/sup&gt;"},"properties":{"noteIndex":0},"schema":"https://github.com/citation-style-language/schema/raw/master/csl-citation.json"}</w:instrText>
      </w:r>
      <w:r w:rsidR="0075043F">
        <w:rPr>
          <w:i/>
          <w:sz w:val="20"/>
        </w:rPr>
        <w:fldChar w:fldCharType="separate"/>
      </w:r>
      <w:r w:rsidR="00445553" w:rsidRPr="00445553">
        <w:rPr>
          <w:noProof/>
          <w:sz w:val="20"/>
          <w:vertAlign w:val="superscript"/>
        </w:rPr>
        <w:t>33</w:t>
      </w:r>
      <w:r w:rsidR="0075043F">
        <w:rPr>
          <w:i/>
          <w:sz w:val="20"/>
        </w:rPr>
        <w:fldChar w:fldCharType="end"/>
      </w:r>
      <w:r w:rsidR="0075043F">
        <w:rPr>
          <w:i/>
          <w:sz w:val="20"/>
        </w:rPr>
        <w:t xml:space="preserve">. The definition of </w:t>
      </w:r>
      <w:r w:rsidR="003F509E">
        <w:rPr>
          <w:i/>
          <w:sz w:val="20"/>
        </w:rPr>
        <w:t xml:space="preserve">service </w:t>
      </w:r>
      <w:r w:rsidR="0075043F">
        <w:rPr>
          <w:i/>
          <w:sz w:val="20"/>
        </w:rPr>
        <w:t xml:space="preserve">building types is similar to Table </w:t>
      </w:r>
      <w:r w:rsidR="0075043F" w:rsidRPr="000554B0">
        <w:rPr>
          <w:i/>
          <w:sz w:val="20"/>
        </w:rPr>
        <w:t>S.2.</w:t>
      </w:r>
    </w:p>
    <w:p w14:paraId="28B862E7" w14:textId="77777777" w:rsidR="0028074D" w:rsidRDefault="00525D51" w:rsidP="0028074D">
      <w:pPr>
        <w:pStyle w:val="Heading2"/>
        <w:numPr>
          <w:ilvl w:val="0"/>
          <w:numId w:val="2"/>
        </w:numPr>
      </w:pPr>
      <w:r>
        <w:rPr>
          <w:i/>
          <w:sz w:val="20"/>
        </w:rPr>
        <w:br w:type="page"/>
      </w:r>
      <w:bookmarkStart w:id="12" w:name="_Toc10807394"/>
      <w:r w:rsidR="0028074D">
        <w:lastRenderedPageBreak/>
        <w:t>Sensitivity Analysis</w:t>
      </w:r>
      <w:bookmarkEnd w:id="12"/>
    </w:p>
    <w:p w14:paraId="44B6FA0B" w14:textId="77777777" w:rsidR="0028074D" w:rsidRDefault="0028074D" w:rsidP="0028074D"/>
    <w:p w14:paraId="3AA34A15" w14:textId="77777777" w:rsidR="0028074D" w:rsidRDefault="0028074D" w:rsidP="0028074D">
      <w:pPr>
        <w:pStyle w:val="Heading3"/>
      </w:pPr>
      <w:bookmarkStart w:id="13" w:name="_Toc10807395"/>
      <w:r>
        <w:t>6.1. Description of Four Sensitivity Variants</w:t>
      </w:r>
      <w:bookmarkEnd w:id="13"/>
    </w:p>
    <w:p w14:paraId="255DCDC4" w14:textId="77777777" w:rsidR="0028074D" w:rsidRDefault="0028074D" w:rsidP="0028074D"/>
    <w:p w14:paraId="1AAB8C48" w14:textId="77777777" w:rsidR="0028074D" w:rsidRDefault="0028074D" w:rsidP="0028074D">
      <w:pPr>
        <w:pStyle w:val="ListParagraph"/>
        <w:numPr>
          <w:ilvl w:val="0"/>
          <w:numId w:val="5"/>
        </w:numPr>
      </w:pPr>
      <w:r>
        <w:t>Mean Material Intensity (Mean MI)</w:t>
      </w:r>
    </w:p>
    <w:p w14:paraId="423162D9" w14:textId="5F84C707" w:rsidR="0028074D" w:rsidRDefault="0028074D" w:rsidP="0028074D">
      <w:r>
        <w:t>Based on the material intensity database as described by Marinova et al.</w:t>
      </w:r>
      <w:r w:rsidR="00E50204">
        <w:fldChar w:fldCharType="begin" w:fldLock="1"/>
      </w:r>
      <w:r w:rsidR="00B12458">
        <w:instrText>ADDIN CSL_CITATION {"citationItems":[{"id":"ITEM-1","itemData":{"author":[{"dropping-particle":"","family":"Marinova","given":"Sylvia","non-dropping-particle":"","parse-names":false,"suffix":""},{"dropping-particle":"","family":"Deetman","given":"Sebastiaan","non-dropping-particle":"","parse-names":false,"suffix":""},{"dropping-particle":"","family":"Voet","given":"Ester","non-dropping-particle":"Van der","parse-names":false,"suffix":""}],"container-title":"Journal of Cleaner Production","id":"ITEM-1","issue":"this issue","issued":{"date-parts":[["2019"]]},"title":"Construction materials database and stock analysis of the global residential built environment: 1970-2050","type":"article-journal","volume":"in review"},"uris":["http://www.mendeley.com/documents/?uuid=d3e2c233-873b-4fc6-8b36-94b61007effa"]}],"mendeley":{"formattedCitation":"&lt;sup&gt;33&lt;/sup&gt;","plainTextFormattedCitation":"33","previouslyFormattedCitation":"&lt;sup&gt;33&lt;/sup&gt;"},"properties":{"noteIndex":0},"schema":"https://github.com/citation-style-language/schema/raw/master/csl-citation.json"}</w:instrText>
      </w:r>
      <w:r w:rsidR="00E50204">
        <w:fldChar w:fldCharType="separate"/>
      </w:r>
      <w:r w:rsidR="00445553" w:rsidRPr="00445553">
        <w:rPr>
          <w:noProof/>
          <w:vertAlign w:val="superscript"/>
        </w:rPr>
        <w:t>33</w:t>
      </w:r>
      <w:r w:rsidR="00E50204">
        <w:fldChar w:fldCharType="end"/>
      </w:r>
      <w:r>
        <w:t xml:space="preserve"> we defined a sensitivity variant in which we ignore the regional detail on material intensities of residential buildings, but instead assume a global mean material intensity for each of the four residential building types and the six materials, based on all available studies. Here, we further explore the effects on inflow and outflow related indicators. Please note that when no literature was available on the residential material intensities of a particular region, a global average was already used in the default analysis (main text). This means that for the residential buildings, this alternative assumption can be used to identify the sensitivity of overall outcomes to the regional assumptions on material intensities. </w:t>
      </w:r>
    </w:p>
    <w:p w14:paraId="7BA9FD9D" w14:textId="3CED9D44" w:rsidR="0028074D" w:rsidRDefault="0028074D" w:rsidP="0028074D">
      <w:r>
        <w:t>Material intensities in service sector buildings, however, are not regionally specified to begin with. So</w:t>
      </w:r>
      <w:r w:rsidR="008E19DE">
        <w:t>,</w:t>
      </w:r>
      <w:r>
        <w:t xml:space="preserve"> to come up with a sensitivity variant based on the material intensities described in this paper, we defined the mean material intensities for service sector buildings based on all available studies describing the service-related building types. Th</w:t>
      </w:r>
      <w:r w:rsidR="00E47C7D">
        <w:t>e mean values used are shown</w:t>
      </w:r>
      <w:r>
        <w:t xml:space="preserve"> </w:t>
      </w:r>
      <w:r w:rsidR="00E47C7D">
        <w:t>in Figure S.</w:t>
      </w:r>
      <w:r w:rsidR="00445553">
        <w:t>8</w:t>
      </w:r>
      <w:r w:rsidR="00E47C7D">
        <w:t xml:space="preserve"> and </w:t>
      </w:r>
      <w:r>
        <w:t xml:space="preserve">represent the assumption that all service-related building types would have a similar material demand.  </w:t>
      </w:r>
    </w:p>
    <w:p w14:paraId="4373679F" w14:textId="77777777" w:rsidR="0028074D" w:rsidRDefault="0028074D" w:rsidP="0028074D">
      <w:pPr>
        <w:pStyle w:val="ListParagraph"/>
        <w:numPr>
          <w:ilvl w:val="0"/>
          <w:numId w:val="5"/>
        </w:numPr>
      </w:pPr>
      <w:r>
        <w:t>Normal distribution for building lifetimes</w:t>
      </w:r>
    </w:p>
    <w:p w14:paraId="3D5B14B4" w14:textId="77777777" w:rsidR="0028074D" w:rsidRDefault="0028074D" w:rsidP="0028074D">
      <w:r>
        <w:t xml:space="preserve">Stock dynamics in both residential and service sector buildings are based on the assumed Weibull lifetime distributions. To see the effect of different lifetime profiles, we defined a sensitivity variant based on a normal distribution. </w:t>
      </w:r>
    </w:p>
    <w:p w14:paraId="6A362457" w14:textId="0E0DD530" w:rsidR="0028074D" w:rsidRDefault="0028074D" w:rsidP="0028074D">
      <w:r>
        <w:t>We assumed the same mean lifetimes as in the regular analysis, but defined the normal lifetime distribution using a standard-deviation that would make sure that the distribution would be above zero (as opposed to the Weibull distribution, the normal distribution continues below zero, leading to unrealistic assumptions). To this end we linearly increased the standard deviation from 10 at a mean lifetime of 35 years to 20 at a mean lifetime of 60 years, leading to an increasing spread of the lifetime distribution at higher expected lifetimes (based on literature, see Table S.1). The resulting lifetimes can be seen in Figure S.1</w:t>
      </w:r>
      <w:r w:rsidR="00445553">
        <w:t>1</w:t>
      </w:r>
      <w:r>
        <w:t xml:space="preserve">. To avoid disregarding the mass balance by any remaining ‘tail’ of the distribution before the </w:t>
      </w:r>
      <w:r w:rsidR="008E19DE">
        <w:t>building’s</w:t>
      </w:r>
      <w:r>
        <w:t xml:space="preserve"> actual lifetime, we actually deploy a folded normal distribution, which presents only a very slight deviation from the normal distribution during the first few years after construction. This method was applied for both residential and service sector buildings.</w:t>
      </w:r>
    </w:p>
    <w:p w14:paraId="3A1D0D79" w14:textId="77777777" w:rsidR="0028074D" w:rsidRDefault="0028074D" w:rsidP="0028074D"/>
    <w:p w14:paraId="079ABC11" w14:textId="77777777" w:rsidR="0028074D" w:rsidRDefault="0028074D" w:rsidP="0028074D"/>
    <w:p w14:paraId="562D9B3C" w14:textId="77777777" w:rsidR="0028074D" w:rsidRDefault="0028074D" w:rsidP="0028074D"/>
    <w:p w14:paraId="2EA93C71" w14:textId="77777777" w:rsidR="0028074D" w:rsidRDefault="0028074D" w:rsidP="0028074D"/>
    <w:p w14:paraId="2D808741" w14:textId="0141238B" w:rsidR="0028074D" w:rsidRPr="00525D51" w:rsidRDefault="0028074D" w:rsidP="0028074D">
      <w:pPr>
        <w:rPr>
          <w:i/>
          <w:sz w:val="20"/>
        </w:rPr>
      </w:pPr>
      <w:r>
        <w:rPr>
          <w:noProof/>
        </w:rPr>
        <w:lastRenderedPageBreak/>
        <w:drawing>
          <wp:anchor distT="0" distB="0" distL="114300" distR="114300" simplePos="0" relativeHeight="251817984" behindDoc="0" locked="0" layoutInCell="1" allowOverlap="1" wp14:anchorId="6B792E93" wp14:editId="22FC9F09">
            <wp:simplePos x="0" y="0"/>
            <wp:positionH relativeFrom="margin">
              <wp:align>left</wp:align>
            </wp:positionH>
            <wp:positionV relativeFrom="paragraph">
              <wp:posOffset>6350</wp:posOffset>
            </wp:positionV>
            <wp:extent cx="3701415" cy="18897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2298"/>
                    <a:stretch/>
                  </pic:blipFill>
                  <pic:spPr bwMode="auto">
                    <a:xfrm>
                      <a:off x="0" y="0"/>
                      <a:ext cx="3701415" cy="188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25D51">
        <w:rPr>
          <w:i/>
          <w:sz w:val="20"/>
        </w:rPr>
        <w:t>Figure S.</w:t>
      </w:r>
      <w:r>
        <w:rPr>
          <w:i/>
          <w:sz w:val="20"/>
        </w:rPr>
        <w:t>1</w:t>
      </w:r>
      <w:r w:rsidR="00445553">
        <w:rPr>
          <w:i/>
          <w:sz w:val="20"/>
        </w:rPr>
        <w:t>1</w:t>
      </w:r>
      <w:r w:rsidRPr="00525D51">
        <w:rPr>
          <w:i/>
          <w:sz w:val="20"/>
        </w:rPr>
        <w:t>. Normal lifetime distributions used in the sensitivity variant. We assumed that an increasing mean lifetime leads to an increasing standard deviation as shown here.</w:t>
      </w:r>
    </w:p>
    <w:p w14:paraId="36D1980A" w14:textId="77777777" w:rsidR="0028074D" w:rsidRDefault="0028074D" w:rsidP="0028074D"/>
    <w:p w14:paraId="21C27FCA" w14:textId="77777777" w:rsidR="0028074D" w:rsidRDefault="0028074D" w:rsidP="0028074D"/>
    <w:p w14:paraId="3DAD3F26" w14:textId="77777777" w:rsidR="0028074D" w:rsidRDefault="0028074D" w:rsidP="0028074D"/>
    <w:p w14:paraId="3A5C7BAF" w14:textId="77777777" w:rsidR="0028074D" w:rsidRDefault="0028074D" w:rsidP="0028074D"/>
    <w:p w14:paraId="0901AB1D" w14:textId="77777777" w:rsidR="0028074D" w:rsidRDefault="0028074D" w:rsidP="0028074D">
      <w:pPr>
        <w:pStyle w:val="ListParagraph"/>
        <w:numPr>
          <w:ilvl w:val="0"/>
          <w:numId w:val="5"/>
        </w:numPr>
      </w:pPr>
      <w:r>
        <w:t>Increasing Alpha with 10%</w:t>
      </w:r>
    </w:p>
    <w:p w14:paraId="200E3667" w14:textId="55A4B816" w:rsidR="0028074D" w:rsidRDefault="0028074D" w:rsidP="0028074D">
      <w:r>
        <w:t>The Gompertz parameters resulting from the regression analysis are key in determining the demand for service sector buildings. In particular the value of alpha, as it determines the maximum value for the per capita demand of service-related floor space. In the regular analysis the value of alpha was maximized to represent the highest value in the available data in the Global Building Stock Database by Navigant Research</w:t>
      </w:r>
      <w:r>
        <w:fldChar w:fldCharType="begin" w:fldLock="1"/>
      </w:r>
      <w:r w:rsidR="00E50204">
        <w:instrText>ADDIN CSL_CITATION {"citationItems":[{"id":"ITEM-1","itemData":{"author":[{"dropping-particle":"","family":"Machinchick","given":"Tom","non-dropping-particle":"","parse-names":false,"suffix":""},{"dropping-particle":"","family":"Freas","given":"Benjamin","non-dropping-particle":"","parse-names":false,"suffix":""}],"id":"ITEM-1","issued":{"date-parts":[["2018"]]},"number-of-pages":"83","title":"Global Building Stock Database, Commercial and Residential Building Floor Space by Country and Building Type: 2017-2026","type":"report"},"uris":["http://www.mendeley.com/documents/?uuid=ea04a29f-d2ca-4df4-af7d-47d0cc52aff2"]}],"mendeley":{"formattedCitation":"&lt;sup&gt;2&lt;/sup&gt;","plainTextFormattedCitation":"2","previouslyFormattedCitation":"&lt;sup&gt;2&lt;/sup&gt;"},"properties":{"noteIndex":0},"schema":"https://github.com/citation-style-language/schema/raw/master/csl-citation.json"}</w:instrText>
      </w:r>
      <w:r>
        <w:fldChar w:fldCharType="separate"/>
      </w:r>
      <w:r w:rsidR="00E50204" w:rsidRPr="00E50204">
        <w:rPr>
          <w:noProof/>
          <w:vertAlign w:val="superscript"/>
        </w:rPr>
        <w:t>2</w:t>
      </w:r>
      <w:r>
        <w:fldChar w:fldCharType="end"/>
      </w:r>
      <w:r>
        <w:t>. Our model thus assumes that demand for service sector buildings will grow towards what is currently known to be the highest value. However, wealthy regions like the United States seem to be approaching that maximum already</w:t>
      </w:r>
      <w:r>
        <w:fldChar w:fldCharType="begin" w:fldLock="1"/>
      </w:r>
      <w:r w:rsidR="00B12458">
        <w:instrText>ADDIN CSL_CITATION {"citationItems":[{"id":"ITEM-1","itemData":{"URL":"https://www.eia.gov/consumption/commercial/","author":[{"dropping-particle":"","family":"IEA","given":"","non-dropping-particle":"","parse-names":false,"suffix":""}],"id":"ITEM-1","issued":{"date-parts":[["2012"]]},"title":"Commercial Buildings Energy Consumption Survey (CBECS)","type":"webpage"},"uris":["http://www.mendeley.com/documents/?uuid=06835113-7c4f-457d-a9e4-a1f816e49b23"]}],"mendeley":{"formattedCitation":"&lt;sup&gt;51&lt;/sup&gt;","plainTextFormattedCitation":"51","previouslyFormattedCitation":"&lt;sup&gt;50&lt;/sup&gt;"},"properties":{"noteIndex":0},"schema":"https://github.com/citation-style-language/schema/raw/master/csl-citation.json"}</w:instrText>
      </w:r>
      <w:r>
        <w:fldChar w:fldCharType="separate"/>
      </w:r>
      <w:r w:rsidR="00B12458" w:rsidRPr="00B12458">
        <w:rPr>
          <w:noProof/>
          <w:vertAlign w:val="superscript"/>
        </w:rPr>
        <w:t>51</w:t>
      </w:r>
      <w:r>
        <w:fldChar w:fldCharType="end"/>
      </w:r>
      <w:r>
        <w:t xml:space="preserve">. To assess the effect of allowing a higher per capita service sector floorspace demand we defined a sensitivity variant that allows for a 10% higher value of alpha for the overall service sector. Mind that we only change the alpha for the total service sector, while keeping the original Gompertz parameters for the individual building types. As such, we assume that the sub-division of service-related building types remains the same.  </w:t>
      </w:r>
    </w:p>
    <w:p w14:paraId="5C49D01A" w14:textId="0F892ABE" w:rsidR="0028074D" w:rsidRDefault="0028074D" w:rsidP="0028074D">
      <w:r>
        <w:t xml:space="preserve">If we only increase the value of alpha by 10%, the service-related building stock would simply increase by 10%, leading to a corresponding 10% increase in annual demand for each of the materials. This shows a high dependency of the outcomes on the value of alpha, but it does not make a very interesting sensitivity analysis. </w:t>
      </w:r>
      <w:r w:rsidR="005E66B6">
        <w:t>Therefore,</w:t>
      </w:r>
      <w:r>
        <w:t xml:space="preserve"> we decided to change the assumptions in the regression by finding a new set of Gompertz parameters based on a regression in which alpha was maximized to the maximum in the data, plus 10%. This gives a slightly better population weighted R^2 of 0.685, based on the resulting parameters of alpha: 28.161, beta: 3.191 and gamma: 6.06*10^-5</w:t>
      </w:r>
    </w:p>
    <w:p w14:paraId="16C1689D" w14:textId="77777777" w:rsidR="0028074D" w:rsidRDefault="0028074D" w:rsidP="0028074D">
      <w:pPr>
        <w:pStyle w:val="ListParagraph"/>
        <w:numPr>
          <w:ilvl w:val="0"/>
          <w:numId w:val="5"/>
        </w:numPr>
      </w:pPr>
      <w:r>
        <w:t>Replacing the Gompertz model with an Exponential Decay function</w:t>
      </w:r>
    </w:p>
    <w:p w14:paraId="14D7097B" w14:textId="77777777" w:rsidR="0028074D" w:rsidRDefault="0028074D" w:rsidP="0028074D">
      <w:r>
        <w:t xml:space="preserve">Another key factor prescribing the development of service sector floorspace demand is the assumed Gompertz curve. To assess the effect of a different regression model, we implemented a sensitivity variant based on an Exponential Decay function: </w:t>
      </w:r>
    </w:p>
    <w:p w14:paraId="1893813D" w14:textId="77777777" w:rsidR="0028074D" w:rsidRDefault="0028074D" w:rsidP="0028074D">
      <m:oMath>
        <m:r>
          <w:rPr>
            <w:rFonts w:ascii="Cambria Math" w:hAnsi="Cambria Math"/>
          </w:rPr>
          <m:t>y=α-β</m:t>
        </m:r>
        <m:sSup>
          <m:sSupPr>
            <m:ctrlPr>
              <w:rPr>
                <w:rFonts w:ascii="Cambria Math" w:hAnsi="Cambria Math"/>
                <w:i/>
              </w:rPr>
            </m:ctrlPr>
          </m:sSupPr>
          <m:e>
            <m:r>
              <w:rPr>
                <w:rFonts w:ascii="Cambria Math" w:hAnsi="Cambria Math"/>
              </w:rPr>
              <m:t>e</m:t>
            </m:r>
          </m:e>
          <m:sup>
            <m:r>
              <w:rPr>
                <w:rFonts w:ascii="Cambria Math" w:hAnsi="Cambria Math"/>
              </w:rPr>
              <m:t>-γx</m:t>
            </m:r>
          </m:sup>
        </m:sSup>
      </m:oMath>
      <w:r w:rsidRPr="00443E02">
        <w:rPr>
          <w:rFonts w:eastAsiaTheme="minorEastAsia"/>
        </w:rPr>
        <w:t xml:space="preserve"> </w:t>
      </w:r>
      <w:r>
        <w:rPr>
          <w:rFonts w:eastAsiaTheme="minorEastAsia"/>
        </w:rPr>
        <w:tab/>
      </w:r>
      <w:r>
        <w:t xml:space="preserve"> </w:t>
      </w:r>
    </w:p>
    <w:p w14:paraId="6DD1B48F" w14:textId="1005AC2F" w:rsidR="0028074D" w:rsidRDefault="0028074D" w:rsidP="0028074D">
      <w:r>
        <w:t xml:space="preserve">Similar to the model described in the main text, </w:t>
      </w:r>
      <w:r w:rsidRPr="005918C2">
        <w:t>y is the service floor space demand in square meter per capita, and x is the Service Value Added per capita in 2016-US$ for a particular country, in PPP.</w:t>
      </w:r>
      <w:r>
        <w:t xml:space="preserve"> While </w:t>
      </w:r>
      <w:r w:rsidRPr="00A22DFC">
        <w:rPr>
          <w:rFonts w:cs="Calibri"/>
        </w:rPr>
        <w:t>α</w:t>
      </w:r>
      <w:r>
        <w:t xml:space="preserve">, </w:t>
      </w:r>
      <w:r w:rsidRPr="00A22DFC">
        <w:rPr>
          <w:rFonts w:cs="Calibri"/>
        </w:rPr>
        <w:t>β</w:t>
      </w:r>
      <w:r>
        <w:t xml:space="preserve"> and </w:t>
      </w:r>
      <w:r w:rsidRPr="00A22DFC">
        <w:rPr>
          <w:rFonts w:cs="Calibri"/>
        </w:rPr>
        <w:t>γ</w:t>
      </w:r>
      <w:r>
        <w:t xml:space="preserve"> are the regression parameters. The method performing the regression remained the same as described in the main text. Again</w:t>
      </w:r>
      <w:r w:rsidR="008E19DE">
        <w:t>,</w:t>
      </w:r>
      <w:r>
        <w:t xml:space="preserve"> we only change the model describing the total service related floorspace demand, thus using a population weighted regression. The sub-division of the total floorspace across the 4 service-related building types was unaltered.</w:t>
      </w:r>
    </w:p>
    <w:p w14:paraId="2108C305" w14:textId="177C55C9" w:rsidR="0028074D" w:rsidRDefault="0028074D" w:rsidP="0028074D">
      <w:r>
        <w:lastRenderedPageBreak/>
        <w:t>The regression leads to the following alpha: 25.601, beta: 28.431 and gamma: 4.15*10^-5. This leads to a somewhat lower R^2 of 0.514 at a fit (</w:t>
      </w:r>
      <m:oMath>
        <m:r>
          <w:rPr>
            <w:rFonts w:ascii="Cambria Math" w:hAnsi="Cambria Math"/>
          </w:rPr>
          <m:t>ϕ</m:t>
        </m:r>
      </m:oMath>
      <w:r>
        <w:t>) of 0.995, suggesting a somewhat inferior model than used in the regular calculations. Furthermore, the expone</w:t>
      </w:r>
      <w:r w:rsidR="005E66B6">
        <w:t>n</w:t>
      </w:r>
      <w:r>
        <w:t>tial decay function leads to negative values at lower levels of Service Value Added. To avoid this, we minimized the function below 0.542 m</w:t>
      </w:r>
      <w:r>
        <w:rPr>
          <w:vertAlign w:val="superscript"/>
        </w:rPr>
        <w:t>2</w:t>
      </w:r>
      <w:r>
        <w:t>/cap, which represents the 25</w:t>
      </w:r>
      <w:r w:rsidRPr="00530D12">
        <w:rPr>
          <w:vertAlign w:val="superscript"/>
        </w:rPr>
        <w:t>th</w:t>
      </w:r>
      <w:r>
        <w:t xml:space="preserve"> percentile of the original data. </w:t>
      </w:r>
    </w:p>
    <w:p w14:paraId="682E4E09" w14:textId="555329E1" w:rsidR="0028074D" w:rsidRDefault="0028074D" w:rsidP="0028074D">
      <w:r>
        <w:t>To understand the effects of choosing an alternative model function, we plot the development of service sector floorspace demand based on the regular model as well as the two sensitivity variants in Figure S.1</w:t>
      </w:r>
      <w:r w:rsidR="00445553">
        <w:t>2</w:t>
      </w:r>
      <w:r>
        <w:t xml:space="preserve"> below.</w:t>
      </w:r>
    </w:p>
    <w:p w14:paraId="5374AA73" w14:textId="5E3B07E9" w:rsidR="0028074D" w:rsidRDefault="0028074D" w:rsidP="0028074D">
      <w:r>
        <w:rPr>
          <w:noProof/>
        </w:rPr>
        <w:drawing>
          <wp:inline distT="0" distB="0" distL="0" distR="0" wp14:anchorId="506DE9D2" wp14:editId="23AFF70E">
            <wp:extent cx="4791710" cy="2743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710" cy="2743200"/>
                    </a:xfrm>
                    <a:prstGeom prst="rect">
                      <a:avLst/>
                    </a:prstGeom>
                    <a:noFill/>
                  </pic:spPr>
                </pic:pic>
              </a:graphicData>
            </a:graphic>
          </wp:inline>
        </w:drawing>
      </w:r>
      <w:r>
        <w:br/>
      </w:r>
      <w:r w:rsidRPr="001B51AA">
        <w:rPr>
          <w:i/>
          <w:sz w:val="20"/>
        </w:rPr>
        <w:t>Figure S.1</w:t>
      </w:r>
      <w:r w:rsidR="00445553">
        <w:rPr>
          <w:i/>
          <w:sz w:val="20"/>
        </w:rPr>
        <w:t>2</w:t>
      </w:r>
      <w:r w:rsidRPr="001B51AA">
        <w:rPr>
          <w:i/>
          <w:sz w:val="20"/>
        </w:rPr>
        <w:t>. Development of the service sector floorspace demand (expressed per capita).</w:t>
      </w:r>
    </w:p>
    <w:p w14:paraId="3DBBEF4B" w14:textId="77777777" w:rsidR="0028074D" w:rsidRDefault="0028074D" w:rsidP="0028074D">
      <w:pPr>
        <w:pStyle w:val="Heading3"/>
      </w:pPr>
    </w:p>
    <w:p w14:paraId="6DD7F133" w14:textId="77777777" w:rsidR="0028074D" w:rsidRDefault="0028074D" w:rsidP="0028074D">
      <w:pPr>
        <w:pStyle w:val="Heading3"/>
      </w:pPr>
      <w:bookmarkStart w:id="14" w:name="_Toc10807396"/>
      <w:r>
        <w:t>6.2 Outcomes of the Sensitivity Analysis</w:t>
      </w:r>
      <w:bookmarkEnd w:id="14"/>
    </w:p>
    <w:p w14:paraId="104D3362" w14:textId="77777777" w:rsidR="0028074D" w:rsidRDefault="0028074D" w:rsidP="0028074D"/>
    <w:p w14:paraId="7CB8E1D5" w14:textId="600EABF0" w:rsidR="0028074D" w:rsidRDefault="0028074D" w:rsidP="0028074D">
      <w:r>
        <w:t>The outcomes of the sensitivity analysis are displayed in Table S.5 and Figure S.1</w:t>
      </w:r>
      <w:r w:rsidR="00445553">
        <w:t>3</w:t>
      </w:r>
      <w:r>
        <w:t xml:space="preserve">. Table S.2 shows the changes in 3 different material demand indicators by 2045 (based on a 5-yr moving average) on 6 materials with regards to the regular analysis presented in the main manuscript. Two of the sensitivity variants only have an effect on the demand for materials in service-related buildings, while the other two sensitivity variants also affect the demand of materials in residential buildings.  </w:t>
      </w:r>
    </w:p>
    <w:p w14:paraId="5BBCA129" w14:textId="273A8485" w:rsidR="0028074D" w:rsidRPr="00BA6D72" w:rsidRDefault="0028074D" w:rsidP="0028074D">
      <w:r>
        <w:t>Since the main text elaborates on the gap between inflow and outflow of construction materials by the end of the scenario period (2045-2050) in Figure 5, the sensitivity analysis also explores the effect of changing assumptions on the mismatch between inflow &amp; outflow (thus, the potential for reaching a circular material flows). We do not display the ratio between inflow and outflow itself, but the extent by which this ratio changes. A positive number means that the mismatch between inflow and outflow becomes even larger, while a negative number means that the outflow of construction materials covers a larger fraction of the new demand for construction materials, compared to the analysis in the main text. Figure S.1</w:t>
      </w:r>
      <w:r w:rsidR="003F3831">
        <w:t>3</w:t>
      </w:r>
      <w:r>
        <w:t xml:space="preserve"> shows the development of the annual demand for the six materials under investigation for service sector buildings only. </w:t>
      </w:r>
    </w:p>
    <w:tbl>
      <w:tblPr>
        <w:tblStyle w:val="TableGrid"/>
        <w:tblpPr w:leftFromText="180" w:rightFromText="180" w:vertAnchor="text" w:horzAnchor="margin" w:tblpY="391"/>
        <w:tblW w:w="10075" w:type="dxa"/>
        <w:tblLayout w:type="fixed"/>
        <w:tblLook w:val="04A0" w:firstRow="1" w:lastRow="0" w:firstColumn="1" w:lastColumn="0" w:noHBand="0" w:noVBand="1"/>
      </w:tblPr>
      <w:tblGrid>
        <w:gridCol w:w="1525"/>
        <w:gridCol w:w="2070"/>
        <w:gridCol w:w="990"/>
        <w:gridCol w:w="1620"/>
        <w:gridCol w:w="1440"/>
        <w:gridCol w:w="1105"/>
        <w:gridCol w:w="1325"/>
      </w:tblGrid>
      <w:tr w:rsidR="0028074D" w14:paraId="199B29F6" w14:textId="77777777" w:rsidTr="00367D0E">
        <w:trPr>
          <w:trHeight w:val="534"/>
        </w:trPr>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7F9A9A" w14:textId="77777777" w:rsidR="0028074D" w:rsidRPr="00525D51" w:rsidRDefault="0028074D" w:rsidP="00367D0E">
            <w:pPr>
              <w:rPr>
                <w:lang w:val="en-US"/>
              </w:rPr>
            </w:pPr>
          </w:p>
        </w:tc>
        <w:tc>
          <w:tcPr>
            <w:tcW w:w="2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5AF7B0" w14:textId="77777777" w:rsidR="0028074D" w:rsidRPr="00525D51" w:rsidRDefault="0028074D" w:rsidP="00367D0E">
            <w:pPr>
              <w:rPr>
                <w:lang w:val="en-US"/>
              </w:rPr>
            </w:pPr>
          </w:p>
        </w:tc>
        <w:tc>
          <w:tcPr>
            <w:tcW w:w="990" w:type="dxa"/>
            <w:tcBorders>
              <w:top w:val="single" w:sz="4" w:space="0" w:color="FFFFFF" w:themeColor="background1"/>
              <w:left w:val="single" w:sz="4" w:space="0" w:color="FFFFFF" w:themeColor="background1"/>
              <w:bottom w:val="single" w:sz="4" w:space="0" w:color="FFFFFF" w:themeColor="background1"/>
            </w:tcBorders>
          </w:tcPr>
          <w:p w14:paraId="2CDCEA96" w14:textId="77777777" w:rsidR="0028074D" w:rsidRPr="00525D51" w:rsidRDefault="0028074D" w:rsidP="00367D0E">
            <w:pPr>
              <w:rPr>
                <w:lang w:val="en-US"/>
              </w:rPr>
            </w:pPr>
          </w:p>
        </w:tc>
        <w:tc>
          <w:tcPr>
            <w:tcW w:w="1620" w:type="dxa"/>
          </w:tcPr>
          <w:p w14:paraId="3220598E" w14:textId="77777777" w:rsidR="0028074D" w:rsidRPr="00BA6D72" w:rsidRDefault="0028074D" w:rsidP="00367D0E">
            <w:pPr>
              <w:rPr>
                <w:b/>
              </w:rPr>
            </w:pPr>
            <w:r w:rsidRPr="00BA6D72">
              <w:rPr>
                <w:b/>
              </w:rPr>
              <w:t>Mean MI</w:t>
            </w:r>
          </w:p>
        </w:tc>
        <w:tc>
          <w:tcPr>
            <w:tcW w:w="1440" w:type="dxa"/>
          </w:tcPr>
          <w:p w14:paraId="1E1866FE" w14:textId="77777777" w:rsidR="0028074D" w:rsidRPr="00BA6D72" w:rsidRDefault="0028074D" w:rsidP="00367D0E">
            <w:pPr>
              <w:rPr>
                <w:b/>
              </w:rPr>
            </w:pPr>
            <w:r w:rsidRPr="00BA6D72">
              <w:rPr>
                <w:b/>
              </w:rPr>
              <w:t>Normal distr. (lifetimes)</w:t>
            </w:r>
          </w:p>
        </w:tc>
        <w:tc>
          <w:tcPr>
            <w:tcW w:w="1105" w:type="dxa"/>
          </w:tcPr>
          <w:p w14:paraId="2933DFEA" w14:textId="77777777" w:rsidR="0028074D" w:rsidRPr="00BA6D72" w:rsidRDefault="0028074D" w:rsidP="00367D0E">
            <w:pPr>
              <w:rPr>
                <w:b/>
              </w:rPr>
            </w:pPr>
            <w:r w:rsidRPr="00BA6D72">
              <w:rPr>
                <w:b/>
              </w:rPr>
              <w:t>Alpha + 10%</w:t>
            </w:r>
          </w:p>
        </w:tc>
        <w:tc>
          <w:tcPr>
            <w:tcW w:w="1325" w:type="dxa"/>
          </w:tcPr>
          <w:p w14:paraId="4621CBFB" w14:textId="77777777" w:rsidR="0028074D" w:rsidRPr="00BA6D72" w:rsidRDefault="0028074D" w:rsidP="00367D0E">
            <w:pPr>
              <w:rPr>
                <w:b/>
              </w:rPr>
            </w:pPr>
            <w:r w:rsidRPr="00BA6D72">
              <w:rPr>
                <w:b/>
              </w:rPr>
              <w:t>Exp</w:t>
            </w:r>
            <w:r>
              <w:rPr>
                <w:b/>
              </w:rPr>
              <w:t xml:space="preserve">onential </w:t>
            </w:r>
            <w:r w:rsidRPr="00BA6D72">
              <w:rPr>
                <w:b/>
              </w:rPr>
              <w:t>Dec</w:t>
            </w:r>
            <w:r>
              <w:rPr>
                <w:b/>
              </w:rPr>
              <w:t>ay</w:t>
            </w:r>
          </w:p>
        </w:tc>
      </w:tr>
      <w:tr w:rsidR="0028074D" w14:paraId="67D92B4E" w14:textId="77777777" w:rsidTr="00367D0E">
        <w:trPr>
          <w:trHeight w:val="794"/>
        </w:trPr>
        <w:tc>
          <w:tcPr>
            <w:tcW w:w="1525" w:type="dxa"/>
            <w:tcBorders>
              <w:top w:val="single" w:sz="4" w:space="0" w:color="FFFFFF" w:themeColor="background1"/>
              <w:left w:val="single" w:sz="4" w:space="0" w:color="FFFFFF" w:themeColor="background1"/>
              <w:right w:val="single" w:sz="4" w:space="0" w:color="FFFFFF" w:themeColor="background1"/>
            </w:tcBorders>
          </w:tcPr>
          <w:p w14:paraId="70A58AAC" w14:textId="77777777" w:rsidR="0028074D" w:rsidRDefault="0028074D" w:rsidP="00367D0E"/>
        </w:tc>
        <w:tc>
          <w:tcPr>
            <w:tcW w:w="2070" w:type="dxa"/>
            <w:tcBorders>
              <w:top w:val="single" w:sz="4" w:space="0" w:color="FFFFFF" w:themeColor="background1"/>
              <w:left w:val="single" w:sz="4" w:space="0" w:color="FFFFFF" w:themeColor="background1"/>
              <w:right w:val="single" w:sz="4" w:space="0" w:color="FFFFFF" w:themeColor="background1"/>
            </w:tcBorders>
          </w:tcPr>
          <w:p w14:paraId="19C5CD31" w14:textId="77777777" w:rsidR="0028074D" w:rsidRDefault="0028074D" w:rsidP="00367D0E"/>
        </w:tc>
        <w:tc>
          <w:tcPr>
            <w:tcW w:w="990" w:type="dxa"/>
            <w:tcBorders>
              <w:top w:val="single" w:sz="4" w:space="0" w:color="FFFFFF" w:themeColor="background1"/>
              <w:left w:val="single" w:sz="4" w:space="0" w:color="FFFFFF" w:themeColor="background1"/>
            </w:tcBorders>
          </w:tcPr>
          <w:p w14:paraId="545D8912" w14:textId="77777777" w:rsidR="0028074D" w:rsidRDefault="0028074D" w:rsidP="00367D0E"/>
        </w:tc>
        <w:tc>
          <w:tcPr>
            <w:tcW w:w="1620" w:type="dxa"/>
            <w:vMerge w:val="restart"/>
          </w:tcPr>
          <w:p w14:paraId="23606131" w14:textId="77777777" w:rsidR="0028074D" w:rsidRPr="00525D51" w:rsidRDefault="0028074D" w:rsidP="00367D0E">
            <w:pPr>
              <w:rPr>
                <w:sz w:val="18"/>
                <w:lang w:val="en-US"/>
              </w:rPr>
            </w:pPr>
            <w:r w:rsidRPr="00525D51">
              <w:rPr>
                <w:sz w:val="18"/>
                <w:lang w:val="en-US"/>
              </w:rPr>
              <w:t>Mean of all service building types &amp; Mean of all regions for residential buildings</w:t>
            </w:r>
          </w:p>
        </w:tc>
        <w:tc>
          <w:tcPr>
            <w:tcW w:w="1440" w:type="dxa"/>
            <w:vMerge w:val="restart"/>
          </w:tcPr>
          <w:p w14:paraId="437D4C9F" w14:textId="77777777" w:rsidR="0028074D" w:rsidRPr="00525D51" w:rsidRDefault="0028074D" w:rsidP="00367D0E">
            <w:pPr>
              <w:rPr>
                <w:sz w:val="18"/>
                <w:lang w:val="en-US"/>
              </w:rPr>
            </w:pPr>
            <w:r w:rsidRPr="00525D51">
              <w:rPr>
                <w:sz w:val="18"/>
                <w:lang w:val="en-US"/>
              </w:rPr>
              <w:t>For all buildings, including residential</w:t>
            </w:r>
          </w:p>
        </w:tc>
        <w:tc>
          <w:tcPr>
            <w:tcW w:w="1105" w:type="dxa"/>
            <w:vMerge w:val="restart"/>
          </w:tcPr>
          <w:p w14:paraId="38F155F7" w14:textId="77777777" w:rsidR="0028074D" w:rsidRPr="00525D51" w:rsidRDefault="0028074D" w:rsidP="00367D0E">
            <w:pPr>
              <w:rPr>
                <w:sz w:val="18"/>
                <w:lang w:val="en-US"/>
              </w:rPr>
            </w:pPr>
            <w:r w:rsidRPr="00525D51">
              <w:rPr>
                <w:sz w:val="18"/>
                <w:lang w:val="en-US"/>
              </w:rPr>
              <w:t>Only affects</w:t>
            </w:r>
          </w:p>
          <w:p w14:paraId="1D7BB548" w14:textId="77777777" w:rsidR="0028074D" w:rsidRPr="00525D51" w:rsidRDefault="0028074D" w:rsidP="00367D0E">
            <w:pPr>
              <w:rPr>
                <w:sz w:val="18"/>
                <w:lang w:val="en-US"/>
              </w:rPr>
            </w:pPr>
            <w:r w:rsidRPr="00525D51">
              <w:rPr>
                <w:sz w:val="18"/>
                <w:lang w:val="en-US"/>
              </w:rPr>
              <w:t>service sector floorspace</w:t>
            </w:r>
          </w:p>
          <w:p w14:paraId="2DE648C0" w14:textId="77777777" w:rsidR="0028074D" w:rsidRPr="00525D51" w:rsidRDefault="0028074D" w:rsidP="00367D0E">
            <w:pPr>
              <w:rPr>
                <w:sz w:val="18"/>
                <w:lang w:val="en-US"/>
              </w:rPr>
            </w:pPr>
            <w:r w:rsidRPr="00525D51">
              <w:rPr>
                <w:sz w:val="18"/>
                <w:lang w:val="en-US"/>
              </w:rPr>
              <w:t>demand</w:t>
            </w:r>
          </w:p>
        </w:tc>
        <w:tc>
          <w:tcPr>
            <w:tcW w:w="1325" w:type="dxa"/>
            <w:vMerge w:val="restart"/>
          </w:tcPr>
          <w:p w14:paraId="7681AD10" w14:textId="77777777" w:rsidR="0028074D" w:rsidRPr="00525D51" w:rsidRDefault="0028074D" w:rsidP="00367D0E">
            <w:pPr>
              <w:rPr>
                <w:sz w:val="18"/>
                <w:lang w:val="en-US"/>
              </w:rPr>
            </w:pPr>
            <w:r w:rsidRPr="00525D51">
              <w:rPr>
                <w:sz w:val="18"/>
                <w:lang w:val="en-US"/>
              </w:rPr>
              <w:t xml:space="preserve">Only affects service sector floorspace demand </w:t>
            </w:r>
          </w:p>
        </w:tc>
      </w:tr>
      <w:tr w:rsidR="0028074D" w14:paraId="67CAB11C" w14:textId="77777777" w:rsidTr="00367D0E">
        <w:trPr>
          <w:trHeight w:val="50"/>
        </w:trPr>
        <w:tc>
          <w:tcPr>
            <w:tcW w:w="1525" w:type="dxa"/>
          </w:tcPr>
          <w:p w14:paraId="115F5024" w14:textId="77777777" w:rsidR="0028074D" w:rsidRPr="00BA6D72" w:rsidRDefault="0028074D" w:rsidP="00367D0E">
            <w:pPr>
              <w:rPr>
                <w:b/>
              </w:rPr>
            </w:pPr>
            <w:r w:rsidRPr="00BA6D72">
              <w:rPr>
                <w:b/>
              </w:rPr>
              <w:t>Sub selection</w:t>
            </w:r>
          </w:p>
        </w:tc>
        <w:tc>
          <w:tcPr>
            <w:tcW w:w="2070" w:type="dxa"/>
          </w:tcPr>
          <w:p w14:paraId="109231C6" w14:textId="77777777" w:rsidR="0028074D" w:rsidRPr="00BA6D72" w:rsidRDefault="0028074D" w:rsidP="00367D0E">
            <w:pPr>
              <w:rPr>
                <w:b/>
              </w:rPr>
            </w:pPr>
            <w:r w:rsidRPr="00BA6D72">
              <w:rPr>
                <w:b/>
              </w:rPr>
              <w:t>Indicator</w:t>
            </w:r>
          </w:p>
        </w:tc>
        <w:tc>
          <w:tcPr>
            <w:tcW w:w="990" w:type="dxa"/>
          </w:tcPr>
          <w:p w14:paraId="538C315A" w14:textId="77777777" w:rsidR="0028074D" w:rsidRPr="00BA6D72" w:rsidRDefault="0028074D" w:rsidP="00367D0E">
            <w:pPr>
              <w:rPr>
                <w:b/>
              </w:rPr>
            </w:pPr>
            <w:r w:rsidRPr="00BA6D72">
              <w:rPr>
                <w:b/>
              </w:rPr>
              <w:t>year</w:t>
            </w:r>
          </w:p>
        </w:tc>
        <w:tc>
          <w:tcPr>
            <w:tcW w:w="1620" w:type="dxa"/>
            <w:vMerge/>
          </w:tcPr>
          <w:p w14:paraId="444E1AEB" w14:textId="77777777" w:rsidR="0028074D" w:rsidRDefault="0028074D" w:rsidP="00367D0E"/>
        </w:tc>
        <w:tc>
          <w:tcPr>
            <w:tcW w:w="1440" w:type="dxa"/>
            <w:vMerge/>
          </w:tcPr>
          <w:p w14:paraId="036B7F51" w14:textId="77777777" w:rsidR="0028074D" w:rsidRDefault="0028074D" w:rsidP="00367D0E"/>
        </w:tc>
        <w:tc>
          <w:tcPr>
            <w:tcW w:w="1105" w:type="dxa"/>
            <w:vMerge/>
          </w:tcPr>
          <w:p w14:paraId="4E000703" w14:textId="77777777" w:rsidR="0028074D" w:rsidRDefault="0028074D" w:rsidP="00367D0E"/>
        </w:tc>
        <w:tc>
          <w:tcPr>
            <w:tcW w:w="1325" w:type="dxa"/>
            <w:vMerge/>
          </w:tcPr>
          <w:p w14:paraId="7219EDF4" w14:textId="77777777" w:rsidR="0028074D" w:rsidRDefault="0028074D" w:rsidP="00367D0E"/>
        </w:tc>
      </w:tr>
      <w:tr w:rsidR="0028074D" w14:paraId="2318F61F" w14:textId="77777777" w:rsidTr="00367D0E">
        <w:trPr>
          <w:trHeight w:val="267"/>
        </w:trPr>
        <w:tc>
          <w:tcPr>
            <w:tcW w:w="1525" w:type="dxa"/>
            <w:vMerge w:val="restart"/>
          </w:tcPr>
          <w:p w14:paraId="65F96898" w14:textId="77777777" w:rsidR="0028074D" w:rsidRDefault="0028074D" w:rsidP="00367D0E">
            <w:r>
              <w:t>Service sector buildings</w:t>
            </w:r>
          </w:p>
        </w:tc>
        <w:tc>
          <w:tcPr>
            <w:tcW w:w="2070" w:type="dxa"/>
          </w:tcPr>
          <w:p w14:paraId="2C2E7EDD" w14:textId="77777777" w:rsidR="0028074D" w:rsidRDefault="0028074D" w:rsidP="00367D0E">
            <w:r>
              <w:t xml:space="preserve">Steel demand </w:t>
            </w:r>
          </w:p>
        </w:tc>
        <w:tc>
          <w:tcPr>
            <w:tcW w:w="990" w:type="dxa"/>
          </w:tcPr>
          <w:p w14:paraId="0EC5B07E" w14:textId="77777777" w:rsidR="0028074D" w:rsidRPr="00896C9E" w:rsidRDefault="0028074D" w:rsidP="00367D0E">
            <w:pPr>
              <w:rPr>
                <w:sz w:val="20"/>
              </w:rPr>
            </w:pPr>
            <w:r w:rsidRPr="00896C9E">
              <w:rPr>
                <w:sz w:val="20"/>
              </w:rPr>
              <w:t>2045-‘50</w:t>
            </w:r>
          </w:p>
        </w:tc>
        <w:tc>
          <w:tcPr>
            <w:tcW w:w="1620" w:type="dxa"/>
            <w:vAlign w:val="bottom"/>
          </w:tcPr>
          <w:p w14:paraId="51107AD5" w14:textId="77777777" w:rsidR="0028074D" w:rsidRDefault="0028074D" w:rsidP="00367D0E">
            <w:pPr>
              <w:jc w:val="center"/>
            </w:pPr>
            <w:r>
              <w:rPr>
                <w:rFonts w:ascii="Calibri" w:hAnsi="Calibri" w:cs="Calibri"/>
                <w:color w:val="70AD47"/>
              </w:rPr>
              <w:t>1%</w:t>
            </w:r>
          </w:p>
        </w:tc>
        <w:tc>
          <w:tcPr>
            <w:tcW w:w="1440" w:type="dxa"/>
            <w:vMerge w:val="restart"/>
            <w:vAlign w:val="center"/>
          </w:tcPr>
          <w:p w14:paraId="00452BE7" w14:textId="399B336D" w:rsidR="0028074D" w:rsidRDefault="00301153" w:rsidP="00301153">
            <w:pPr>
              <w:jc w:val="center"/>
            </w:pPr>
            <w:r>
              <w:rPr>
                <w:rFonts w:ascii="Calibri" w:hAnsi="Calibri" w:cs="Calibri"/>
                <w:color w:val="9C0006"/>
              </w:rPr>
              <w:t>-13%</w:t>
            </w:r>
          </w:p>
        </w:tc>
        <w:tc>
          <w:tcPr>
            <w:tcW w:w="1105" w:type="dxa"/>
            <w:vMerge w:val="restart"/>
            <w:vAlign w:val="center"/>
          </w:tcPr>
          <w:p w14:paraId="78B1ED52" w14:textId="77777777" w:rsidR="0028074D" w:rsidRDefault="0028074D" w:rsidP="00367D0E">
            <w:pPr>
              <w:jc w:val="center"/>
            </w:pPr>
            <w:r>
              <w:rPr>
                <w:rFonts w:ascii="Calibri" w:hAnsi="Calibri" w:cs="Calibri"/>
                <w:color w:val="9C0006"/>
              </w:rPr>
              <w:t>-2%</w:t>
            </w:r>
          </w:p>
        </w:tc>
        <w:tc>
          <w:tcPr>
            <w:tcW w:w="1325" w:type="dxa"/>
            <w:vAlign w:val="bottom"/>
          </w:tcPr>
          <w:p w14:paraId="5CEA49AA" w14:textId="77777777" w:rsidR="0028074D" w:rsidRDefault="0028074D" w:rsidP="00367D0E">
            <w:pPr>
              <w:jc w:val="center"/>
            </w:pPr>
            <w:r>
              <w:rPr>
                <w:rFonts w:ascii="Calibri" w:hAnsi="Calibri" w:cs="Calibri"/>
                <w:color w:val="70AD47"/>
              </w:rPr>
              <w:t>7%</w:t>
            </w:r>
          </w:p>
        </w:tc>
      </w:tr>
      <w:tr w:rsidR="0028074D" w14:paraId="4A96C0FE" w14:textId="77777777" w:rsidTr="00367D0E">
        <w:trPr>
          <w:trHeight w:val="267"/>
        </w:trPr>
        <w:tc>
          <w:tcPr>
            <w:tcW w:w="1525" w:type="dxa"/>
            <w:vMerge/>
          </w:tcPr>
          <w:p w14:paraId="0FA6C44E" w14:textId="77777777" w:rsidR="0028074D" w:rsidRDefault="0028074D" w:rsidP="00367D0E"/>
        </w:tc>
        <w:tc>
          <w:tcPr>
            <w:tcW w:w="2070" w:type="dxa"/>
          </w:tcPr>
          <w:p w14:paraId="0BC58AED" w14:textId="77777777" w:rsidR="0028074D" w:rsidRDefault="0028074D" w:rsidP="00367D0E">
            <w:r>
              <w:t xml:space="preserve">Concrete demand </w:t>
            </w:r>
          </w:p>
        </w:tc>
        <w:tc>
          <w:tcPr>
            <w:tcW w:w="990" w:type="dxa"/>
          </w:tcPr>
          <w:p w14:paraId="346F6E7B" w14:textId="77777777" w:rsidR="0028074D" w:rsidRPr="00896C9E" w:rsidRDefault="0028074D" w:rsidP="00367D0E">
            <w:pPr>
              <w:rPr>
                <w:sz w:val="20"/>
              </w:rPr>
            </w:pPr>
            <w:r w:rsidRPr="00896C9E">
              <w:rPr>
                <w:sz w:val="20"/>
              </w:rPr>
              <w:t>2045-‘50</w:t>
            </w:r>
          </w:p>
        </w:tc>
        <w:tc>
          <w:tcPr>
            <w:tcW w:w="1620" w:type="dxa"/>
            <w:vAlign w:val="bottom"/>
          </w:tcPr>
          <w:p w14:paraId="31EE29FE" w14:textId="77777777" w:rsidR="0028074D" w:rsidRDefault="0028074D" w:rsidP="00367D0E">
            <w:pPr>
              <w:jc w:val="center"/>
            </w:pPr>
            <w:r>
              <w:rPr>
                <w:rFonts w:ascii="Calibri" w:hAnsi="Calibri" w:cs="Calibri"/>
                <w:color w:val="9C0006"/>
              </w:rPr>
              <w:t>-6%</w:t>
            </w:r>
          </w:p>
        </w:tc>
        <w:tc>
          <w:tcPr>
            <w:tcW w:w="1440" w:type="dxa"/>
            <w:vMerge/>
            <w:vAlign w:val="bottom"/>
          </w:tcPr>
          <w:p w14:paraId="18CDCFCA" w14:textId="77777777" w:rsidR="0028074D" w:rsidRDefault="0028074D" w:rsidP="00367D0E">
            <w:pPr>
              <w:jc w:val="center"/>
            </w:pPr>
          </w:p>
        </w:tc>
        <w:tc>
          <w:tcPr>
            <w:tcW w:w="1105" w:type="dxa"/>
            <w:vMerge/>
            <w:vAlign w:val="bottom"/>
          </w:tcPr>
          <w:p w14:paraId="2AA93C0B" w14:textId="77777777" w:rsidR="0028074D" w:rsidRDefault="0028074D" w:rsidP="00367D0E">
            <w:pPr>
              <w:jc w:val="center"/>
            </w:pPr>
          </w:p>
        </w:tc>
        <w:tc>
          <w:tcPr>
            <w:tcW w:w="1325" w:type="dxa"/>
            <w:vAlign w:val="bottom"/>
          </w:tcPr>
          <w:p w14:paraId="39714CA9" w14:textId="77777777" w:rsidR="0028074D" w:rsidRDefault="0028074D" w:rsidP="00367D0E">
            <w:pPr>
              <w:jc w:val="center"/>
            </w:pPr>
            <w:r>
              <w:rPr>
                <w:rFonts w:ascii="Calibri" w:hAnsi="Calibri" w:cs="Calibri"/>
                <w:color w:val="70AD47"/>
              </w:rPr>
              <w:t>7%</w:t>
            </w:r>
          </w:p>
        </w:tc>
      </w:tr>
      <w:tr w:rsidR="0028074D" w14:paraId="529B358C" w14:textId="77777777" w:rsidTr="00367D0E">
        <w:trPr>
          <w:trHeight w:val="257"/>
        </w:trPr>
        <w:tc>
          <w:tcPr>
            <w:tcW w:w="1525" w:type="dxa"/>
            <w:vMerge/>
          </w:tcPr>
          <w:p w14:paraId="1476A2B3" w14:textId="77777777" w:rsidR="0028074D" w:rsidRDefault="0028074D" w:rsidP="00367D0E"/>
        </w:tc>
        <w:tc>
          <w:tcPr>
            <w:tcW w:w="2070" w:type="dxa"/>
          </w:tcPr>
          <w:p w14:paraId="264C5903" w14:textId="77777777" w:rsidR="0028074D" w:rsidRDefault="0028074D" w:rsidP="00367D0E">
            <w:r>
              <w:t>Glass demand</w:t>
            </w:r>
          </w:p>
        </w:tc>
        <w:tc>
          <w:tcPr>
            <w:tcW w:w="990" w:type="dxa"/>
          </w:tcPr>
          <w:p w14:paraId="59FF9377" w14:textId="77777777" w:rsidR="0028074D" w:rsidRPr="00896C9E" w:rsidRDefault="0028074D" w:rsidP="00367D0E">
            <w:pPr>
              <w:rPr>
                <w:sz w:val="20"/>
              </w:rPr>
            </w:pPr>
            <w:r w:rsidRPr="00896C9E">
              <w:rPr>
                <w:sz w:val="20"/>
              </w:rPr>
              <w:t>2045-‘50</w:t>
            </w:r>
          </w:p>
        </w:tc>
        <w:tc>
          <w:tcPr>
            <w:tcW w:w="1620" w:type="dxa"/>
            <w:vAlign w:val="bottom"/>
          </w:tcPr>
          <w:p w14:paraId="3CC93218" w14:textId="77777777" w:rsidR="0028074D" w:rsidRDefault="0028074D" w:rsidP="00367D0E">
            <w:pPr>
              <w:jc w:val="center"/>
            </w:pPr>
            <w:r>
              <w:rPr>
                <w:rFonts w:ascii="Calibri" w:hAnsi="Calibri" w:cs="Calibri"/>
                <w:color w:val="9C0006"/>
              </w:rPr>
              <w:t>-23%</w:t>
            </w:r>
          </w:p>
        </w:tc>
        <w:tc>
          <w:tcPr>
            <w:tcW w:w="1440" w:type="dxa"/>
            <w:vMerge/>
            <w:vAlign w:val="bottom"/>
          </w:tcPr>
          <w:p w14:paraId="0D9391D9" w14:textId="77777777" w:rsidR="0028074D" w:rsidRDefault="0028074D" w:rsidP="00367D0E">
            <w:pPr>
              <w:jc w:val="center"/>
            </w:pPr>
          </w:p>
        </w:tc>
        <w:tc>
          <w:tcPr>
            <w:tcW w:w="1105" w:type="dxa"/>
            <w:vMerge/>
            <w:vAlign w:val="bottom"/>
          </w:tcPr>
          <w:p w14:paraId="714EDE1D" w14:textId="77777777" w:rsidR="0028074D" w:rsidRDefault="0028074D" w:rsidP="00367D0E">
            <w:pPr>
              <w:jc w:val="center"/>
            </w:pPr>
          </w:p>
        </w:tc>
        <w:tc>
          <w:tcPr>
            <w:tcW w:w="1325" w:type="dxa"/>
            <w:vAlign w:val="bottom"/>
          </w:tcPr>
          <w:p w14:paraId="79ABE5C8" w14:textId="77777777" w:rsidR="0028074D" w:rsidRDefault="0028074D" w:rsidP="00367D0E">
            <w:pPr>
              <w:jc w:val="center"/>
            </w:pPr>
            <w:r>
              <w:rPr>
                <w:rFonts w:ascii="Calibri" w:hAnsi="Calibri" w:cs="Calibri"/>
                <w:color w:val="70AD47"/>
              </w:rPr>
              <w:t>9%</w:t>
            </w:r>
          </w:p>
        </w:tc>
      </w:tr>
      <w:tr w:rsidR="0028074D" w14:paraId="2C0694BE" w14:textId="77777777" w:rsidTr="00367D0E">
        <w:trPr>
          <w:trHeight w:val="267"/>
        </w:trPr>
        <w:tc>
          <w:tcPr>
            <w:tcW w:w="1525" w:type="dxa"/>
            <w:vMerge/>
          </w:tcPr>
          <w:p w14:paraId="27621A7F" w14:textId="77777777" w:rsidR="0028074D" w:rsidRDefault="0028074D" w:rsidP="00367D0E"/>
        </w:tc>
        <w:tc>
          <w:tcPr>
            <w:tcW w:w="2070" w:type="dxa"/>
          </w:tcPr>
          <w:p w14:paraId="799F3D6B" w14:textId="77777777" w:rsidR="0028074D" w:rsidRDefault="0028074D" w:rsidP="00367D0E">
            <w:r>
              <w:t>Wood dem.</w:t>
            </w:r>
          </w:p>
        </w:tc>
        <w:tc>
          <w:tcPr>
            <w:tcW w:w="990" w:type="dxa"/>
          </w:tcPr>
          <w:p w14:paraId="6D04366B" w14:textId="77777777" w:rsidR="0028074D" w:rsidRPr="00896C9E" w:rsidRDefault="0028074D" w:rsidP="00367D0E">
            <w:pPr>
              <w:rPr>
                <w:sz w:val="20"/>
              </w:rPr>
            </w:pPr>
            <w:r w:rsidRPr="00896C9E">
              <w:rPr>
                <w:sz w:val="20"/>
              </w:rPr>
              <w:t>2045-‘50</w:t>
            </w:r>
          </w:p>
        </w:tc>
        <w:tc>
          <w:tcPr>
            <w:tcW w:w="1620" w:type="dxa"/>
            <w:vAlign w:val="bottom"/>
          </w:tcPr>
          <w:p w14:paraId="55A88D26" w14:textId="77777777" w:rsidR="0028074D" w:rsidRDefault="0028074D" w:rsidP="00367D0E">
            <w:pPr>
              <w:jc w:val="center"/>
            </w:pPr>
            <w:r>
              <w:rPr>
                <w:rFonts w:ascii="Calibri" w:hAnsi="Calibri" w:cs="Calibri"/>
                <w:color w:val="9C0006"/>
              </w:rPr>
              <w:t>-35%</w:t>
            </w:r>
          </w:p>
        </w:tc>
        <w:tc>
          <w:tcPr>
            <w:tcW w:w="1440" w:type="dxa"/>
            <w:vMerge/>
            <w:vAlign w:val="bottom"/>
          </w:tcPr>
          <w:p w14:paraId="3E3BC265" w14:textId="77777777" w:rsidR="0028074D" w:rsidRDefault="0028074D" w:rsidP="00367D0E">
            <w:pPr>
              <w:jc w:val="center"/>
            </w:pPr>
          </w:p>
        </w:tc>
        <w:tc>
          <w:tcPr>
            <w:tcW w:w="1105" w:type="dxa"/>
            <w:vMerge/>
            <w:vAlign w:val="bottom"/>
          </w:tcPr>
          <w:p w14:paraId="159D837F" w14:textId="77777777" w:rsidR="0028074D" w:rsidRDefault="0028074D" w:rsidP="00367D0E">
            <w:pPr>
              <w:jc w:val="center"/>
            </w:pPr>
          </w:p>
        </w:tc>
        <w:tc>
          <w:tcPr>
            <w:tcW w:w="1325" w:type="dxa"/>
            <w:vAlign w:val="bottom"/>
          </w:tcPr>
          <w:p w14:paraId="56CA5AB4" w14:textId="77777777" w:rsidR="0028074D" w:rsidRDefault="0028074D" w:rsidP="00367D0E">
            <w:pPr>
              <w:jc w:val="center"/>
            </w:pPr>
            <w:r>
              <w:rPr>
                <w:rFonts w:ascii="Calibri" w:hAnsi="Calibri" w:cs="Calibri"/>
                <w:color w:val="70AD47"/>
              </w:rPr>
              <w:t>9%</w:t>
            </w:r>
          </w:p>
        </w:tc>
      </w:tr>
      <w:tr w:rsidR="0028074D" w14:paraId="4ED2DDFF" w14:textId="77777777" w:rsidTr="00367D0E">
        <w:trPr>
          <w:trHeight w:val="267"/>
        </w:trPr>
        <w:tc>
          <w:tcPr>
            <w:tcW w:w="1525" w:type="dxa"/>
            <w:vMerge/>
          </w:tcPr>
          <w:p w14:paraId="1384FF57" w14:textId="77777777" w:rsidR="0028074D" w:rsidRDefault="0028074D" w:rsidP="00367D0E"/>
        </w:tc>
        <w:tc>
          <w:tcPr>
            <w:tcW w:w="2070" w:type="dxa"/>
          </w:tcPr>
          <w:p w14:paraId="70445690" w14:textId="77777777" w:rsidR="0028074D" w:rsidRDefault="0028074D" w:rsidP="00367D0E">
            <w:r>
              <w:t>Aluminium demand</w:t>
            </w:r>
          </w:p>
        </w:tc>
        <w:tc>
          <w:tcPr>
            <w:tcW w:w="990" w:type="dxa"/>
          </w:tcPr>
          <w:p w14:paraId="08B9C7BB" w14:textId="77777777" w:rsidR="0028074D" w:rsidRPr="00896C9E" w:rsidRDefault="0028074D" w:rsidP="00367D0E">
            <w:pPr>
              <w:rPr>
                <w:sz w:val="20"/>
              </w:rPr>
            </w:pPr>
            <w:r w:rsidRPr="00896C9E">
              <w:rPr>
                <w:sz w:val="20"/>
              </w:rPr>
              <w:t>2045-‘50</w:t>
            </w:r>
          </w:p>
        </w:tc>
        <w:tc>
          <w:tcPr>
            <w:tcW w:w="1620" w:type="dxa"/>
            <w:vAlign w:val="bottom"/>
          </w:tcPr>
          <w:p w14:paraId="5A2FF652" w14:textId="77777777" w:rsidR="0028074D" w:rsidRDefault="0028074D" w:rsidP="00367D0E">
            <w:pPr>
              <w:jc w:val="center"/>
            </w:pPr>
            <w:r>
              <w:rPr>
                <w:rFonts w:ascii="Calibri" w:hAnsi="Calibri" w:cs="Calibri"/>
                <w:color w:val="9C0006"/>
              </w:rPr>
              <w:t>-10%</w:t>
            </w:r>
          </w:p>
        </w:tc>
        <w:tc>
          <w:tcPr>
            <w:tcW w:w="1440" w:type="dxa"/>
            <w:vMerge/>
            <w:vAlign w:val="bottom"/>
          </w:tcPr>
          <w:p w14:paraId="7D099A20" w14:textId="77777777" w:rsidR="0028074D" w:rsidRDefault="0028074D" w:rsidP="00367D0E">
            <w:pPr>
              <w:jc w:val="center"/>
            </w:pPr>
          </w:p>
        </w:tc>
        <w:tc>
          <w:tcPr>
            <w:tcW w:w="1105" w:type="dxa"/>
            <w:vMerge/>
            <w:vAlign w:val="bottom"/>
          </w:tcPr>
          <w:p w14:paraId="746AC4DE" w14:textId="77777777" w:rsidR="0028074D" w:rsidRDefault="0028074D" w:rsidP="00367D0E">
            <w:pPr>
              <w:jc w:val="center"/>
            </w:pPr>
          </w:p>
        </w:tc>
        <w:tc>
          <w:tcPr>
            <w:tcW w:w="1325" w:type="dxa"/>
            <w:vAlign w:val="bottom"/>
          </w:tcPr>
          <w:p w14:paraId="3F0F739B" w14:textId="77777777" w:rsidR="0028074D" w:rsidRDefault="0028074D" w:rsidP="00367D0E">
            <w:pPr>
              <w:jc w:val="center"/>
            </w:pPr>
            <w:r>
              <w:rPr>
                <w:rFonts w:ascii="Calibri" w:hAnsi="Calibri" w:cs="Calibri"/>
                <w:color w:val="70AD47"/>
              </w:rPr>
              <w:t>8%</w:t>
            </w:r>
          </w:p>
        </w:tc>
      </w:tr>
      <w:tr w:rsidR="0028074D" w14:paraId="611BAFC0" w14:textId="77777777" w:rsidTr="00367D0E">
        <w:trPr>
          <w:trHeight w:val="267"/>
        </w:trPr>
        <w:tc>
          <w:tcPr>
            <w:tcW w:w="1525" w:type="dxa"/>
            <w:vMerge/>
          </w:tcPr>
          <w:p w14:paraId="0A9B4D91" w14:textId="77777777" w:rsidR="0028074D" w:rsidRDefault="0028074D" w:rsidP="00367D0E"/>
        </w:tc>
        <w:tc>
          <w:tcPr>
            <w:tcW w:w="2070" w:type="dxa"/>
          </w:tcPr>
          <w:p w14:paraId="02FB638F" w14:textId="77777777" w:rsidR="0028074D" w:rsidRDefault="0028074D" w:rsidP="00367D0E">
            <w:r>
              <w:t>Copper demand</w:t>
            </w:r>
          </w:p>
        </w:tc>
        <w:tc>
          <w:tcPr>
            <w:tcW w:w="990" w:type="dxa"/>
          </w:tcPr>
          <w:p w14:paraId="01271B0D" w14:textId="77777777" w:rsidR="0028074D" w:rsidRPr="00896C9E" w:rsidRDefault="0028074D" w:rsidP="00367D0E">
            <w:pPr>
              <w:rPr>
                <w:sz w:val="20"/>
              </w:rPr>
            </w:pPr>
            <w:r w:rsidRPr="00896C9E">
              <w:rPr>
                <w:sz w:val="20"/>
              </w:rPr>
              <w:t>2045-‘50</w:t>
            </w:r>
          </w:p>
        </w:tc>
        <w:tc>
          <w:tcPr>
            <w:tcW w:w="1620" w:type="dxa"/>
            <w:vAlign w:val="bottom"/>
          </w:tcPr>
          <w:p w14:paraId="54457ABF" w14:textId="77777777" w:rsidR="0028074D" w:rsidRDefault="0028074D" w:rsidP="00367D0E">
            <w:pPr>
              <w:jc w:val="center"/>
            </w:pPr>
            <w:r>
              <w:rPr>
                <w:rFonts w:ascii="Calibri" w:hAnsi="Calibri" w:cs="Calibri"/>
                <w:color w:val="70AD47"/>
              </w:rPr>
              <w:t>2%</w:t>
            </w:r>
          </w:p>
        </w:tc>
        <w:tc>
          <w:tcPr>
            <w:tcW w:w="1440" w:type="dxa"/>
            <w:vMerge/>
            <w:vAlign w:val="bottom"/>
          </w:tcPr>
          <w:p w14:paraId="0882C4A1" w14:textId="77777777" w:rsidR="0028074D" w:rsidRDefault="0028074D" w:rsidP="00367D0E">
            <w:pPr>
              <w:jc w:val="center"/>
            </w:pPr>
          </w:p>
        </w:tc>
        <w:tc>
          <w:tcPr>
            <w:tcW w:w="1105" w:type="dxa"/>
            <w:vMerge/>
            <w:vAlign w:val="bottom"/>
          </w:tcPr>
          <w:p w14:paraId="1BBE13A8" w14:textId="77777777" w:rsidR="0028074D" w:rsidRDefault="0028074D" w:rsidP="00367D0E">
            <w:pPr>
              <w:jc w:val="center"/>
            </w:pPr>
          </w:p>
        </w:tc>
        <w:tc>
          <w:tcPr>
            <w:tcW w:w="1325" w:type="dxa"/>
            <w:vAlign w:val="bottom"/>
          </w:tcPr>
          <w:p w14:paraId="6604CC3A" w14:textId="77777777" w:rsidR="0028074D" w:rsidRDefault="0028074D" w:rsidP="00367D0E">
            <w:pPr>
              <w:jc w:val="center"/>
            </w:pPr>
            <w:r>
              <w:rPr>
                <w:rFonts w:ascii="Calibri" w:hAnsi="Calibri" w:cs="Calibri"/>
                <w:color w:val="70AD47"/>
              </w:rPr>
              <w:t>7%</w:t>
            </w:r>
          </w:p>
        </w:tc>
      </w:tr>
      <w:tr w:rsidR="00F4250F" w14:paraId="167C8403" w14:textId="77777777" w:rsidTr="00367D0E">
        <w:trPr>
          <w:trHeight w:val="267"/>
        </w:trPr>
        <w:tc>
          <w:tcPr>
            <w:tcW w:w="1525" w:type="dxa"/>
            <w:vMerge w:val="restart"/>
          </w:tcPr>
          <w:p w14:paraId="7E323B0D" w14:textId="77777777" w:rsidR="00F4250F" w:rsidRDefault="00F4250F" w:rsidP="00F4250F">
            <w:r>
              <w:t>Residential</w:t>
            </w:r>
          </w:p>
        </w:tc>
        <w:tc>
          <w:tcPr>
            <w:tcW w:w="2070" w:type="dxa"/>
          </w:tcPr>
          <w:p w14:paraId="68106DE9" w14:textId="77777777" w:rsidR="00F4250F" w:rsidRDefault="00F4250F" w:rsidP="00F4250F">
            <w:r>
              <w:t xml:space="preserve">Steel demand </w:t>
            </w:r>
          </w:p>
        </w:tc>
        <w:tc>
          <w:tcPr>
            <w:tcW w:w="990" w:type="dxa"/>
          </w:tcPr>
          <w:p w14:paraId="59557E27" w14:textId="77777777" w:rsidR="00F4250F" w:rsidRPr="00896C9E" w:rsidRDefault="00F4250F" w:rsidP="00F4250F">
            <w:pPr>
              <w:rPr>
                <w:sz w:val="20"/>
              </w:rPr>
            </w:pPr>
            <w:r w:rsidRPr="00896C9E">
              <w:rPr>
                <w:sz w:val="20"/>
              </w:rPr>
              <w:t>2045-‘50</w:t>
            </w:r>
          </w:p>
        </w:tc>
        <w:tc>
          <w:tcPr>
            <w:tcW w:w="1620" w:type="dxa"/>
            <w:vAlign w:val="bottom"/>
          </w:tcPr>
          <w:p w14:paraId="3FD57755" w14:textId="3ED8F275" w:rsidR="00F4250F" w:rsidRDefault="00F4250F" w:rsidP="00F4250F">
            <w:pPr>
              <w:jc w:val="center"/>
            </w:pPr>
            <w:r>
              <w:rPr>
                <w:rFonts w:ascii="Calibri" w:hAnsi="Calibri" w:cs="Calibri"/>
                <w:color w:val="9C0006"/>
              </w:rPr>
              <w:t>-10%</w:t>
            </w:r>
          </w:p>
        </w:tc>
        <w:tc>
          <w:tcPr>
            <w:tcW w:w="1440" w:type="dxa"/>
            <w:vAlign w:val="bottom"/>
          </w:tcPr>
          <w:p w14:paraId="7B4FD78F" w14:textId="08A41E29" w:rsidR="00F4250F" w:rsidRDefault="00F4250F" w:rsidP="00F4250F">
            <w:pPr>
              <w:jc w:val="center"/>
            </w:pPr>
            <w:r>
              <w:rPr>
                <w:rFonts w:ascii="Calibri" w:hAnsi="Calibri" w:cs="Calibri"/>
                <w:color w:val="70AD47"/>
              </w:rPr>
              <w:t>5%</w:t>
            </w:r>
          </w:p>
        </w:tc>
        <w:tc>
          <w:tcPr>
            <w:tcW w:w="1105" w:type="dxa"/>
            <w:vMerge w:val="restart"/>
            <w:vAlign w:val="center"/>
          </w:tcPr>
          <w:p w14:paraId="410D876E" w14:textId="77777777" w:rsidR="00F4250F" w:rsidRDefault="00F4250F" w:rsidP="00F4250F">
            <w:pPr>
              <w:jc w:val="center"/>
            </w:pPr>
            <w:r>
              <w:rPr>
                <w:rFonts w:ascii="Calibri" w:hAnsi="Calibri" w:cs="Calibri"/>
                <w:color w:val="000000"/>
              </w:rPr>
              <w:t>0%</w:t>
            </w:r>
          </w:p>
        </w:tc>
        <w:tc>
          <w:tcPr>
            <w:tcW w:w="1325" w:type="dxa"/>
            <w:vMerge w:val="restart"/>
            <w:vAlign w:val="center"/>
          </w:tcPr>
          <w:p w14:paraId="3F1151D1" w14:textId="77777777" w:rsidR="00F4250F" w:rsidRDefault="00F4250F" w:rsidP="00F4250F">
            <w:pPr>
              <w:jc w:val="center"/>
            </w:pPr>
            <w:r>
              <w:rPr>
                <w:rFonts w:ascii="Calibri" w:hAnsi="Calibri" w:cs="Calibri"/>
                <w:color w:val="000000"/>
              </w:rPr>
              <w:t>0%</w:t>
            </w:r>
          </w:p>
        </w:tc>
      </w:tr>
      <w:tr w:rsidR="00F4250F" w14:paraId="358F48EF" w14:textId="77777777" w:rsidTr="00367D0E">
        <w:trPr>
          <w:trHeight w:val="267"/>
        </w:trPr>
        <w:tc>
          <w:tcPr>
            <w:tcW w:w="1525" w:type="dxa"/>
            <w:vMerge/>
          </w:tcPr>
          <w:p w14:paraId="41E12CB3" w14:textId="77777777" w:rsidR="00F4250F" w:rsidRDefault="00F4250F" w:rsidP="00F4250F"/>
        </w:tc>
        <w:tc>
          <w:tcPr>
            <w:tcW w:w="2070" w:type="dxa"/>
          </w:tcPr>
          <w:p w14:paraId="767C9F0C" w14:textId="77777777" w:rsidR="00F4250F" w:rsidRDefault="00F4250F" w:rsidP="00F4250F">
            <w:r>
              <w:t xml:space="preserve">Concrete demand </w:t>
            </w:r>
          </w:p>
        </w:tc>
        <w:tc>
          <w:tcPr>
            <w:tcW w:w="990" w:type="dxa"/>
          </w:tcPr>
          <w:p w14:paraId="25EE8F44" w14:textId="77777777" w:rsidR="00F4250F" w:rsidRPr="00896C9E" w:rsidRDefault="00F4250F" w:rsidP="00F4250F">
            <w:pPr>
              <w:rPr>
                <w:sz w:val="20"/>
              </w:rPr>
            </w:pPr>
            <w:r w:rsidRPr="00896C9E">
              <w:rPr>
                <w:sz w:val="20"/>
              </w:rPr>
              <w:t>2045-‘50</w:t>
            </w:r>
          </w:p>
        </w:tc>
        <w:tc>
          <w:tcPr>
            <w:tcW w:w="1620" w:type="dxa"/>
            <w:vAlign w:val="bottom"/>
          </w:tcPr>
          <w:p w14:paraId="4BFAD993" w14:textId="146C3883" w:rsidR="00F4250F" w:rsidRDefault="00F4250F" w:rsidP="00F4250F">
            <w:pPr>
              <w:jc w:val="center"/>
            </w:pPr>
            <w:r>
              <w:rPr>
                <w:rFonts w:ascii="Calibri" w:hAnsi="Calibri" w:cs="Calibri"/>
                <w:color w:val="9C0006"/>
              </w:rPr>
              <w:t>-20%</w:t>
            </w:r>
          </w:p>
        </w:tc>
        <w:tc>
          <w:tcPr>
            <w:tcW w:w="1440" w:type="dxa"/>
            <w:vAlign w:val="bottom"/>
          </w:tcPr>
          <w:p w14:paraId="7179CD3E" w14:textId="78BC36D8" w:rsidR="00F4250F" w:rsidRDefault="00F4250F" w:rsidP="00F4250F">
            <w:pPr>
              <w:jc w:val="center"/>
            </w:pPr>
            <w:r>
              <w:rPr>
                <w:rFonts w:ascii="Calibri" w:hAnsi="Calibri" w:cs="Calibri"/>
                <w:color w:val="9C0006"/>
              </w:rPr>
              <w:t>-8%</w:t>
            </w:r>
          </w:p>
        </w:tc>
        <w:tc>
          <w:tcPr>
            <w:tcW w:w="1105" w:type="dxa"/>
            <w:vMerge/>
            <w:vAlign w:val="bottom"/>
          </w:tcPr>
          <w:p w14:paraId="68C3B27D" w14:textId="77777777" w:rsidR="00F4250F" w:rsidRDefault="00F4250F" w:rsidP="00F4250F">
            <w:pPr>
              <w:jc w:val="center"/>
            </w:pPr>
          </w:p>
        </w:tc>
        <w:tc>
          <w:tcPr>
            <w:tcW w:w="1325" w:type="dxa"/>
            <w:vMerge/>
            <w:vAlign w:val="bottom"/>
          </w:tcPr>
          <w:p w14:paraId="36A36610" w14:textId="77777777" w:rsidR="00F4250F" w:rsidRDefault="00F4250F" w:rsidP="00F4250F">
            <w:pPr>
              <w:jc w:val="center"/>
            </w:pPr>
          </w:p>
        </w:tc>
      </w:tr>
      <w:tr w:rsidR="00F4250F" w14:paraId="3FE1F544" w14:textId="77777777" w:rsidTr="00367D0E">
        <w:trPr>
          <w:trHeight w:val="267"/>
        </w:trPr>
        <w:tc>
          <w:tcPr>
            <w:tcW w:w="1525" w:type="dxa"/>
            <w:vMerge/>
          </w:tcPr>
          <w:p w14:paraId="54EDB97D" w14:textId="77777777" w:rsidR="00F4250F" w:rsidRDefault="00F4250F" w:rsidP="00F4250F"/>
        </w:tc>
        <w:tc>
          <w:tcPr>
            <w:tcW w:w="2070" w:type="dxa"/>
          </w:tcPr>
          <w:p w14:paraId="3EF1C0E2" w14:textId="77777777" w:rsidR="00F4250F" w:rsidRDefault="00F4250F" w:rsidP="00F4250F">
            <w:r>
              <w:t>Glass demand</w:t>
            </w:r>
          </w:p>
        </w:tc>
        <w:tc>
          <w:tcPr>
            <w:tcW w:w="990" w:type="dxa"/>
          </w:tcPr>
          <w:p w14:paraId="5B817B16" w14:textId="77777777" w:rsidR="00F4250F" w:rsidRPr="00896C9E" w:rsidRDefault="00F4250F" w:rsidP="00F4250F">
            <w:pPr>
              <w:rPr>
                <w:sz w:val="20"/>
              </w:rPr>
            </w:pPr>
            <w:r w:rsidRPr="00896C9E">
              <w:rPr>
                <w:sz w:val="20"/>
              </w:rPr>
              <w:t>2045-‘50</w:t>
            </w:r>
          </w:p>
        </w:tc>
        <w:tc>
          <w:tcPr>
            <w:tcW w:w="1620" w:type="dxa"/>
            <w:vAlign w:val="bottom"/>
          </w:tcPr>
          <w:p w14:paraId="115BE4CB" w14:textId="4028E502" w:rsidR="00F4250F" w:rsidRDefault="00F4250F" w:rsidP="00F4250F">
            <w:pPr>
              <w:jc w:val="center"/>
            </w:pPr>
            <w:r>
              <w:rPr>
                <w:rFonts w:ascii="Calibri" w:hAnsi="Calibri" w:cs="Calibri"/>
                <w:color w:val="9C0006"/>
              </w:rPr>
              <w:t>-2%</w:t>
            </w:r>
          </w:p>
        </w:tc>
        <w:tc>
          <w:tcPr>
            <w:tcW w:w="1440" w:type="dxa"/>
            <w:vAlign w:val="bottom"/>
          </w:tcPr>
          <w:p w14:paraId="0D650582" w14:textId="4DA913A2" w:rsidR="00F4250F" w:rsidRDefault="00F4250F" w:rsidP="00F4250F">
            <w:pPr>
              <w:jc w:val="center"/>
            </w:pPr>
            <w:r>
              <w:rPr>
                <w:rFonts w:ascii="Calibri" w:hAnsi="Calibri" w:cs="Calibri"/>
                <w:color w:val="9C0006"/>
              </w:rPr>
              <w:t>-9%</w:t>
            </w:r>
          </w:p>
        </w:tc>
        <w:tc>
          <w:tcPr>
            <w:tcW w:w="1105" w:type="dxa"/>
            <w:vMerge/>
            <w:vAlign w:val="bottom"/>
          </w:tcPr>
          <w:p w14:paraId="779103D2" w14:textId="77777777" w:rsidR="00F4250F" w:rsidRDefault="00F4250F" w:rsidP="00F4250F">
            <w:pPr>
              <w:jc w:val="center"/>
            </w:pPr>
          </w:p>
        </w:tc>
        <w:tc>
          <w:tcPr>
            <w:tcW w:w="1325" w:type="dxa"/>
            <w:vMerge/>
            <w:vAlign w:val="bottom"/>
          </w:tcPr>
          <w:p w14:paraId="114C86F4" w14:textId="77777777" w:rsidR="00F4250F" w:rsidRDefault="00F4250F" w:rsidP="00F4250F">
            <w:pPr>
              <w:jc w:val="center"/>
            </w:pPr>
          </w:p>
        </w:tc>
      </w:tr>
      <w:tr w:rsidR="00F4250F" w14:paraId="0D1BECAD" w14:textId="77777777" w:rsidTr="00367D0E">
        <w:trPr>
          <w:trHeight w:val="267"/>
        </w:trPr>
        <w:tc>
          <w:tcPr>
            <w:tcW w:w="1525" w:type="dxa"/>
            <w:vMerge/>
          </w:tcPr>
          <w:p w14:paraId="5A8AF523" w14:textId="77777777" w:rsidR="00F4250F" w:rsidRDefault="00F4250F" w:rsidP="00F4250F"/>
        </w:tc>
        <w:tc>
          <w:tcPr>
            <w:tcW w:w="2070" w:type="dxa"/>
          </w:tcPr>
          <w:p w14:paraId="1FEB2BD7" w14:textId="77777777" w:rsidR="00F4250F" w:rsidRDefault="00F4250F" w:rsidP="00F4250F">
            <w:r>
              <w:t>Wood dem.</w:t>
            </w:r>
          </w:p>
        </w:tc>
        <w:tc>
          <w:tcPr>
            <w:tcW w:w="990" w:type="dxa"/>
          </w:tcPr>
          <w:p w14:paraId="1BFD8EB4" w14:textId="77777777" w:rsidR="00F4250F" w:rsidRPr="00896C9E" w:rsidRDefault="00F4250F" w:rsidP="00F4250F">
            <w:pPr>
              <w:rPr>
                <w:sz w:val="20"/>
              </w:rPr>
            </w:pPr>
            <w:r w:rsidRPr="00896C9E">
              <w:rPr>
                <w:sz w:val="20"/>
              </w:rPr>
              <w:t>2045-‘50</w:t>
            </w:r>
          </w:p>
        </w:tc>
        <w:tc>
          <w:tcPr>
            <w:tcW w:w="1620" w:type="dxa"/>
            <w:vAlign w:val="bottom"/>
          </w:tcPr>
          <w:p w14:paraId="695860B0" w14:textId="754A5609" w:rsidR="00F4250F" w:rsidRDefault="00F4250F" w:rsidP="00F4250F">
            <w:pPr>
              <w:jc w:val="center"/>
            </w:pPr>
            <w:r>
              <w:rPr>
                <w:rFonts w:ascii="Calibri" w:hAnsi="Calibri" w:cs="Calibri"/>
                <w:color w:val="70AD47"/>
              </w:rPr>
              <w:t>2%</w:t>
            </w:r>
          </w:p>
        </w:tc>
        <w:tc>
          <w:tcPr>
            <w:tcW w:w="1440" w:type="dxa"/>
            <w:vAlign w:val="bottom"/>
          </w:tcPr>
          <w:p w14:paraId="7E821CD8" w14:textId="34D0FE69" w:rsidR="00F4250F" w:rsidRDefault="00F4250F" w:rsidP="00F4250F">
            <w:pPr>
              <w:jc w:val="center"/>
            </w:pPr>
            <w:r>
              <w:rPr>
                <w:rFonts w:ascii="Calibri" w:hAnsi="Calibri" w:cs="Calibri"/>
                <w:color w:val="9C0006"/>
              </w:rPr>
              <w:t>-5%</w:t>
            </w:r>
          </w:p>
        </w:tc>
        <w:tc>
          <w:tcPr>
            <w:tcW w:w="1105" w:type="dxa"/>
            <w:vMerge/>
            <w:vAlign w:val="bottom"/>
          </w:tcPr>
          <w:p w14:paraId="609993A9" w14:textId="77777777" w:rsidR="00F4250F" w:rsidRDefault="00F4250F" w:rsidP="00F4250F">
            <w:pPr>
              <w:jc w:val="center"/>
            </w:pPr>
          </w:p>
        </w:tc>
        <w:tc>
          <w:tcPr>
            <w:tcW w:w="1325" w:type="dxa"/>
            <w:vMerge/>
            <w:vAlign w:val="bottom"/>
          </w:tcPr>
          <w:p w14:paraId="7EC2AAB5" w14:textId="77777777" w:rsidR="00F4250F" w:rsidRDefault="00F4250F" w:rsidP="00F4250F">
            <w:pPr>
              <w:jc w:val="center"/>
            </w:pPr>
          </w:p>
        </w:tc>
      </w:tr>
      <w:tr w:rsidR="00F4250F" w14:paraId="6DDA6881" w14:textId="77777777" w:rsidTr="00367D0E">
        <w:trPr>
          <w:trHeight w:val="267"/>
        </w:trPr>
        <w:tc>
          <w:tcPr>
            <w:tcW w:w="1525" w:type="dxa"/>
            <w:vMerge/>
          </w:tcPr>
          <w:p w14:paraId="03535356" w14:textId="77777777" w:rsidR="00F4250F" w:rsidRDefault="00F4250F" w:rsidP="00F4250F"/>
        </w:tc>
        <w:tc>
          <w:tcPr>
            <w:tcW w:w="2070" w:type="dxa"/>
          </w:tcPr>
          <w:p w14:paraId="2EB0BD58" w14:textId="77777777" w:rsidR="00F4250F" w:rsidRDefault="00F4250F" w:rsidP="00F4250F">
            <w:r>
              <w:t>Aluminium demand</w:t>
            </w:r>
          </w:p>
        </w:tc>
        <w:tc>
          <w:tcPr>
            <w:tcW w:w="990" w:type="dxa"/>
          </w:tcPr>
          <w:p w14:paraId="4D5CAE2A" w14:textId="77777777" w:rsidR="00F4250F" w:rsidRPr="00896C9E" w:rsidRDefault="00F4250F" w:rsidP="00F4250F">
            <w:pPr>
              <w:rPr>
                <w:sz w:val="20"/>
              </w:rPr>
            </w:pPr>
            <w:r w:rsidRPr="00896C9E">
              <w:rPr>
                <w:sz w:val="20"/>
              </w:rPr>
              <w:t>2045-‘50</w:t>
            </w:r>
          </w:p>
        </w:tc>
        <w:tc>
          <w:tcPr>
            <w:tcW w:w="1620" w:type="dxa"/>
            <w:vAlign w:val="bottom"/>
          </w:tcPr>
          <w:p w14:paraId="77925FE4" w14:textId="76369C66" w:rsidR="00F4250F" w:rsidRDefault="00F4250F" w:rsidP="00F4250F">
            <w:pPr>
              <w:jc w:val="center"/>
            </w:pPr>
            <w:r>
              <w:rPr>
                <w:rFonts w:ascii="Calibri" w:hAnsi="Calibri" w:cs="Calibri"/>
                <w:color w:val="9C0006"/>
              </w:rPr>
              <w:t>-18%</w:t>
            </w:r>
          </w:p>
        </w:tc>
        <w:tc>
          <w:tcPr>
            <w:tcW w:w="1440" w:type="dxa"/>
            <w:vAlign w:val="bottom"/>
          </w:tcPr>
          <w:p w14:paraId="4575977A" w14:textId="2DAFD1C2" w:rsidR="00F4250F" w:rsidRDefault="00F4250F" w:rsidP="00F4250F">
            <w:pPr>
              <w:jc w:val="center"/>
            </w:pPr>
            <w:r>
              <w:rPr>
                <w:rFonts w:ascii="Calibri" w:hAnsi="Calibri" w:cs="Calibri"/>
                <w:color w:val="9C0006"/>
              </w:rPr>
              <w:t>-10%</w:t>
            </w:r>
          </w:p>
        </w:tc>
        <w:tc>
          <w:tcPr>
            <w:tcW w:w="1105" w:type="dxa"/>
            <w:vMerge/>
            <w:vAlign w:val="bottom"/>
          </w:tcPr>
          <w:p w14:paraId="4B4101A8" w14:textId="77777777" w:rsidR="00F4250F" w:rsidRDefault="00F4250F" w:rsidP="00F4250F">
            <w:pPr>
              <w:jc w:val="center"/>
            </w:pPr>
          </w:p>
        </w:tc>
        <w:tc>
          <w:tcPr>
            <w:tcW w:w="1325" w:type="dxa"/>
            <w:vMerge/>
            <w:vAlign w:val="bottom"/>
          </w:tcPr>
          <w:p w14:paraId="17E957CF" w14:textId="77777777" w:rsidR="00F4250F" w:rsidRDefault="00F4250F" w:rsidP="00F4250F">
            <w:pPr>
              <w:jc w:val="center"/>
            </w:pPr>
          </w:p>
        </w:tc>
      </w:tr>
      <w:tr w:rsidR="00F4250F" w14:paraId="02602AEF" w14:textId="77777777" w:rsidTr="00367D0E">
        <w:trPr>
          <w:trHeight w:val="267"/>
        </w:trPr>
        <w:tc>
          <w:tcPr>
            <w:tcW w:w="1525" w:type="dxa"/>
            <w:vMerge/>
          </w:tcPr>
          <w:p w14:paraId="6EE80190" w14:textId="77777777" w:rsidR="00F4250F" w:rsidRDefault="00F4250F" w:rsidP="00F4250F"/>
        </w:tc>
        <w:tc>
          <w:tcPr>
            <w:tcW w:w="2070" w:type="dxa"/>
          </w:tcPr>
          <w:p w14:paraId="5590F64F" w14:textId="77777777" w:rsidR="00F4250F" w:rsidRDefault="00F4250F" w:rsidP="00F4250F">
            <w:r>
              <w:t>Copper demand</w:t>
            </w:r>
          </w:p>
        </w:tc>
        <w:tc>
          <w:tcPr>
            <w:tcW w:w="990" w:type="dxa"/>
          </w:tcPr>
          <w:p w14:paraId="35461E6D" w14:textId="77777777" w:rsidR="00F4250F" w:rsidRPr="00896C9E" w:rsidRDefault="00F4250F" w:rsidP="00F4250F">
            <w:pPr>
              <w:rPr>
                <w:sz w:val="20"/>
              </w:rPr>
            </w:pPr>
            <w:r w:rsidRPr="00896C9E">
              <w:rPr>
                <w:sz w:val="20"/>
              </w:rPr>
              <w:t>2045-‘50</w:t>
            </w:r>
          </w:p>
        </w:tc>
        <w:tc>
          <w:tcPr>
            <w:tcW w:w="1620" w:type="dxa"/>
            <w:vAlign w:val="bottom"/>
          </w:tcPr>
          <w:p w14:paraId="5E09FA63" w14:textId="3C549277" w:rsidR="00F4250F" w:rsidRDefault="00F4250F" w:rsidP="00F4250F">
            <w:pPr>
              <w:jc w:val="center"/>
            </w:pPr>
            <w:r>
              <w:rPr>
                <w:rFonts w:ascii="Calibri" w:hAnsi="Calibri" w:cs="Calibri"/>
                <w:color w:val="9C0006"/>
              </w:rPr>
              <w:t>-0.3%</w:t>
            </w:r>
          </w:p>
        </w:tc>
        <w:tc>
          <w:tcPr>
            <w:tcW w:w="1440" w:type="dxa"/>
            <w:vAlign w:val="bottom"/>
          </w:tcPr>
          <w:p w14:paraId="3FD78A0C" w14:textId="541F5B32" w:rsidR="00F4250F" w:rsidRDefault="00F4250F" w:rsidP="00F4250F">
            <w:pPr>
              <w:jc w:val="center"/>
            </w:pPr>
            <w:r>
              <w:rPr>
                <w:rFonts w:ascii="Calibri" w:hAnsi="Calibri" w:cs="Calibri"/>
                <w:color w:val="9C0006"/>
              </w:rPr>
              <w:t>-8%</w:t>
            </w:r>
          </w:p>
        </w:tc>
        <w:tc>
          <w:tcPr>
            <w:tcW w:w="1105" w:type="dxa"/>
            <w:vMerge/>
            <w:vAlign w:val="bottom"/>
          </w:tcPr>
          <w:p w14:paraId="4AD7BF48" w14:textId="77777777" w:rsidR="00F4250F" w:rsidRDefault="00F4250F" w:rsidP="00F4250F">
            <w:pPr>
              <w:jc w:val="center"/>
            </w:pPr>
          </w:p>
        </w:tc>
        <w:tc>
          <w:tcPr>
            <w:tcW w:w="1325" w:type="dxa"/>
            <w:vMerge/>
            <w:vAlign w:val="bottom"/>
          </w:tcPr>
          <w:p w14:paraId="51D20D97" w14:textId="77777777" w:rsidR="00F4250F" w:rsidRDefault="00F4250F" w:rsidP="00F4250F">
            <w:pPr>
              <w:jc w:val="center"/>
            </w:pPr>
          </w:p>
        </w:tc>
      </w:tr>
      <w:tr w:rsidR="00F4250F" w14:paraId="5284FD94" w14:textId="77777777" w:rsidTr="00367D0E">
        <w:trPr>
          <w:trHeight w:val="267"/>
        </w:trPr>
        <w:tc>
          <w:tcPr>
            <w:tcW w:w="1525" w:type="dxa"/>
            <w:vMerge w:val="restart"/>
          </w:tcPr>
          <w:p w14:paraId="3E5BB478" w14:textId="77777777" w:rsidR="00F4250F" w:rsidRDefault="00F4250F" w:rsidP="00F4250F">
            <w:r>
              <w:t>All (Services &amp; Residential)</w:t>
            </w:r>
          </w:p>
        </w:tc>
        <w:tc>
          <w:tcPr>
            <w:tcW w:w="2070" w:type="dxa"/>
          </w:tcPr>
          <w:p w14:paraId="5F27286D" w14:textId="77777777" w:rsidR="00F4250F" w:rsidRDefault="00F4250F" w:rsidP="00F4250F">
            <w:r>
              <w:t>Steel I/O ratio</w:t>
            </w:r>
          </w:p>
        </w:tc>
        <w:tc>
          <w:tcPr>
            <w:tcW w:w="990" w:type="dxa"/>
          </w:tcPr>
          <w:p w14:paraId="7C46BD5A" w14:textId="77777777" w:rsidR="00F4250F" w:rsidRPr="00896C9E" w:rsidRDefault="00F4250F" w:rsidP="00F4250F">
            <w:pPr>
              <w:rPr>
                <w:sz w:val="20"/>
              </w:rPr>
            </w:pPr>
            <w:r w:rsidRPr="00896C9E">
              <w:rPr>
                <w:sz w:val="20"/>
              </w:rPr>
              <w:t>2045-‘50</w:t>
            </w:r>
          </w:p>
        </w:tc>
        <w:tc>
          <w:tcPr>
            <w:tcW w:w="1620" w:type="dxa"/>
            <w:vAlign w:val="bottom"/>
          </w:tcPr>
          <w:p w14:paraId="40DB2B25" w14:textId="06612E40" w:rsidR="00F4250F" w:rsidRDefault="00F4250F" w:rsidP="00F4250F">
            <w:pPr>
              <w:jc w:val="center"/>
            </w:pPr>
            <w:r>
              <w:rPr>
                <w:rFonts w:ascii="Calibri" w:hAnsi="Calibri" w:cs="Calibri"/>
                <w:color w:val="70AD47"/>
              </w:rPr>
              <w:t>8%</w:t>
            </w:r>
          </w:p>
        </w:tc>
        <w:tc>
          <w:tcPr>
            <w:tcW w:w="1440" w:type="dxa"/>
            <w:vAlign w:val="bottom"/>
          </w:tcPr>
          <w:p w14:paraId="3312F140" w14:textId="552D297B" w:rsidR="00F4250F" w:rsidRDefault="00F4250F" w:rsidP="00F4250F">
            <w:pPr>
              <w:jc w:val="center"/>
            </w:pPr>
            <w:r>
              <w:rPr>
                <w:rFonts w:ascii="Calibri" w:hAnsi="Calibri" w:cs="Calibri"/>
                <w:color w:val="70AD47"/>
              </w:rPr>
              <w:t>2%</w:t>
            </w:r>
          </w:p>
        </w:tc>
        <w:tc>
          <w:tcPr>
            <w:tcW w:w="1105" w:type="dxa"/>
            <w:vAlign w:val="bottom"/>
          </w:tcPr>
          <w:p w14:paraId="78BDF0AC" w14:textId="6C075B66" w:rsidR="00F4250F" w:rsidRDefault="00F4250F" w:rsidP="00F4250F">
            <w:pPr>
              <w:jc w:val="center"/>
            </w:pPr>
            <w:r>
              <w:rPr>
                <w:rFonts w:ascii="Calibri" w:hAnsi="Calibri" w:cs="Calibri"/>
                <w:color w:val="70AD47"/>
              </w:rPr>
              <w:t>0.03%</w:t>
            </w:r>
          </w:p>
        </w:tc>
        <w:tc>
          <w:tcPr>
            <w:tcW w:w="1325" w:type="dxa"/>
            <w:vAlign w:val="bottom"/>
          </w:tcPr>
          <w:p w14:paraId="29C7012E" w14:textId="4720E7A9" w:rsidR="00F4250F" w:rsidRDefault="00F4250F" w:rsidP="00F4250F">
            <w:pPr>
              <w:jc w:val="center"/>
            </w:pPr>
            <w:r>
              <w:rPr>
                <w:rFonts w:ascii="Calibri" w:hAnsi="Calibri" w:cs="Calibri"/>
                <w:color w:val="70AD47"/>
              </w:rPr>
              <w:t>1%</w:t>
            </w:r>
          </w:p>
        </w:tc>
      </w:tr>
      <w:tr w:rsidR="00F4250F" w14:paraId="38DE00F8" w14:textId="77777777" w:rsidTr="00367D0E">
        <w:trPr>
          <w:trHeight w:val="267"/>
        </w:trPr>
        <w:tc>
          <w:tcPr>
            <w:tcW w:w="1525" w:type="dxa"/>
            <w:vMerge/>
          </w:tcPr>
          <w:p w14:paraId="5300F5A0" w14:textId="77777777" w:rsidR="00F4250F" w:rsidRDefault="00F4250F" w:rsidP="00F4250F"/>
        </w:tc>
        <w:tc>
          <w:tcPr>
            <w:tcW w:w="2070" w:type="dxa"/>
          </w:tcPr>
          <w:p w14:paraId="66DBD350" w14:textId="77777777" w:rsidR="00F4250F" w:rsidRDefault="00F4250F" w:rsidP="00F4250F">
            <w:r>
              <w:t>Concrete I/O ratio</w:t>
            </w:r>
          </w:p>
        </w:tc>
        <w:tc>
          <w:tcPr>
            <w:tcW w:w="990" w:type="dxa"/>
          </w:tcPr>
          <w:p w14:paraId="1A469C40" w14:textId="77777777" w:rsidR="00F4250F" w:rsidRPr="00896C9E" w:rsidRDefault="00F4250F" w:rsidP="00F4250F">
            <w:pPr>
              <w:rPr>
                <w:sz w:val="20"/>
              </w:rPr>
            </w:pPr>
            <w:r w:rsidRPr="00896C9E">
              <w:rPr>
                <w:sz w:val="20"/>
              </w:rPr>
              <w:t>2045-‘50</w:t>
            </w:r>
          </w:p>
        </w:tc>
        <w:tc>
          <w:tcPr>
            <w:tcW w:w="1620" w:type="dxa"/>
            <w:vAlign w:val="bottom"/>
          </w:tcPr>
          <w:p w14:paraId="21E50437" w14:textId="20B773D0" w:rsidR="00F4250F" w:rsidRDefault="00F4250F" w:rsidP="00F4250F">
            <w:pPr>
              <w:jc w:val="center"/>
            </w:pPr>
            <w:r>
              <w:rPr>
                <w:rFonts w:ascii="Calibri" w:hAnsi="Calibri" w:cs="Calibri"/>
                <w:color w:val="70AD47"/>
              </w:rPr>
              <w:t>36%</w:t>
            </w:r>
          </w:p>
        </w:tc>
        <w:tc>
          <w:tcPr>
            <w:tcW w:w="1440" w:type="dxa"/>
            <w:vAlign w:val="bottom"/>
          </w:tcPr>
          <w:p w14:paraId="69DF77F6" w14:textId="6DD43397" w:rsidR="00F4250F" w:rsidRDefault="00F4250F" w:rsidP="00F4250F">
            <w:pPr>
              <w:jc w:val="center"/>
            </w:pPr>
            <w:r>
              <w:rPr>
                <w:rFonts w:ascii="Calibri" w:hAnsi="Calibri" w:cs="Calibri"/>
                <w:color w:val="70AD47"/>
              </w:rPr>
              <w:t>2%</w:t>
            </w:r>
          </w:p>
        </w:tc>
        <w:tc>
          <w:tcPr>
            <w:tcW w:w="1105" w:type="dxa"/>
            <w:vAlign w:val="bottom"/>
          </w:tcPr>
          <w:p w14:paraId="3D0A0B3C" w14:textId="31522E68" w:rsidR="00F4250F" w:rsidRDefault="00F4250F" w:rsidP="00F4250F">
            <w:pPr>
              <w:jc w:val="center"/>
            </w:pPr>
            <w:r>
              <w:rPr>
                <w:rFonts w:ascii="Calibri" w:hAnsi="Calibri" w:cs="Calibri"/>
                <w:color w:val="9C0006"/>
              </w:rPr>
              <w:t>-0.6%</w:t>
            </w:r>
          </w:p>
        </w:tc>
        <w:tc>
          <w:tcPr>
            <w:tcW w:w="1325" w:type="dxa"/>
            <w:vAlign w:val="bottom"/>
          </w:tcPr>
          <w:p w14:paraId="455DC1BB" w14:textId="6335D008" w:rsidR="00F4250F" w:rsidRDefault="00F4250F" w:rsidP="00F4250F">
            <w:pPr>
              <w:jc w:val="center"/>
            </w:pPr>
            <w:r>
              <w:rPr>
                <w:rFonts w:ascii="Calibri" w:hAnsi="Calibri" w:cs="Calibri"/>
                <w:color w:val="70AD47"/>
              </w:rPr>
              <w:t>2%</w:t>
            </w:r>
          </w:p>
        </w:tc>
      </w:tr>
      <w:tr w:rsidR="00F4250F" w14:paraId="2E18F180" w14:textId="77777777" w:rsidTr="00367D0E">
        <w:trPr>
          <w:trHeight w:val="267"/>
        </w:trPr>
        <w:tc>
          <w:tcPr>
            <w:tcW w:w="1525" w:type="dxa"/>
            <w:vMerge/>
          </w:tcPr>
          <w:p w14:paraId="37D8025C" w14:textId="77777777" w:rsidR="00F4250F" w:rsidRDefault="00F4250F" w:rsidP="00F4250F"/>
        </w:tc>
        <w:tc>
          <w:tcPr>
            <w:tcW w:w="2070" w:type="dxa"/>
          </w:tcPr>
          <w:p w14:paraId="74DF5C36" w14:textId="77777777" w:rsidR="00F4250F" w:rsidRDefault="00F4250F" w:rsidP="00F4250F">
            <w:r>
              <w:t>Glass I/O ratio</w:t>
            </w:r>
          </w:p>
        </w:tc>
        <w:tc>
          <w:tcPr>
            <w:tcW w:w="990" w:type="dxa"/>
          </w:tcPr>
          <w:p w14:paraId="37E166D3" w14:textId="77777777" w:rsidR="00F4250F" w:rsidRPr="00896C9E" w:rsidRDefault="00F4250F" w:rsidP="00F4250F">
            <w:pPr>
              <w:rPr>
                <w:sz w:val="20"/>
              </w:rPr>
            </w:pPr>
            <w:r w:rsidRPr="00896C9E">
              <w:rPr>
                <w:sz w:val="20"/>
              </w:rPr>
              <w:t>2045-‘50</w:t>
            </w:r>
          </w:p>
        </w:tc>
        <w:tc>
          <w:tcPr>
            <w:tcW w:w="1620" w:type="dxa"/>
            <w:vAlign w:val="bottom"/>
          </w:tcPr>
          <w:p w14:paraId="5D327302" w14:textId="5551F7C1" w:rsidR="00F4250F" w:rsidRDefault="00F4250F" w:rsidP="00F4250F">
            <w:pPr>
              <w:jc w:val="center"/>
            </w:pPr>
            <w:r>
              <w:rPr>
                <w:rFonts w:ascii="Calibri" w:hAnsi="Calibri" w:cs="Calibri"/>
                <w:color w:val="9C0006"/>
              </w:rPr>
              <w:t>-1%</w:t>
            </w:r>
          </w:p>
        </w:tc>
        <w:tc>
          <w:tcPr>
            <w:tcW w:w="1440" w:type="dxa"/>
            <w:vAlign w:val="bottom"/>
          </w:tcPr>
          <w:p w14:paraId="73730311" w14:textId="79AD5BA4" w:rsidR="00F4250F" w:rsidRDefault="00F4250F" w:rsidP="00F4250F">
            <w:pPr>
              <w:jc w:val="center"/>
            </w:pPr>
            <w:r>
              <w:rPr>
                <w:rFonts w:ascii="Calibri" w:hAnsi="Calibri" w:cs="Calibri"/>
                <w:color w:val="70AD47"/>
              </w:rPr>
              <w:t>1%</w:t>
            </w:r>
          </w:p>
        </w:tc>
        <w:tc>
          <w:tcPr>
            <w:tcW w:w="1105" w:type="dxa"/>
            <w:vAlign w:val="bottom"/>
          </w:tcPr>
          <w:p w14:paraId="1E49A03C" w14:textId="752E0CFD" w:rsidR="00F4250F" w:rsidRDefault="00F4250F" w:rsidP="00F4250F">
            <w:pPr>
              <w:jc w:val="center"/>
            </w:pPr>
            <w:r>
              <w:rPr>
                <w:rFonts w:ascii="Calibri" w:hAnsi="Calibri" w:cs="Calibri"/>
                <w:color w:val="9C0006"/>
              </w:rPr>
              <w:t>-1.0%</w:t>
            </w:r>
          </w:p>
        </w:tc>
        <w:tc>
          <w:tcPr>
            <w:tcW w:w="1325" w:type="dxa"/>
            <w:vAlign w:val="bottom"/>
          </w:tcPr>
          <w:p w14:paraId="0994D76C" w14:textId="0060AC13" w:rsidR="00F4250F" w:rsidRDefault="00F4250F" w:rsidP="00F4250F">
            <w:pPr>
              <w:jc w:val="center"/>
            </w:pPr>
            <w:r>
              <w:rPr>
                <w:rFonts w:ascii="Calibri" w:hAnsi="Calibri" w:cs="Calibri"/>
                <w:color w:val="70AD47"/>
              </w:rPr>
              <w:t>3%</w:t>
            </w:r>
          </w:p>
        </w:tc>
      </w:tr>
      <w:tr w:rsidR="00F4250F" w14:paraId="3CF952A8" w14:textId="77777777" w:rsidTr="00367D0E">
        <w:trPr>
          <w:trHeight w:val="267"/>
        </w:trPr>
        <w:tc>
          <w:tcPr>
            <w:tcW w:w="1525" w:type="dxa"/>
            <w:vMerge/>
          </w:tcPr>
          <w:p w14:paraId="0DF575DF" w14:textId="77777777" w:rsidR="00F4250F" w:rsidRDefault="00F4250F" w:rsidP="00F4250F"/>
        </w:tc>
        <w:tc>
          <w:tcPr>
            <w:tcW w:w="2070" w:type="dxa"/>
          </w:tcPr>
          <w:p w14:paraId="1CB7B299" w14:textId="77777777" w:rsidR="00F4250F" w:rsidRDefault="00F4250F" w:rsidP="00F4250F">
            <w:r>
              <w:t>Wood I/O ratio</w:t>
            </w:r>
          </w:p>
        </w:tc>
        <w:tc>
          <w:tcPr>
            <w:tcW w:w="990" w:type="dxa"/>
          </w:tcPr>
          <w:p w14:paraId="4E4B4F1A" w14:textId="77777777" w:rsidR="00F4250F" w:rsidRPr="00896C9E" w:rsidRDefault="00F4250F" w:rsidP="00F4250F">
            <w:pPr>
              <w:rPr>
                <w:sz w:val="20"/>
              </w:rPr>
            </w:pPr>
            <w:r w:rsidRPr="00896C9E">
              <w:rPr>
                <w:sz w:val="20"/>
              </w:rPr>
              <w:t>2045-‘50</w:t>
            </w:r>
          </w:p>
        </w:tc>
        <w:tc>
          <w:tcPr>
            <w:tcW w:w="1620" w:type="dxa"/>
            <w:vAlign w:val="bottom"/>
          </w:tcPr>
          <w:p w14:paraId="3A268923" w14:textId="3E43F035" w:rsidR="00F4250F" w:rsidRDefault="00F4250F" w:rsidP="00F4250F">
            <w:pPr>
              <w:jc w:val="center"/>
            </w:pPr>
            <w:r>
              <w:rPr>
                <w:rFonts w:ascii="Calibri" w:hAnsi="Calibri" w:cs="Calibri"/>
                <w:color w:val="9C0006"/>
              </w:rPr>
              <w:t>-13%</w:t>
            </w:r>
          </w:p>
        </w:tc>
        <w:tc>
          <w:tcPr>
            <w:tcW w:w="1440" w:type="dxa"/>
            <w:vAlign w:val="bottom"/>
          </w:tcPr>
          <w:p w14:paraId="7367E4BF" w14:textId="24D7276B" w:rsidR="00F4250F" w:rsidRDefault="00F4250F" w:rsidP="00F4250F">
            <w:pPr>
              <w:jc w:val="center"/>
            </w:pPr>
            <w:r>
              <w:rPr>
                <w:rFonts w:ascii="Calibri" w:hAnsi="Calibri" w:cs="Calibri"/>
                <w:color w:val="70AD47"/>
              </w:rPr>
              <w:t>2%</w:t>
            </w:r>
          </w:p>
        </w:tc>
        <w:tc>
          <w:tcPr>
            <w:tcW w:w="1105" w:type="dxa"/>
            <w:vAlign w:val="bottom"/>
          </w:tcPr>
          <w:p w14:paraId="73BF55D7" w14:textId="167E6F42" w:rsidR="00F4250F" w:rsidRDefault="00F4250F" w:rsidP="00F4250F">
            <w:pPr>
              <w:jc w:val="center"/>
            </w:pPr>
            <w:r>
              <w:rPr>
                <w:rFonts w:ascii="Calibri" w:hAnsi="Calibri" w:cs="Calibri"/>
                <w:color w:val="9C0006"/>
              </w:rPr>
              <w:t>-0.4%</w:t>
            </w:r>
          </w:p>
        </w:tc>
        <w:tc>
          <w:tcPr>
            <w:tcW w:w="1325" w:type="dxa"/>
            <w:vAlign w:val="bottom"/>
          </w:tcPr>
          <w:p w14:paraId="0E4D0D06" w14:textId="1E3D3E17" w:rsidR="00F4250F" w:rsidRDefault="00F4250F" w:rsidP="00F4250F">
            <w:pPr>
              <w:jc w:val="center"/>
            </w:pPr>
            <w:r>
              <w:rPr>
                <w:rFonts w:ascii="Calibri" w:hAnsi="Calibri" w:cs="Calibri"/>
                <w:color w:val="70AD47"/>
              </w:rPr>
              <w:t>1%</w:t>
            </w:r>
          </w:p>
        </w:tc>
      </w:tr>
      <w:tr w:rsidR="00F4250F" w14:paraId="38FD8015" w14:textId="77777777" w:rsidTr="00367D0E">
        <w:trPr>
          <w:trHeight w:val="267"/>
        </w:trPr>
        <w:tc>
          <w:tcPr>
            <w:tcW w:w="1525" w:type="dxa"/>
            <w:vMerge/>
          </w:tcPr>
          <w:p w14:paraId="43E4C8B4" w14:textId="77777777" w:rsidR="00F4250F" w:rsidRDefault="00F4250F" w:rsidP="00F4250F"/>
        </w:tc>
        <w:tc>
          <w:tcPr>
            <w:tcW w:w="2070" w:type="dxa"/>
          </w:tcPr>
          <w:p w14:paraId="3AF47AC8" w14:textId="77777777" w:rsidR="00F4250F" w:rsidRDefault="00F4250F" w:rsidP="00F4250F">
            <w:r>
              <w:t>Aluminium I/O ratio</w:t>
            </w:r>
          </w:p>
        </w:tc>
        <w:tc>
          <w:tcPr>
            <w:tcW w:w="990" w:type="dxa"/>
          </w:tcPr>
          <w:p w14:paraId="501718E1" w14:textId="77777777" w:rsidR="00F4250F" w:rsidRPr="00896C9E" w:rsidRDefault="00F4250F" w:rsidP="00F4250F">
            <w:pPr>
              <w:rPr>
                <w:sz w:val="20"/>
              </w:rPr>
            </w:pPr>
            <w:r w:rsidRPr="00896C9E">
              <w:rPr>
                <w:sz w:val="20"/>
              </w:rPr>
              <w:t>2045-‘50</w:t>
            </w:r>
          </w:p>
        </w:tc>
        <w:tc>
          <w:tcPr>
            <w:tcW w:w="1620" w:type="dxa"/>
            <w:vAlign w:val="bottom"/>
          </w:tcPr>
          <w:p w14:paraId="212261DB" w14:textId="115A62E4" w:rsidR="00F4250F" w:rsidRDefault="00F4250F" w:rsidP="00F4250F">
            <w:pPr>
              <w:jc w:val="center"/>
            </w:pPr>
            <w:r>
              <w:rPr>
                <w:rFonts w:ascii="Calibri" w:hAnsi="Calibri" w:cs="Calibri"/>
                <w:color w:val="70AD47"/>
              </w:rPr>
              <w:t>23%</w:t>
            </w:r>
          </w:p>
        </w:tc>
        <w:tc>
          <w:tcPr>
            <w:tcW w:w="1440" w:type="dxa"/>
            <w:vAlign w:val="bottom"/>
          </w:tcPr>
          <w:p w14:paraId="3F10DA89" w14:textId="6B4F7861" w:rsidR="00F4250F" w:rsidRDefault="00F4250F" w:rsidP="00F4250F">
            <w:pPr>
              <w:jc w:val="center"/>
            </w:pPr>
            <w:r>
              <w:rPr>
                <w:rFonts w:ascii="Calibri" w:hAnsi="Calibri" w:cs="Calibri"/>
                <w:color w:val="70AD47"/>
              </w:rPr>
              <w:t>1%</w:t>
            </w:r>
          </w:p>
        </w:tc>
        <w:tc>
          <w:tcPr>
            <w:tcW w:w="1105" w:type="dxa"/>
            <w:vAlign w:val="bottom"/>
          </w:tcPr>
          <w:p w14:paraId="049C9AA8" w14:textId="7FC7F9EA" w:rsidR="00F4250F" w:rsidRDefault="00F4250F" w:rsidP="00F4250F">
            <w:pPr>
              <w:jc w:val="center"/>
            </w:pPr>
            <w:r>
              <w:rPr>
                <w:rFonts w:ascii="Calibri" w:hAnsi="Calibri" w:cs="Calibri"/>
                <w:color w:val="9C0006"/>
              </w:rPr>
              <w:t>-0.7%</w:t>
            </w:r>
          </w:p>
        </w:tc>
        <w:tc>
          <w:tcPr>
            <w:tcW w:w="1325" w:type="dxa"/>
            <w:vAlign w:val="bottom"/>
          </w:tcPr>
          <w:p w14:paraId="06E5CD31" w14:textId="5B9AFAC8" w:rsidR="00F4250F" w:rsidRDefault="00F4250F" w:rsidP="00F4250F">
            <w:pPr>
              <w:jc w:val="center"/>
            </w:pPr>
            <w:r>
              <w:rPr>
                <w:rFonts w:ascii="Calibri" w:hAnsi="Calibri" w:cs="Calibri"/>
                <w:color w:val="70AD47"/>
              </w:rPr>
              <w:t>2%</w:t>
            </w:r>
          </w:p>
        </w:tc>
      </w:tr>
      <w:tr w:rsidR="00F4250F" w14:paraId="36D9DB4E" w14:textId="77777777" w:rsidTr="00367D0E">
        <w:trPr>
          <w:trHeight w:val="267"/>
        </w:trPr>
        <w:tc>
          <w:tcPr>
            <w:tcW w:w="1525" w:type="dxa"/>
            <w:vMerge/>
          </w:tcPr>
          <w:p w14:paraId="702770B4" w14:textId="77777777" w:rsidR="00F4250F" w:rsidRDefault="00F4250F" w:rsidP="00F4250F"/>
        </w:tc>
        <w:tc>
          <w:tcPr>
            <w:tcW w:w="2070" w:type="dxa"/>
          </w:tcPr>
          <w:p w14:paraId="341BA9BE" w14:textId="77777777" w:rsidR="00F4250F" w:rsidRDefault="00F4250F" w:rsidP="00F4250F">
            <w:r>
              <w:t>Copper I/O ratio</w:t>
            </w:r>
          </w:p>
        </w:tc>
        <w:tc>
          <w:tcPr>
            <w:tcW w:w="990" w:type="dxa"/>
          </w:tcPr>
          <w:p w14:paraId="244BBDB5" w14:textId="77777777" w:rsidR="00F4250F" w:rsidRPr="00896C9E" w:rsidRDefault="00F4250F" w:rsidP="00F4250F">
            <w:pPr>
              <w:rPr>
                <w:sz w:val="20"/>
              </w:rPr>
            </w:pPr>
            <w:r w:rsidRPr="00896C9E">
              <w:rPr>
                <w:sz w:val="20"/>
              </w:rPr>
              <w:t>2045-‘50</w:t>
            </w:r>
          </w:p>
        </w:tc>
        <w:tc>
          <w:tcPr>
            <w:tcW w:w="1620" w:type="dxa"/>
            <w:vAlign w:val="bottom"/>
          </w:tcPr>
          <w:p w14:paraId="08B9A0E0" w14:textId="3176952E" w:rsidR="00F4250F" w:rsidRDefault="00F4250F" w:rsidP="00F4250F">
            <w:pPr>
              <w:jc w:val="center"/>
            </w:pPr>
            <w:r>
              <w:rPr>
                <w:rFonts w:ascii="Calibri" w:hAnsi="Calibri" w:cs="Calibri"/>
                <w:color w:val="70AD47"/>
              </w:rPr>
              <w:t>2%</w:t>
            </w:r>
          </w:p>
        </w:tc>
        <w:tc>
          <w:tcPr>
            <w:tcW w:w="1440" w:type="dxa"/>
            <w:vAlign w:val="bottom"/>
          </w:tcPr>
          <w:p w14:paraId="545D55DD" w14:textId="6D41CE85" w:rsidR="00F4250F" w:rsidRDefault="00F4250F" w:rsidP="00F4250F">
            <w:pPr>
              <w:jc w:val="center"/>
            </w:pPr>
            <w:r>
              <w:rPr>
                <w:rFonts w:ascii="Calibri" w:hAnsi="Calibri" w:cs="Calibri"/>
                <w:color w:val="9C0006"/>
              </w:rPr>
              <w:t>-0.3%</w:t>
            </w:r>
          </w:p>
        </w:tc>
        <w:tc>
          <w:tcPr>
            <w:tcW w:w="1105" w:type="dxa"/>
            <w:vAlign w:val="bottom"/>
          </w:tcPr>
          <w:p w14:paraId="1BB3EABC" w14:textId="68659D0F" w:rsidR="00F4250F" w:rsidRDefault="00F4250F" w:rsidP="00F4250F">
            <w:pPr>
              <w:jc w:val="center"/>
            </w:pPr>
            <w:r>
              <w:rPr>
                <w:rFonts w:ascii="Calibri" w:hAnsi="Calibri" w:cs="Calibri"/>
                <w:color w:val="9C0006"/>
              </w:rPr>
              <w:t>-1.3%</w:t>
            </w:r>
          </w:p>
        </w:tc>
        <w:tc>
          <w:tcPr>
            <w:tcW w:w="1325" w:type="dxa"/>
            <w:vAlign w:val="bottom"/>
          </w:tcPr>
          <w:p w14:paraId="6040F3E7" w14:textId="515F2FFD" w:rsidR="00F4250F" w:rsidRDefault="00F4250F" w:rsidP="00F4250F">
            <w:pPr>
              <w:jc w:val="center"/>
            </w:pPr>
            <w:r>
              <w:rPr>
                <w:rFonts w:ascii="Calibri" w:hAnsi="Calibri" w:cs="Calibri"/>
                <w:color w:val="70AD47"/>
              </w:rPr>
              <w:t>4%</w:t>
            </w:r>
          </w:p>
        </w:tc>
      </w:tr>
    </w:tbl>
    <w:p w14:paraId="5EBF18E0" w14:textId="77777777" w:rsidR="0028074D" w:rsidRDefault="0028074D" w:rsidP="0028074D"/>
    <w:p w14:paraId="642A2589" w14:textId="331F0AE1" w:rsidR="0028074D" w:rsidRPr="001B51AA" w:rsidRDefault="0028074D" w:rsidP="0028074D">
      <w:pPr>
        <w:rPr>
          <w:i/>
          <w:sz w:val="20"/>
        </w:rPr>
      </w:pPr>
      <w:r w:rsidRPr="001B51AA">
        <w:rPr>
          <w:i/>
          <w:sz w:val="20"/>
        </w:rPr>
        <w:t>Table S.5. Effects of the four sensitivity variants on selected material demand indicators. See text for a description of the sensitivity variants. ‘I/O ratio’ stands for the Inflow-to-Outflow ratio. Please note that the numbers indicate the change with respect to the same indicators under the regular analysis presented in the main document. Gr</w:t>
      </w:r>
      <w:r w:rsidR="00AE0A21">
        <w:rPr>
          <w:i/>
          <w:sz w:val="20"/>
        </w:rPr>
        <w:t>e</w:t>
      </w:r>
      <w:r w:rsidRPr="001B51AA">
        <w:rPr>
          <w:i/>
          <w:sz w:val="20"/>
        </w:rPr>
        <w:t xml:space="preserve">en numbers indicate an increase in demand or I/O ratio, while red numbers indicate a decrease.  </w:t>
      </w:r>
    </w:p>
    <w:p w14:paraId="3FEEE2A5" w14:textId="77777777" w:rsidR="0028074D" w:rsidRDefault="0028074D" w:rsidP="0028074D">
      <w:r>
        <w:br w:type="page"/>
      </w:r>
    </w:p>
    <w:p w14:paraId="4A79A0AB" w14:textId="6D6F1BA6" w:rsidR="0028074D" w:rsidRDefault="00E82474" w:rsidP="0028074D">
      <w:r>
        <w:rPr>
          <w:noProof/>
        </w:rPr>
        <w:lastRenderedPageBreak/>
        <w:drawing>
          <wp:inline distT="0" distB="0" distL="0" distR="0" wp14:anchorId="1EC93FB4" wp14:editId="7E7CC34B">
            <wp:extent cx="299847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20373"/>
                    <a:stretch/>
                  </pic:blipFill>
                  <pic:spPr bwMode="auto">
                    <a:xfrm>
                      <a:off x="0" y="0"/>
                      <a:ext cx="3058973" cy="18657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726B4D" wp14:editId="42B0650F">
            <wp:extent cx="2936240" cy="1814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20540"/>
                    <a:stretch/>
                  </pic:blipFill>
                  <pic:spPr bwMode="auto">
                    <a:xfrm>
                      <a:off x="0" y="0"/>
                      <a:ext cx="2979488" cy="1840891"/>
                    </a:xfrm>
                    <a:prstGeom prst="rect">
                      <a:avLst/>
                    </a:prstGeom>
                    <a:noFill/>
                    <a:ln>
                      <a:noFill/>
                    </a:ln>
                    <a:extLst>
                      <a:ext uri="{53640926-AAD7-44D8-BBD7-CCE9431645EC}">
                        <a14:shadowObscured xmlns:a14="http://schemas.microsoft.com/office/drawing/2010/main"/>
                      </a:ext>
                    </a:extLst>
                  </pic:spPr>
                </pic:pic>
              </a:graphicData>
            </a:graphic>
          </wp:inline>
        </w:drawing>
      </w:r>
    </w:p>
    <w:p w14:paraId="371599F6" w14:textId="65E1B834" w:rsidR="0028074D" w:rsidRDefault="00E82474" w:rsidP="0028074D">
      <w:r>
        <w:rPr>
          <w:noProof/>
        </w:rPr>
        <w:drawing>
          <wp:inline distT="0" distB="0" distL="0" distR="0" wp14:anchorId="51E40505" wp14:editId="0D324D3A">
            <wp:extent cx="2977286" cy="183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19295"/>
                    <a:stretch/>
                  </pic:blipFill>
                  <pic:spPr bwMode="auto">
                    <a:xfrm>
                      <a:off x="0" y="0"/>
                      <a:ext cx="3028783" cy="18703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F4E595" wp14:editId="74B47FCB">
            <wp:extent cx="2894345" cy="1776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19088"/>
                    <a:stretch/>
                  </pic:blipFill>
                  <pic:spPr bwMode="auto">
                    <a:xfrm>
                      <a:off x="0" y="0"/>
                      <a:ext cx="2927754" cy="1796905"/>
                    </a:xfrm>
                    <a:prstGeom prst="rect">
                      <a:avLst/>
                    </a:prstGeom>
                    <a:noFill/>
                    <a:ln>
                      <a:noFill/>
                    </a:ln>
                    <a:extLst>
                      <a:ext uri="{53640926-AAD7-44D8-BBD7-CCE9431645EC}">
                        <a14:shadowObscured xmlns:a14="http://schemas.microsoft.com/office/drawing/2010/main"/>
                      </a:ext>
                    </a:extLst>
                  </pic:spPr>
                </pic:pic>
              </a:graphicData>
            </a:graphic>
          </wp:inline>
        </w:drawing>
      </w:r>
    </w:p>
    <w:p w14:paraId="52C0440A" w14:textId="1C22296B" w:rsidR="0028074D" w:rsidRDefault="00E82474" w:rsidP="0028074D">
      <w:r>
        <w:rPr>
          <w:noProof/>
        </w:rPr>
        <w:drawing>
          <wp:inline distT="0" distB="0" distL="0" distR="0" wp14:anchorId="3F8F3816" wp14:editId="3B507CF8">
            <wp:extent cx="2969770" cy="185074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b="18291"/>
                    <a:stretch/>
                  </pic:blipFill>
                  <pic:spPr bwMode="auto">
                    <a:xfrm>
                      <a:off x="0" y="0"/>
                      <a:ext cx="3006571" cy="18736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DB3B81" wp14:editId="691B260C">
            <wp:extent cx="2954668"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b="19373"/>
                    <a:stretch/>
                  </pic:blipFill>
                  <pic:spPr bwMode="auto">
                    <a:xfrm>
                      <a:off x="0" y="0"/>
                      <a:ext cx="2987467" cy="1849101"/>
                    </a:xfrm>
                    <a:prstGeom prst="rect">
                      <a:avLst/>
                    </a:prstGeom>
                    <a:noFill/>
                    <a:ln>
                      <a:noFill/>
                    </a:ln>
                    <a:extLst>
                      <a:ext uri="{53640926-AAD7-44D8-BBD7-CCE9431645EC}">
                        <a14:shadowObscured xmlns:a14="http://schemas.microsoft.com/office/drawing/2010/main"/>
                      </a:ext>
                    </a:extLst>
                  </pic:spPr>
                </pic:pic>
              </a:graphicData>
            </a:graphic>
          </wp:inline>
        </w:drawing>
      </w:r>
    </w:p>
    <w:p w14:paraId="34FF0D06" w14:textId="77777777" w:rsidR="0028074D" w:rsidRDefault="0028074D" w:rsidP="0028074D">
      <w:pPr>
        <w:pStyle w:val="Heading3"/>
        <w:jc w:val="center"/>
      </w:pPr>
      <w:bookmarkStart w:id="15" w:name="_Toc10807397"/>
      <w:r>
        <w:rPr>
          <w:noProof/>
        </w:rPr>
        <w:drawing>
          <wp:inline distT="0" distB="0" distL="0" distR="0" wp14:anchorId="63359022" wp14:editId="18E758BF">
            <wp:extent cx="4171950" cy="24930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t="80787" b="11111"/>
                    <a:stretch/>
                  </pic:blipFill>
                  <pic:spPr bwMode="auto">
                    <a:xfrm>
                      <a:off x="0" y="0"/>
                      <a:ext cx="5003156" cy="298976"/>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37A36D68" w14:textId="443A3F04" w:rsidR="0028074D" w:rsidRPr="001B51AA" w:rsidRDefault="0028074D" w:rsidP="0028074D">
      <w:pPr>
        <w:rPr>
          <w:i/>
          <w:sz w:val="20"/>
        </w:rPr>
      </w:pPr>
      <w:r w:rsidRPr="001B51AA">
        <w:rPr>
          <w:i/>
          <w:sz w:val="20"/>
        </w:rPr>
        <w:t>Figure S.1</w:t>
      </w:r>
      <w:r w:rsidR="003F3831">
        <w:rPr>
          <w:i/>
          <w:sz w:val="20"/>
        </w:rPr>
        <w:t>3</w:t>
      </w:r>
      <w:r w:rsidRPr="001B51AA">
        <w:rPr>
          <w:i/>
          <w:sz w:val="20"/>
        </w:rPr>
        <w:t>. Annual material demand in service sector buildings under the four sensitivity variants (5-yr moving average). ‘Regular’ indicates the regular (or default) assumptions as described in the main document. ‘Normal’ refers to the assumption of a normal lifetime distribution as opposed to a Weibull distribution. ‘Alpha+10%’ is the result of allowing a 10% higher maximum per capita floorspace demand in the regression describing the development of service sector building stock. ‘ExpDec’ refers to an alternative regression model for service-related floor space demand based on an Exponential Decay function as opposed to a Gompertz function. ‘Mean’ assumes global mean material intensities; the results for service-related buildings as shown here are the result of assuming a single global material intensity for all service sector buildings, based on the mean in the available data as shown in Figure S.</w:t>
      </w:r>
      <w:r w:rsidR="003F3831">
        <w:rPr>
          <w:i/>
          <w:sz w:val="20"/>
        </w:rPr>
        <w:t>8</w:t>
      </w:r>
      <w:r w:rsidRPr="001B51AA">
        <w:rPr>
          <w:i/>
          <w:sz w:val="20"/>
        </w:rPr>
        <w:t>.</w:t>
      </w:r>
    </w:p>
    <w:p w14:paraId="13A8FA89" w14:textId="77777777" w:rsidR="0028074D" w:rsidRDefault="0028074D" w:rsidP="0028074D"/>
    <w:p w14:paraId="54A025BF" w14:textId="77777777" w:rsidR="0028074D" w:rsidRDefault="0028074D" w:rsidP="0028074D">
      <w:pPr>
        <w:pStyle w:val="Heading3"/>
      </w:pPr>
    </w:p>
    <w:p w14:paraId="1ED4F145" w14:textId="77777777" w:rsidR="0028074D" w:rsidRDefault="0028074D" w:rsidP="0028074D">
      <w:pPr>
        <w:pStyle w:val="Heading3"/>
      </w:pPr>
      <w:bookmarkStart w:id="16" w:name="_Toc10807398"/>
      <w:r>
        <w:t>6.3 Discussion on the Sensitivity Analysis</w:t>
      </w:r>
      <w:bookmarkEnd w:id="16"/>
    </w:p>
    <w:p w14:paraId="6A38B895" w14:textId="77777777" w:rsidR="0028074D" w:rsidRDefault="0028074D" w:rsidP="0028074D"/>
    <w:p w14:paraId="1D0E2823" w14:textId="099C5AF7" w:rsidR="0028074D" w:rsidRDefault="0028074D" w:rsidP="0028074D">
      <w:r>
        <w:t>Looking at the outcomes of the sensitivity data in Table S.5 it seems that the largest deviations from the regular outcomes arise when assuming global mean material intensities (in kg/m</w:t>
      </w:r>
      <w:r>
        <w:rPr>
          <w:vertAlign w:val="superscript"/>
        </w:rPr>
        <w:t>2</w:t>
      </w:r>
      <w:r>
        <w:t xml:space="preserve">). This sensitivity variant can lead to both </w:t>
      </w:r>
      <w:r w:rsidR="007A417B">
        <w:t xml:space="preserve">slightly </w:t>
      </w:r>
      <w:r>
        <w:t>higher or lower annual material demand by the end of the scenario period, depending on the material and the focus on either residential or service sector buildings.</w:t>
      </w:r>
    </w:p>
    <w:p w14:paraId="432691CB" w14:textId="77777777" w:rsidR="0028074D" w:rsidRDefault="0028074D" w:rsidP="0028074D">
      <w:r>
        <w:t>For service sector buildings, the demand for glass and wood is most affected, given that the most important building type (being the ‘other’ service-related buildings, a.o. based on governmental and institutional buildings) has a relatively high material intensity for glass and wood according to the literature used (Table 2 in the main text, or Table S.2). Assuming a mean material intensity for all service-sector buildings leads to a lower value, and thus to a lower demand for wood and glass. On the one hand this may indicate that more data has to be acquired on the use of these materials, especially in service-related building types that are not offices, retail or catering related. However, building materials like wood and glass and aluminium are often non-structural and therefore their material intensities may simply have a wider range, leading to larger deviations based on alternative assumptions.</w:t>
      </w:r>
    </w:p>
    <w:p w14:paraId="39B3F2BC" w14:textId="2B088E93" w:rsidR="0028074D" w:rsidRDefault="0028074D" w:rsidP="0028074D">
      <w:r>
        <w:t>The effect of assuming a global mean material intensity for residential buildings is most noticeable for concrete and aluminium. This can be mostly explained the relatively high material intensities found for detached houses in China. Both aluminium and concrete intensities for detached houses in China are over 2 times the global mean, thus leading to a considerable drop in material demand in the sensitivity variant. As can be seen in Table S.</w:t>
      </w:r>
      <w:r w:rsidR="00CE7356">
        <w:t>5</w:t>
      </w:r>
      <w:r>
        <w:t xml:space="preserve"> this translates to a decrease in the global demand of around </w:t>
      </w:r>
      <w:r w:rsidR="00CE7356">
        <w:t>18-</w:t>
      </w:r>
      <w:r>
        <w:t>20% for both materials. As mentioned before, this sensitivity analysis highlights the importance of proper material intensity data, especially for dominant regions like China.</w:t>
      </w:r>
    </w:p>
    <w:p w14:paraId="4773F5E8" w14:textId="59C68F0A" w:rsidR="0028074D" w:rsidRDefault="0028074D" w:rsidP="0028074D">
      <w:r>
        <w:t xml:space="preserve">Interestingly, Table S.5 also shows that a drop in the annual demand for concrete and aluminium in residential buildings under the assumption of a mean material intensity </w:t>
      </w:r>
      <w:r w:rsidR="00DC7FD6">
        <w:t>causes</w:t>
      </w:r>
      <w:r>
        <w:t xml:space="preserve"> an increase of the Inflow-to-Outflow (I/O) ratio at the global level. So, even though </w:t>
      </w:r>
      <w:r w:rsidR="00DC7FD6">
        <w:t xml:space="preserve">material </w:t>
      </w:r>
      <w:r>
        <w:t>demand fr</w:t>
      </w:r>
      <w:r w:rsidR="00DC7FD6">
        <w:t>om</w:t>
      </w:r>
      <w:r>
        <w:t xml:space="preserve"> </w:t>
      </w:r>
      <w:r w:rsidR="00DC7FD6">
        <w:t xml:space="preserve">construction of </w:t>
      </w:r>
      <w:r>
        <w:t xml:space="preserve">residential buildings is lower, the gap between inflow &amp; outflow increases. This has to do with a combination of stock dynamics and regional material intensities. While the demand for concrete is lower in China under the mean material intensity assumptions, so is the Chinese outflow, which due to a relatively short lifetime is considerable towards 2050 as can be seen in Figure 4c of the main text. At the global level, the inflow (annual demand) of concrete towards 2050 is mostly determined by fast developing regions (see Figure 4b). Because the material intensities of most fast developing regions remain mostly the same as in the regular analysis, the inflow remains high in the sensitivity variant, while the outflow (mainly from China) is lower. Thus leading to an increase in the Inflow-to-Outflow Ratio.   </w:t>
      </w:r>
    </w:p>
    <w:p w14:paraId="2A22E546" w14:textId="45C93CB6" w:rsidR="00E221CD" w:rsidRDefault="0028074D" w:rsidP="0028074D">
      <w:r>
        <w:t xml:space="preserve">Replacing the Weibull lifetime distribution with a normal distribution has a slightly smaller effect on the annual demand. For service sector buildings it consistently </w:t>
      </w:r>
      <w:r w:rsidR="00E221CD">
        <w:t>de</w:t>
      </w:r>
      <w:r>
        <w:t>creases the annual material demand by 13%</w:t>
      </w:r>
      <w:r w:rsidR="00E221CD">
        <w:t>.</w:t>
      </w:r>
      <w:r>
        <w:t xml:space="preserve"> </w:t>
      </w:r>
      <w:r w:rsidR="00E221CD">
        <w:t>A</w:t>
      </w:r>
      <w:r>
        <w:t xml:space="preserve">s a consequence of a </w:t>
      </w:r>
      <w:r w:rsidR="00E221CD">
        <w:t>skewed</w:t>
      </w:r>
      <w:r>
        <w:t xml:space="preserve"> probability density function (PDF) </w:t>
      </w:r>
      <w:r w:rsidR="00E221CD">
        <w:t>of</w:t>
      </w:r>
      <w:r>
        <w:t xml:space="preserve"> the Weibull </w:t>
      </w:r>
      <w:r w:rsidR="00E221CD">
        <w:t>distribution, which leads to faster building replacement and higher inflow, compared to the normal distribution (which therefore has the effect of lowering material demand). This effect is temporary, as we use the same mean lifetimes. T</w:t>
      </w:r>
      <w:r>
        <w:t>he Weibull distribution has a higher spread and consequen</w:t>
      </w:r>
      <w:r w:rsidR="00E221CD">
        <w:t xml:space="preserve">tially offsets this higher </w:t>
      </w:r>
      <w:r w:rsidR="00E221CD">
        <w:lastRenderedPageBreak/>
        <w:t xml:space="preserve">inflow rates due to early decommissioning by lower inflow rates </w:t>
      </w:r>
      <w:r w:rsidR="00F8052E">
        <w:t>due to a larger surviving fraction at higher building lifetimes</w:t>
      </w:r>
      <w:r w:rsidR="00E221CD">
        <w:t xml:space="preserve">, as can be seen in </w:t>
      </w:r>
      <w:r>
        <w:t>Figure S.1</w:t>
      </w:r>
      <w:r w:rsidR="003F3831">
        <w:t>4</w:t>
      </w:r>
      <w:r>
        <w:t xml:space="preserve">. </w:t>
      </w:r>
      <w:r w:rsidR="00E221CD">
        <w:t>A higher spread</w:t>
      </w:r>
      <w:r>
        <w:t xml:space="preserve"> represents the real-life possibility that a building lasts longer than its envisioned service-life. </w:t>
      </w:r>
      <w:r w:rsidR="00F8052E">
        <w:t>However, i</w:t>
      </w:r>
      <w:r>
        <w:t>n our model, the</w:t>
      </w:r>
      <w:r w:rsidR="00F8052E">
        <w:t xml:space="preserve"> continuously expanding commercial stock leads to a larger emphasis on the short term effects than on the long term effects of considering a different lifetime distribution. </w:t>
      </w:r>
      <w:r>
        <w:t xml:space="preserve">Assuming a normal lifetime distribution thus causes </w:t>
      </w:r>
      <w:r w:rsidR="00F8052E">
        <w:t>less</w:t>
      </w:r>
      <w:r>
        <w:t xml:space="preserve"> service sector buildings to be replaced in the short term. </w:t>
      </w:r>
    </w:p>
    <w:p w14:paraId="46AD966E" w14:textId="00FA61A4" w:rsidR="0028074D" w:rsidRDefault="00E221CD" w:rsidP="0028074D">
      <w:r>
        <w:t xml:space="preserve">The effect </w:t>
      </w:r>
      <w:r w:rsidR="00F8052E">
        <w:t xml:space="preserve">of implementing a normal lifetime distribution </w:t>
      </w:r>
      <w:r>
        <w:t>is similar for</w:t>
      </w:r>
      <w:r w:rsidR="0028074D">
        <w:t xml:space="preserve"> residential </w:t>
      </w:r>
      <w:r>
        <w:t xml:space="preserve">buildings, but there the regional stock dynamics also play a role. </w:t>
      </w:r>
      <w:r w:rsidR="00F8052E">
        <w:t>Global r</w:t>
      </w:r>
      <w:r>
        <w:t>esidential stock</w:t>
      </w:r>
      <w:r w:rsidR="0028074D">
        <w:t xml:space="preserve"> increases rapidly during the period 200</w:t>
      </w:r>
      <w:r w:rsidR="00301153">
        <w:t>0</w:t>
      </w:r>
      <w:r w:rsidR="0028074D">
        <w:t>-20</w:t>
      </w:r>
      <w:r w:rsidR="00301153">
        <w:t>20</w:t>
      </w:r>
      <w:r w:rsidR="0028074D">
        <w:t xml:space="preserve">, mostly as a consequence of Chinese stock expansion. Since </w:t>
      </w:r>
      <w:r w:rsidR="00F8052E">
        <w:t>Chinese buildings are assumed to have a relatively short lifetime</w:t>
      </w:r>
      <w:r w:rsidR="0028074D">
        <w:t>, a large fraction of the residential cohorts built in this period is already demolished by the end of the scenario period (2045-2050), while most of these buildings are demolished a bit later under the assumption of a normal lifetime distribution, thus leading to a</w:t>
      </w:r>
      <w:r w:rsidR="00F8052E">
        <w:t xml:space="preserve">n </w:t>
      </w:r>
      <w:r w:rsidR="006A3FA1">
        <w:t>(</w:t>
      </w:r>
      <w:r w:rsidR="00F8052E">
        <w:t>additional</w:t>
      </w:r>
      <w:r w:rsidR="006A3FA1">
        <w:t>)</w:t>
      </w:r>
      <w:r w:rsidR="0028074D">
        <w:t xml:space="preserve"> decrease in demand for most materials in residential buildings</w:t>
      </w:r>
      <w:r w:rsidR="00F8052E">
        <w:t xml:space="preserve"> compared to the default model</w:t>
      </w:r>
      <w:r w:rsidR="0028074D">
        <w:t>.</w:t>
      </w:r>
      <w:r w:rsidR="00301153">
        <w:t xml:space="preserve"> Interestingly, the lower annual demand for materials in residential and service sector buildings does not translate to a smaller gap between inflow and outflow (I/O ratio), which actually increases slightly due to the same stock dynamics. </w:t>
      </w:r>
    </w:p>
    <w:p w14:paraId="0C70C8F0" w14:textId="320E8252" w:rsidR="0028074D" w:rsidRPr="001B51AA" w:rsidRDefault="00301153" w:rsidP="0028074D">
      <w:pPr>
        <w:rPr>
          <w:i/>
        </w:rPr>
      </w:pPr>
      <w:r w:rsidRPr="001B51AA">
        <w:rPr>
          <w:i/>
          <w:noProof/>
          <w:sz w:val="20"/>
        </w:rPr>
        <w:drawing>
          <wp:anchor distT="0" distB="0" distL="114300" distR="114300" simplePos="0" relativeHeight="251816960" behindDoc="0" locked="0" layoutInCell="1" allowOverlap="1" wp14:anchorId="7E445C8B" wp14:editId="7619ED2D">
            <wp:simplePos x="0" y="0"/>
            <wp:positionH relativeFrom="margin">
              <wp:posOffset>6350</wp:posOffset>
            </wp:positionH>
            <wp:positionV relativeFrom="paragraph">
              <wp:posOffset>8255</wp:posOffset>
            </wp:positionV>
            <wp:extent cx="3175000" cy="1852295"/>
            <wp:effectExtent l="0" t="0" r="6350" b="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5000" cy="1852295"/>
                    </a:xfrm>
                    <a:prstGeom prst="rect">
                      <a:avLst/>
                    </a:prstGeom>
                    <a:noFill/>
                  </pic:spPr>
                </pic:pic>
              </a:graphicData>
            </a:graphic>
            <wp14:sizeRelH relativeFrom="margin">
              <wp14:pctWidth>0</wp14:pctWidth>
            </wp14:sizeRelH>
            <wp14:sizeRelV relativeFrom="margin">
              <wp14:pctHeight>0</wp14:pctHeight>
            </wp14:sizeRelV>
          </wp:anchor>
        </w:drawing>
      </w:r>
      <w:r w:rsidR="0028074D" w:rsidRPr="001B51AA">
        <w:rPr>
          <w:i/>
          <w:sz w:val="20"/>
        </w:rPr>
        <w:t>Figure S.1</w:t>
      </w:r>
      <w:r w:rsidR="003F3831">
        <w:rPr>
          <w:i/>
          <w:sz w:val="20"/>
        </w:rPr>
        <w:t>4</w:t>
      </w:r>
      <w:r w:rsidR="0028074D" w:rsidRPr="001B51AA">
        <w:rPr>
          <w:i/>
          <w:sz w:val="20"/>
        </w:rPr>
        <w:t>. Comparison of building lifetimes in the service sector under two lifetime distributions. The default analysis uses the Weibull distribution, while the sensitivity variant uses the normal distribution.</w:t>
      </w:r>
    </w:p>
    <w:p w14:paraId="5DD963E5" w14:textId="77777777" w:rsidR="0028074D" w:rsidRDefault="0028074D" w:rsidP="0028074D"/>
    <w:p w14:paraId="77DA37AE" w14:textId="77777777" w:rsidR="0028074D" w:rsidRDefault="0028074D" w:rsidP="0028074D"/>
    <w:p w14:paraId="09971935" w14:textId="77777777" w:rsidR="0028074D" w:rsidRDefault="0028074D" w:rsidP="0028074D"/>
    <w:p w14:paraId="04AEB7A3" w14:textId="77777777" w:rsidR="0028074D" w:rsidRDefault="0028074D" w:rsidP="0028074D"/>
    <w:p w14:paraId="3DC7903A" w14:textId="77777777" w:rsidR="0028074D" w:rsidRDefault="0028074D" w:rsidP="0028074D">
      <w:r>
        <w:t>The effects of increasing the maximum per capita floorspace demand for service sector buildings may seem counter-intuitive at first sight. One would intuitively expect that a higher maximum floorspace demand would lead to a higher material demand for service sector buildings. However, because of the implementation of this sensitivity variant the entire regression was changed. This means that not only the maximum per capita floorspace demand was increased, but also the beta and gamma parameters of the Gompertz function were changed. Together they lead to a higher demand for service-related floorspace at higher levels of per capita Service Value Added, but to slightly lower demand for service-related floorspace at lower income levels (&lt;40.000 US$ SVA/capita yr</w:t>
      </w:r>
      <w:r>
        <w:rPr>
          <w:vertAlign w:val="superscript"/>
        </w:rPr>
        <w:t>-1</w:t>
      </w:r>
      <w:r>
        <w:t>). Because most regions in the IMAGE model remain below that level, the overall effect is a slight decrease of annual demand for materials in service sector buildings by about 2%.</w:t>
      </w:r>
    </w:p>
    <w:p w14:paraId="2BF4DAC3" w14:textId="2BD12BF4" w:rsidR="0028074D" w:rsidRPr="00B06943" w:rsidRDefault="0028074D" w:rsidP="0028074D">
      <w:r>
        <w:t>Finally, the effect of implementing a different regression model for the service sector floorspace demand can also be seen in the right-most column of Table S.5. Replacing the default Gompertz curve for an Exponential Decay function results in a slight (7-9%) increase in material demand for service sector buildings. This is a consequence of the fact that the Exponential Decay function behaves opposite to the sensitivity variant on increasing alpha. As can be seen from Figure S.1</w:t>
      </w:r>
      <w:r w:rsidR="003F3831">
        <w:t>2</w:t>
      </w:r>
      <w:r>
        <w:t>. This means that the function yields slightly higher per capita demand of floorspace for service sector buildings in the mid-</w:t>
      </w:r>
      <w:r>
        <w:lastRenderedPageBreak/>
        <w:t>range income regions (with an SVA between 5.000 to 30.000 US$/capita yr</w:t>
      </w:r>
      <w:r>
        <w:rPr>
          <w:vertAlign w:val="superscript"/>
        </w:rPr>
        <w:t>-1</w:t>
      </w:r>
      <w:r>
        <w:t xml:space="preserve">). As most regions are moving up within this range during the scenario period, the Exponential Decay function leads to slightly increased floorspace demand and a subsequent increase </w:t>
      </w:r>
      <w:r w:rsidR="00850DA4">
        <w:t>in</w:t>
      </w:r>
      <w:r>
        <w:t xml:space="preserve"> </w:t>
      </w:r>
      <w:r w:rsidR="00850DA4">
        <w:t xml:space="preserve">the use of </w:t>
      </w:r>
      <w:r>
        <w:t xml:space="preserve">building materials for buildings in the service sector. </w:t>
      </w:r>
    </w:p>
    <w:p w14:paraId="14319FE6" w14:textId="18E90BA2" w:rsidR="00525D51" w:rsidRDefault="00525D51" w:rsidP="0028074D">
      <w:pPr>
        <w:pStyle w:val="Heading2"/>
      </w:pPr>
    </w:p>
    <w:p w14:paraId="3F7017D3" w14:textId="77777777" w:rsidR="0028074D" w:rsidRPr="0028074D" w:rsidRDefault="0028074D" w:rsidP="0028074D"/>
    <w:p w14:paraId="17826AA6" w14:textId="77777777" w:rsidR="00F945DE" w:rsidRDefault="00CE255F" w:rsidP="0028074D">
      <w:pPr>
        <w:pStyle w:val="Heading2"/>
        <w:numPr>
          <w:ilvl w:val="0"/>
          <w:numId w:val="2"/>
        </w:numPr>
      </w:pPr>
      <w:r>
        <w:br w:type="page"/>
      </w:r>
      <w:bookmarkStart w:id="17" w:name="_Toc10807399"/>
      <w:r w:rsidR="00F945DE">
        <w:lastRenderedPageBreak/>
        <w:t>Model Code</w:t>
      </w:r>
      <w:bookmarkEnd w:id="17"/>
    </w:p>
    <w:p w14:paraId="54BFB6BF" w14:textId="18273346" w:rsidR="001E4870" w:rsidRPr="00EE4F1A" w:rsidRDefault="001E4870" w:rsidP="00F456A7"/>
    <w:p w14:paraId="32E6BE47" w14:textId="330B6CE6" w:rsidR="00EE4F1A" w:rsidRDefault="0028074D" w:rsidP="00EE4F1A">
      <w:pPr>
        <w:pStyle w:val="Heading3"/>
      </w:pPr>
      <w:bookmarkStart w:id="18" w:name="_Toc10807400"/>
      <w:r>
        <w:t>7</w:t>
      </w:r>
      <w:r w:rsidR="00EE4F1A">
        <w:t xml:space="preserve">.1 </w:t>
      </w:r>
      <w:r w:rsidR="00EE4F1A" w:rsidRPr="00EE4F1A">
        <w:t>Code for the regression analysis</w:t>
      </w:r>
      <w:r w:rsidR="003F509E">
        <w:t xml:space="preserve"> for service sector floorspace</w:t>
      </w:r>
      <w:bookmarkEnd w:id="18"/>
    </w:p>
    <w:p w14:paraId="74401079" w14:textId="6E7FA166" w:rsidR="00EE4F1A" w:rsidRDefault="00EE4F1A" w:rsidP="00EE4F1A"/>
    <w:p w14:paraId="152FEC6C" w14:textId="77777777" w:rsidR="00C01E68" w:rsidRPr="00C01E68" w:rsidRDefault="00C01E68" w:rsidP="00C01E68">
      <w:pPr>
        <w:spacing w:after="0"/>
        <w:rPr>
          <w:color w:val="00B050"/>
          <w:sz w:val="16"/>
        </w:rPr>
      </w:pPr>
      <w:r w:rsidRPr="00C01E68">
        <w:rPr>
          <w:color w:val="00B050"/>
          <w:sz w:val="16"/>
        </w:rPr>
        <w:t># The main stucture of this regression tool is based on https://stackoverflow.com/questions/44878372/how-can-i-apply-weights-in-this-scipy-least-squares-optimization-routine</w:t>
      </w:r>
    </w:p>
    <w:p w14:paraId="0B61F6EC" w14:textId="77777777" w:rsidR="001B461A" w:rsidRPr="001B461A" w:rsidRDefault="001B461A" w:rsidP="001B461A">
      <w:pPr>
        <w:spacing w:after="0"/>
        <w:rPr>
          <w:sz w:val="16"/>
        </w:rPr>
      </w:pPr>
      <w:r w:rsidRPr="001B461A">
        <w:rPr>
          <w:sz w:val="16"/>
        </w:rPr>
        <w:t>import numpy as np</w:t>
      </w:r>
    </w:p>
    <w:p w14:paraId="484A689E" w14:textId="77777777" w:rsidR="001B461A" w:rsidRPr="001B461A" w:rsidRDefault="001B461A" w:rsidP="001B461A">
      <w:pPr>
        <w:spacing w:after="0"/>
        <w:rPr>
          <w:sz w:val="16"/>
        </w:rPr>
      </w:pPr>
      <w:r w:rsidRPr="001B461A">
        <w:rPr>
          <w:sz w:val="16"/>
        </w:rPr>
        <w:t>from scipy import optimize</w:t>
      </w:r>
    </w:p>
    <w:p w14:paraId="699C47AB" w14:textId="1174015E" w:rsidR="001B461A" w:rsidRDefault="001B461A" w:rsidP="001B461A">
      <w:pPr>
        <w:spacing w:after="0"/>
        <w:rPr>
          <w:sz w:val="16"/>
        </w:rPr>
      </w:pPr>
      <w:r w:rsidRPr="001B461A">
        <w:rPr>
          <w:sz w:val="16"/>
        </w:rPr>
        <w:t>import math</w:t>
      </w:r>
    </w:p>
    <w:p w14:paraId="2A653A1B" w14:textId="3BDA9EB5" w:rsidR="001B461A" w:rsidRPr="001B461A" w:rsidRDefault="001B461A" w:rsidP="001B461A">
      <w:pPr>
        <w:spacing w:after="0"/>
        <w:rPr>
          <w:sz w:val="16"/>
        </w:rPr>
      </w:pPr>
      <w:r>
        <w:rPr>
          <w:sz w:val="16"/>
        </w:rPr>
        <w:t>import os</w:t>
      </w:r>
    </w:p>
    <w:p w14:paraId="2B7655E5" w14:textId="77777777" w:rsidR="001B461A" w:rsidRPr="001B461A" w:rsidRDefault="001B461A" w:rsidP="001B461A">
      <w:pPr>
        <w:spacing w:after="0"/>
        <w:rPr>
          <w:sz w:val="16"/>
        </w:rPr>
      </w:pPr>
    </w:p>
    <w:p w14:paraId="75BDE7D6" w14:textId="77777777" w:rsidR="001B461A" w:rsidRPr="00C01E68" w:rsidRDefault="001B461A" w:rsidP="001B461A">
      <w:pPr>
        <w:spacing w:after="0"/>
        <w:rPr>
          <w:color w:val="00B050"/>
          <w:sz w:val="16"/>
        </w:rPr>
      </w:pPr>
      <w:r w:rsidRPr="00C01E68">
        <w:rPr>
          <w:color w:val="00B050"/>
          <w:sz w:val="16"/>
        </w:rPr>
        <w:t># set an initial guess for the gompertz parameters alpha, beta and gamma</w:t>
      </w:r>
    </w:p>
    <w:p w14:paraId="75CA05CF" w14:textId="223FEF7F" w:rsidR="001B461A" w:rsidRPr="001B461A" w:rsidRDefault="001B461A" w:rsidP="001B461A">
      <w:pPr>
        <w:spacing w:after="0"/>
        <w:rPr>
          <w:sz w:val="16"/>
        </w:rPr>
      </w:pPr>
      <w:r w:rsidRPr="001B461A">
        <w:rPr>
          <w:sz w:val="16"/>
        </w:rPr>
        <w:t>guess = [25, 3, 0.07]</w:t>
      </w:r>
    </w:p>
    <w:p w14:paraId="624DCB4F" w14:textId="3FC398D6" w:rsidR="001B461A" w:rsidRPr="001B461A" w:rsidRDefault="001B461A" w:rsidP="001B461A">
      <w:pPr>
        <w:spacing w:after="0"/>
        <w:rPr>
          <w:sz w:val="16"/>
        </w:rPr>
      </w:pPr>
      <w:r w:rsidRPr="001B461A">
        <w:rPr>
          <w:sz w:val="16"/>
        </w:rPr>
        <w:t>name = 'services'</w:t>
      </w:r>
      <w:r w:rsidR="00D855B3">
        <w:rPr>
          <w:sz w:val="16"/>
        </w:rPr>
        <w:tab/>
      </w:r>
      <w:r w:rsidR="00D855B3">
        <w:rPr>
          <w:sz w:val="16"/>
        </w:rPr>
        <w:tab/>
      </w:r>
      <w:r w:rsidR="00D855B3">
        <w:rPr>
          <w:sz w:val="16"/>
        </w:rPr>
        <w:tab/>
      </w:r>
      <w:r w:rsidR="00D855B3">
        <w:rPr>
          <w:sz w:val="16"/>
        </w:rPr>
        <w:tab/>
      </w:r>
      <w:r w:rsidR="00D855B3">
        <w:rPr>
          <w:sz w:val="16"/>
        </w:rPr>
        <w:tab/>
      </w:r>
      <w:r w:rsidR="00D855B3" w:rsidRPr="00D855B3">
        <w:rPr>
          <w:color w:val="00B050"/>
          <w:sz w:val="16"/>
        </w:rPr>
        <w:t># alternatively: hotels, offices, retail for regression on specific building types</w:t>
      </w:r>
    </w:p>
    <w:p w14:paraId="5D7D924E" w14:textId="77777777" w:rsidR="001B461A" w:rsidRPr="001B461A" w:rsidRDefault="001B461A" w:rsidP="001B461A">
      <w:pPr>
        <w:spacing w:after="0"/>
        <w:rPr>
          <w:sz w:val="16"/>
        </w:rPr>
      </w:pPr>
      <w:r w:rsidRPr="001B461A">
        <w:rPr>
          <w:sz w:val="16"/>
        </w:rPr>
        <w:t>alpha_fact = 1.1  # set to 1.1 for sensitivity variant (10% above max of y)</w:t>
      </w:r>
    </w:p>
    <w:p w14:paraId="6F040BB4" w14:textId="77777777" w:rsidR="00C01E68" w:rsidRPr="00C01E68" w:rsidRDefault="00C01E68" w:rsidP="00C01E68">
      <w:pPr>
        <w:spacing w:after="0"/>
        <w:rPr>
          <w:sz w:val="16"/>
        </w:rPr>
      </w:pPr>
    </w:p>
    <w:p w14:paraId="0941F7B3" w14:textId="618AE49B" w:rsidR="00C01E68" w:rsidRPr="00C01E68" w:rsidRDefault="00C01E68" w:rsidP="00C01E68">
      <w:pPr>
        <w:spacing w:after="0"/>
        <w:rPr>
          <w:color w:val="00B050"/>
          <w:sz w:val="16"/>
        </w:rPr>
      </w:pPr>
      <w:r>
        <w:rPr>
          <w:color w:val="00B050"/>
          <w:sz w:val="16"/>
        </w:rPr>
        <w:t>#</w:t>
      </w:r>
      <w:r w:rsidRPr="00C01E68">
        <w:rPr>
          <w:color w:val="00B050"/>
          <w:sz w:val="16"/>
        </w:rPr>
        <w:t xml:space="preserve"> FIT TO EQUATION OF GOMPERTZ CURVE</w:t>
      </w:r>
    </w:p>
    <w:p w14:paraId="42C83285" w14:textId="77777777" w:rsidR="00C01E68" w:rsidRPr="00C01E68" w:rsidRDefault="00C01E68" w:rsidP="00C01E68">
      <w:pPr>
        <w:spacing w:after="0"/>
        <w:rPr>
          <w:sz w:val="16"/>
        </w:rPr>
      </w:pPr>
      <w:r w:rsidRPr="00C01E68">
        <w:rPr>
          <w:sz w:val="16"/>
        </w:rPr>
        <w:t>def fit_func(ps, xs):</w:t>
      </w:r>
    </w:p>
    <w:p w14:paraId="1546DD67" w14:textId="77777777" w:rsidR="00C01E68" w:rsidRPr="00C01E68" w:rsidRDefault="00C01E68" w:rsidP="00C01E68">
      <w:pPr>
        <w:spacing w:after="0"/>
        <w:rPr>
          <w:sz w:val="16"/>
        </w:rPr>
      </w:pPr>
      <w:r w:rsidRPr="00C01E68">
        <w:rPr>
          <w:sz w:val="16"/>
        </w:rPr>
        <w:t xml:space="preserve">    result = []</w:t>
      </w:r>
    </w:p>
    <w:p w14:paraId="5AA87E06" w14:textId="77777777" w:rsidR="00C01E68" w:rsidRPr="00C01E68" w:rsidRDefault="00C01E68" w:rsidP="00C01E68">
      <w:pPr>
        <w:spacing w:after="0"/>
        <w:rPr>
          <w:sz w:val="16"/>
        </w:rPr>
      </w:pPr>
      <w:r w:rsidRPr="00C01E68">
        <w:rPr>
          <w:sz w:val="16"/>
        </w:rPr>
        <w:t xml:space="preserve">    for item in xs:</w:t>
      </w:r>
    </w:p>
    <w:p w14:paraId="0CF7A292" w14:textId="77777777" w:rsidR="00C01E68" w:rsidRPr="00C01E68" w:rsidRDefault="00C01E68" w:rsidP="00C01E68">
      <w:pPr>
        <w:spacing w:after="0"/>
        <w:rPr>
          <w:sz w:val="16"/>
        </w:rPr>
      </w:pPr>
      <w:r w:rsidRPr="00C01E68">
        <w:rPr>
          <w:sz w:val="16"/>
        </w:rPr>
        <w:t xml:space="preserve">        result.append(ps[0] * math.exp(-ps[1] * math.exp((-ps[2]/1000) * item)) )   </w:t>
      </w:r>
    </w:p>
    <w:p w14:paraId="13246E38" w14:textId="77777777" w:rsidR="00C01E68" w:rsidRPr="00C01E68" w:rsidRDefault="00C01E68" w:rsidP="00C01E68">
      <w:pPr>
        <w:spacing w:after="0"/>
        <w:rPr>
          <w:sz w:val="16"/>
        </w:rPr>
      </w:pPr>
      <w:r w:rsidRPr="00C01E68">
        <w:rPr>
          <w:sz w:val="16"/>
        </w:rPr>
        <w:t xml:space="preserve">    return result</w:t>
      </w:r>
    </w:p>
    <w:p w14:paraId="77A51024" w14:textId="77777777" w:rsidR="00C01E68" w:rsidRPr="00C01E68" w:rsidRDefault="00C01E68" w:rsidP="00C01E68">
      <w:pPr>
        <w:spacing w:after="0"/>
        <w:rPr>
          <w:sz w:val="16"/>
        </w:rPr>
      </w:pPr>
    </w:p>
    <w:p w14:paraId="12691EF4" w14:textId="77777777" w:rsidR="00C01E68" w:rsidRPr="00C01E68" w:rsidRDefault="00C01E68" w:rsidP="00C01E68">
      <w:pPr>
        <w:spacing w:after="0"/>
        <w:rPr>
          <w:color w:val="00B050"/>
          <w:sz w:val="16"/>
        </w:rPr>
      </w:pPr>
      <w:r w:rsidRPr="00C01E68">
        <w:rPr>
          <w:color w:val="00B050"/>
          <w:sz w:val="16"/>
        </w:rPr>
        <w:t>#error_function (used in unweighted optimisation)</w:t>
      </w:r>
    </w:p>
    <w:p w14:paraId="65D54371" w14:textId="77777777" w:rsidR="00C01E68" w:rsidRPr="00CF4DAF" w:rsidRDefault="00C01E68" w:rsidP="00C01E68">
      <w:pPr>
        <w:spacing w:after="0"/>
        <w:rPr>
          <w:sz w:val="16"/>
          <w:lang w:val="de-DE"/>
        </w:rPr>
      </w:pPr>
      <w:r w:rsidRPr="00CF4DAF">
        <w:rPr>
          <w:sz w:val="16"/>
          <w:lang w:val="de-DE"/>
        </w:rPr>
        <w:t>def err_func(ps, xs, ys):</w:t>
      </w:r>
    </w:p>
    <w:p w14:paraId="418926DC" w14:textId="77777777" w:rsidR="00C01E68" w:rsidRPr="00C01E68" w:rsidRDefault="00C01E68" w:rsidP="00C01E68">
      <w:pPr>
        <w:spacing w:after="0"/>
        <w:rPr>
          <w:sz w:val="16"/>
        </w:rPr>
      </w:pPr>
      <w:r w:rsidRPr="00CF4DAF">
        <w:rPr>
          <w:sz w:val="16"/>
          <w:lang w:val="de-DE"/>
        </w:rPr>
        <w:t xml:space="preserve">    </w:t>
      </w:r>
      <w:r w:rsidRPr="00C01E68">
        <w:rPr>
          <w:color w:val="00B050"/>
          <w:sz w:val="16"/>
        </w:rPr>
        <w:t>## GET FIT</w:t>
      </w:r>
    </w:p>
    <w:p w14:paraId="45A49379" w14:textId="77777777" w:rsidR="00C01E68" w:rsidRPr="00C01E68" w:rsidRDefault="00C01E68" w:rsidP="00C01E68">
      <w:pPr>
        <w:spacing w:after="0"/>
        <w:rPr>
          <w:sz w:val="16"/>
        </w:rPr>
      </w:pPr>
      <w:r w:rsidRPr="00C01E68">
        <w:rPr>
          <w:sz w:val="16"/>
        </w:rPr>
        <w:t xml:space="preserve">    ys_trial = fit_func(ps, xs)</w:t>
      </w:r>
    </w:p>
    <w:p w14:paraId="55BA62B8" w14:textId="77777777" w:rsidR="00C01E68" w:rsidRPr="00C01E68" w:rsidRDefault="00C01E68" w:rsidP="00C01E68">
      <w:pPr>
        <w:spacing w:after="0"/>
        <w:rPr>
          <w:color w:val="00B050"/>
          <w:sz w:val="16"/>
        </w:rPr>
      </w:pPr>
      <w:r w:rsidRPr="00C01E68">
        <w:rPr>
          <w:sz w:val="16"/>
        </w:rPr>
        <w:t xml:space="preserve">    </w:t>
      </w:r>
      <w:r w:rsidRPr="00C01E68">
        <w:rPr>
          <w:color w:val="00B050"/>
          <w:sz w:val="16"/>
        </w:rPr>
        <w:t>## GET RESIDUALS</w:t>
      </w:r>
    </w:p>
    <w:p w14:paraId="6A6A1DE9" w14:textId="77777777" w:rsidR="00C01E68" w:rsidRPr="00C01E68" w:rsidRDefault="00C01E68" w:rsidP="00C01E68">
      <w:pPr>
        <w:spacing w:after="0"/>
        <w:rPr>
          <w:sz w:val="16"/>
        </w:rPr>
      </w:pPr>
      <w:r w:rsidRPr="00C01E68">
        <w:rPr>
          <w:sz w:val="16"/>
        </w:rPr>
        <w:t xml:space="preserve">    residuals = [(ys[idx] -  ys_trial[idx])**2 for idx in range(len(ys))]</w:t>
      </w:r>
    </w:p>
    <w:p w14:paraId="040A5129" w14:textId="77777777" w:rsidR="00C01E68" w:rsidRPr="00C01E68" w:rsidRDefault="00C01E68" w:rsidP="00C01E68">
      <w:pPr>
        <w:spacing w:after="0"/>
        <w:rPr>
          <w:sz w:val="16"/>
        </w:rPr>
      </w:pPr>
      <w:r w:rsidRPr="00C01E68">
        <w:rPr>
          <w:sz w:val="16"/>
        </w:rPr>
        <w:t xml:space="preserve">    return sum(residuals)</w:t>
      </w:r>
    </w:p>
    <w:p w14:paraId="1AD83962" w14:textId="77777777" w:rsidR="00C01E68" w:rsidRPr="00C01E68" w:rsidRDefault="00C01E68" w:rsidP="00C01E68">
      <w:pPr>
        <w:spacing w:after="0"/>
        <w:rPr>
          <w:sz w:val="16"/>
        </w:rPr>
      </w:pPr>
    </w:p>
    <w:p w14:paraId="741E33DF" w14:textId="151F9CF5" w:rsidR="00C01E68" w:rsidRPr="00C01E68" w:rsidRDefault="00C01E68" w:rsidP="00C01E68">
      <w:pPr>
        <w:spacing w:after="0"/>
        <w:rPr>
          <w:color w:val="00B050"/>
          <w:sz w:val="16"/>
        </w:rPr>
      </w:pPr>
      <w:r w:rsidRPr="00C01E68">
        <w:rPr>
          <w:color w:val="00B050"/>
          <w:sz w:val="16"/>
        </w:rPr>
        <w:t xml:space="preserve"># R-squared (used in </w:t>
      </w:r>
      <w:r>
        <w:rPr>
          <w:color w:val="00B050"/>
          <w:sz w:val="16"/>
        </w:rPr>
        <w:t>un</w:t>
      </w:r>
      <w:r w:rsidRPr="00C01E68">
        <w:rPr>
          <w:color w:val="00B050"/>
          <w:sz w:val="16"/>
        </w:rPr>
        <w:t>weighted optimisation)</w:t>
      </w:r>
    </w:p>
    <w:p w14:paraId="45B8F8F5" w14:textId="77777777" w:rsidR="00C01E68" w:rsidRPr="00C01E68" w:rsidRDefault="00C01E68" w:rsidP="00C01E68">
      <w:pPr>
        <w:spacing w:after="0"/>
        <w:rPr>
          <w:sz w:val="16"/>
        </w:rPr>
      </w:pPr>
      <w:r w:rsidRPr="00C01E68">
        <w:rPr>
          <w:sz w:val="16"/>
        </w:rPr>
        <w:t xml:space="preserve">def R2_coef_of_determination(xs,ys,ps):     </w:t>
      </w:r>
    </w:p>
    <w:p w14:paraId="6433AE16" w14:textId="19F91E7C" w:rsidR="00C01E68" w:rsidRPr="00C01E68" w:rsidRDefault="00C01E68" w:rsidP="00C01E68">
      <w:pPr>
        <w:spacing w:after="0"/>
        <w:rPr>
          <w:color w:val="00B050"/>
          <w:sz w:val="16"/>
        </w:rPr>
      </w:pPr>
      <w:r w:rsidRPr="00C01E68">
        <w:rPr>
          <w:sz w:val="16"/>
        </w:rPr>
        <w:t xml:space="preserve">    ss_res = np.dot((ys - fit_func(ps,xs)),(ys - fit_func(ps,xs)))          </w:t>
      </w:r>
      <w:r>
        <w:rPr>
          <w:sz w:val="16"/>
        </w:rPr>
        <w:tab/>
      </w:r>
      <w:r w:rsidRPr="00C01E68">
        <w:rPr>
          <w:color w:val="00B050"/>
          <w:sz w:val="16"/>
        </w:rPr>
        <w:t># sum of the squares of the residuals</w:t>
      </w:r>
    </w:p>
    <w:p w14:paraId="2DAA6F17" w14:textId="0F168503" w:rsidR="00C01E68" w:rsidRPr="00C01E68" w:rsidRDefault="00C01E68" w:rsidP="00C01E68">
      <w:pPr>
        <w:spacing w:after="0"/>
        <w:rPr>
          <w:sz w:val="16"/>
        </w:rPr>
      </w:pPr>
      <w:r w:rsidRPr="00C01E68">
        <w:rPr>
          <w:sz w:val="16"/>
        </w:rPr>
        <w:t xml:space="preserve">    ymean = np.mean(ys)                                                     </w:t>
      </w:r>
      <w:r>
        <w:rPr>
          <w:sz w:val="16"/>
        </w:rPr>
        <w:tab/>
      </w:r>
      <w:r>
        <w:rPr>
          <w:sz w:val="16"/>
        </w:rPr>
        <w:tab/>
      </w:r>
      <w:r w:rsidRPr="00C01E68">
        <w:rPr>
          <w:color w:val="00B050"/>
          <w:sz w:val="16"/>
        </w:rPr>
        <w:t># mean</w:t>
      </w:r>
    </w:p>
    <w:p w14:paraId="7E748ACF" w14:textId="6DF98F3E" w:rsidR="00C01E68" w:rsidRPr="00C01E68" w:rsidRDefault="00C01E68" w:rsidP="00C01E68">
      <w:pPr>
        <w:spacing w:after="0"/>
        <w:rPr>
          <w:sz w:val="16"/>
        </w:rPr>
      </w:pPr>
      <w:r w:rsidRPr="00C01E68">
        <w:rPr>
          <w:sz w:val="16"/>
        </w:rPr>
        <w:t xml:space="preserve">    ss_tot = np.dot((ys-ymean),(ys-ymean))                                  </w:t>
      </w:r>
      <w:r>
        <w:rPr>
          <w:sz w:val="16"/>
        </w:rPr>
        <w:tab/>
      </w:r>
      <w:r w:rsidRPr="00C01E68">
        <w:rPr>
          <w:color w:val="00B050"/>
          <w:sz w:val="16"/>
        </w:rPr>
        <w:t># total sum of the squares</w:t>
      </w:r>
    </w:p>
    <w:p w14:paraId="57FE3603" w14:textId="77777777" w:rsidR="00C01E68" w:rsidRPr="00C01E68" w:rsidRDefault="00C01E68" w:rsidP="00C01E68">
      <w:pPr>
        <w:spacing w:after="0"/>
        <w:rPr>
          <w:sz w:val="16"/>
        </w:rPr>
      </w:pPr>
      <w:r w:rsidRPr="00C01E68">
        <w:rPr>
          <w:sz w:val="16"/>
        </w:rPr>
        <w:t xml:space="preserve">    r2 = 1-ss_res/ss_tot    </w:t>
      </w:r>
    </w:p>
    <w:p w14:paraId="77F4306C" w14:textId="5C3734B4" w:rsidR="00C01E68" w:rsidRPr="00C01E68" w:rsidRDefault="00C01E68" w:rsidP="00C01E68">
      <w:pPr>
        <w:spacing w:after="0"/>
        <w:rPr>
          <w:sz w:val="16"/>
        </w:rPr>
      </w:pPr>
      <w:r w:rsidRPr="00C01E68">
        <w:rPr>
          <w:sz w:val="16"/>
        </w:rPr>
        <w:t xml:space="preserve">    return r2</w:t>
      </w:r>
    </w:p>
    <w:p w14:paraId="6DF29026" w14:textId="77777777" w:rsidR="00C01E68" w:rsidRPr="00C01E68" w:rsidRDefault="00C01E68" w:rsidP="00C01E68">
      <w:pPr>
        <w:spacing w:after="0"/>
        <w:rPr>
          <w:sz w:val="16"/>
        </w:rPr>
      </w:pPr>
    </w:p>
    <w:p w14:paraId="0D90F7D2" w14:textId="4F398161" w:rsidR="00C01E68" w:rsidRPr="00C01E68" w:rsidRDefault="00C01E68" w:rsidP="00C01E68">
      <w:pPr>
        <w:spacing w:after="0"/>
        <w:rPr>
          <w:color w:val="00B050"/>
          <w:sz w:val="16"/>
        </w:rPr>
      </w:pPr>
      <w:r w:rsidRPr="00C01E68">
        <w:rPr>
          <w:color w:val="00B050"/>
          <w:sz w:val="16"/>
        </w:rPr>
        <w:t># Chi-squared (used in weighted optimization)</w:t>
      </w:r>
    </w:p>
    <w:p w14:paraId="0D7FEA11" w14:textId="77777777" w:rsidR="00C01E68" w:rsidRPr="00C01E68" w:rsidRDefault="00C01E68" w:rsidP="00C01E68">
      <w:pPr>
        <w:spacing w:after="0"/>
        <w:rPr>
          <w:sz w:val="16"/>
        </w:rPr>
      </w:pPr>
      <w:r w:rsidRPr="00C01E68">
        <w:rPr>
          <w:sz w:val="16"/>
        </w:rPr>
        <w:t>def get_chi_squared(ps, xs, ys, wts):</w:t>
      </w:r>
    </w:p>
    <w:p w14:paraId="7F43392E" w14:textId="77777777" w:rsidR="00C01E68" w:rsidRPr="00C01E68" w:rsidRDefault="00C01E68" w:rsidP="00C01E68">
      <w:pPr>
        <w:spacing w:after="0"/>
        <w:rPr>
          <w:sz w:val="16"/>
        </w:rPr>
      </w:pPr>
      <w:r w:rsidRPr="00C01E68">
        <w:rPr>
          <w:sz w:val="16"/>
        </w:rPr>
        <w:t xml:space="preserve">    ys_trial = fit_func(ps, xs)    </w:t>
      </w:r>
    </w:p>
    <w:p w14:paraId="50F5A3F4" w14:textId="77777777" w:rsidR="00C01E68" w:rsidRPr="00C01E68" w:rsidRDefault="00C01E68" w:rsidP="00C01E68">
      <w:pPr>
        <w:spacing w:after="0"/>
        <w:rPr>
          <w:sz w:val="16"/>
        </w:rPr>
      </w:pPr>
      <w:r w:rsidRPr="00C01E68">
        <w:rPr>
          <w:sz w:val="16"/>
        </w:rPr>
        <w:t xml:space="preserve">    resid = [(ys[idx] - ys_trial[idx]) **2 * (1 / wts[idx])**2  for idx in range(len(ys))]   </w:t>
      </w:r>
    </w:p>
    <w:p w14:paraId="7A9FA66C" w14:textId="54AF3DBB" w:rsidR="00C01E68" w:rsidRPr="00C01E68" w:rsidRDefault="00C01E68" w:rsidP="00C01E68">
      <w:pPr>
        <w:spacing w:after="0"/>
        <w:rPr>
          <w:sz w:val="16"/>
        </w:rPr>
      </w:pPr>
      <w:r w:rsidRPr="00C01E68">
        <w:rPr>
          <w:sz w:val="16"/>
        </w:rPr>
        <w:t xml:space="preserve">    ss_res = sum(resid)                            </w:t>
      </w:r>
      <w:r>
        <w:rPr>
          <w:sz w:val="16"/>
        </w:rPr>
        <w:tab/>
      </w:r>
      <w:r>
        <w:rPr>
          <w:sz w:val="16"/>
        </w:rPr>
        <w:tab/>
      </w:r>
      <w:r>
        <w:rPr>
          <w:sz w:val="16"/>
        </w:rPr>
        <w:tab/>
      </w:r>
      <w:r w:rsidRPr="00C01E68">
        <w:rPr>
          <w:color w:val="00B050"/>
          <w:sz w:val="16"/>
        </w:rPr>
        <w:t xml:space="preserve"># sum of the weighted squares of the residuals </w:t>
      </w:r>
    </w:p>
    <w:p w14:paraId="474E723B" w14:textId="42781DE4" w:rsidR="00C01E68" w:rsidRPr="00C01E68" w:rsidRDefault="00C01E68" w:rsidP="00C01E68">
      <w:pPr>
        <w:spacing w:after="0"/>
        <w:rPr>
          <w:sz w:val="16"/>
        </w:rPr>
      </w:pPr>
      <w:r w:rsidRPr="00C01E68">
        <w:rPr>
          <w:sz w:val="16"/>
        </w:rPr>
        <w:t xml:space="preserve">    return ss_res    </w:t>
      </w:r>
    </w:p>
    <w:p w14:paraId="27812863" w14:textId="77777777" w:rsidR="00C01E68" w:rsidRPr="00C01E68" w:rsidRDefault="00C01E68" w:rsidP="00C01E68">
      <w:pPr>
        <w:spacing w:after="0"/>
        <w:rPr>
          <w:sz w:val="16"/>
        </w:rPr>
      </w:pPr>
    </w:p>
    <w:p w14:paraId="20F72779" w14:textId="21CE69F1" w:rsidR="00C01E68" w:rsidRPr="00C01E68" w:rsidRDefault="00C01E68" w:rsidP="00C01E68">
      <w:pPr>
        <w:spacing w:after="0"/>
        <w:rPr>
          <w:color w:val="00B050"/>
          <w:sz w:val="16"/>
        </w:rPr>
      </w:pPr>
      <w:r w:rsidRPr="00C01E68">
        <w:rPr>
          <w:color w:val="00B050"/>
          <w:sz w:val="16"/>
        </w:rPr>
        <w:t>#Import data (x = SVA, y = m2/cap, pop=used in weighting &amp; determination of the fit, phi</w:t>
      </w:r>
      <w:r w:rsidR="001B461A">
        <w:rPr>
          <w:color w:val="00B050"/>
          <w:sz w:val="16"/>
        </w:rPr>
        <w:t>, gdp=used in weigthing of regression of building types</w:t>
      </w:r>
      <w:r w:rsidRPr="00C01E68">
        <w:rPr>
          <w:color w:val="00B050"/>
          <w:sz w:val="16"/>
        </w:rPr>
        <w:t>)</w:t>
      </w:r>
    </w:p>
    <w:p w14:paraId="491EEC28" w14:textId="32F92875" w:rsidR="001B461A" w:rsidRPr="001B461A" w:rsidRDefault="001B461A" w:rsidP="001B461A">
      <w:pPr>
        <w:spacing w:after="0"/>
        <w:rPr>
          <w:sz w:val="16"/>
        </w:rPr>
      </w:pPr>
      <w:r w:rsidRPr="001B461A">
        <w:rPr>
          <w:sz w:val="16"/>
        </w:rPr>
        <w:t>os.chdir("C:\\Users\\</w:t>
      </w:r>
      <w:r w:rsidR="00D855B3">
        <w:rPr>
          <w:sz w:val="16"/>
        </w:rPr>
        <w:t>...</w:t>
      </w:r>
      <w:r w:rsidRPr="001B461A">
        <w:rPr>
          <w:sz w:val="16"/>
        </w:rPr>
        <w:t>")</w:t>
      </w:r>
    </w:p>
    <w:p w14:paraId="425692A6" w14:textId="77777777" w:rsidR="001B461A" w:rsidRPr="001B461A" w:rsidRDefault="001B461A" w:rsidP="001B461A">
      <w:pPr>
        <w:spacing w:after="0"/>
        <w:rPr>
          <w:sz w:val="16"/>
        </w:rPr>
      </w:pPr>
      <w:r w:rsidRPr="001B461A">
        <w:rPr>
          <w:sz w:val="16"/>
        </w:rPr>
        <w:t>csv = np.genfromtxt('files_commercial\\data_' + name + '_PPP.csv', delimiter=",")</w:t>
      </w:r>
    </w:p>
    <w:p w14:paraId="0E44B529" w14:textId="77777777" w:rsidR="001B461A" w:rsidRPr="001B461A" w:rsidRDefault="001B461A" w:rsidP="001B461A">
      <w:pPr>
        <w:spacing w:after="0"/>
        <w:rPr>
          <w:sz w:val="16"/>
        </w:rPr>
      </w:pPr>
      <w:r w:rsidRPr="001B461A">
        <w:rPr>
          <w:sz w:val="16"/>
        </w:rPr>
        <w:t>csv_excl = np.genfromtxt('files_commercial\\outliers_' + name + '_PPP.csv', delimiter=",")</w:t>
      </w:r>
    </w:p>
    <w:p w14:paraId="7CE6AAFA" w14:textId="77777777" w:rsidR="001B461A" w:rsidRPr="001B461A" w:rsidRDefault="001B461A" w:rsidP="001B461A">
      <w:pPr>
        <w:spacing w:after="0"/>
        <w:rPr>
          <w:sz w:val="16"/>
        </w:rPr>
      </w:pPr>
    </w:p>
    <w:p w14:paraId="383A24CB" w14:textId="77777777" w:rsidR="001B461A" w:rsidRPr="001B461A" w:rsidRDefault="001B461A" w:rsidP="001B461A">
      <w:pPr>
        <w:spacing w:after="0"/>
        <w:rPr>
          <w:sz w:val="16"/>
        </w:rPr>
      </w:pPr>
      <w:r w:rsidRPr="001B461A">
        <w:rPr>
          <w:sz w:val="16"/>
        </w:rPr>
        <w:t>xdata = csv.transpose()[0]</w:t>
      </w:r>
    </w:p>
    <w:p w14:paraId="29A24FD9" w14:textId="77777777" w:rsidR="001B461A" w:rsidRPr="001B461A" w:rsidRDefault="001B461A" w:rsidP="001B461A">
      <w:pPr>
        <w:spacing w:after="0"/>
        <w:rPr>
          <w:sz w:val="16"/>
        </w:rPr>
      </w:pPr>
      <w:r w:rsidRPr="001B461A">
        <w:rPr>
          <w:sz w:val="16"/>
        </w:rPr>
        <w:t>ydata = csv.transpose()[1]</w:t>
      </w:r>
    </w:p>
    <w:p w14:paraId="52DDF1FA" w14:textId="77777777" w:rsidR="001B461A" w:rsidRPr="001B461A" w:rsidRDefault="001B461A" w:rsidP="001B461A">
      <w:pPr>
        <w:spacing w:after="0"/>
        <w:rPr>
          <w:sz w:val="16"/>
        </w:rPr>
      </w:pPr>
      <w:r w:rsidRPr="001B461A">
        <w:rPr>
          <w:sz w:val="16"/>
        </w:rPr>
        <w:t>xexcl = csv_excl.transpose()[0]</w:t>
      </w:r>
    </w:p>
    <w:p w14:paraId="2798DBDD" w14:textId="77777777" w:rsidR="001B461A" w:rsidRPr="001B461A" w:rsidRDefault="001B461A" w:rsidP="001B461A">
      <w:pPr>
        <w:spacing w:after="0"/>
        <w:rPr>
          <w:sz w:val="16"/>
        </w:rPr>
      </w:pPr>
      <w:r w:rsidRPr="001B461A">
        <w:rPr>
          <w:sz w:val="16"/>
        </w:rPr>
        <w:t>yexcl = csv_excl.transpose()[1]</w:t>
      </w:r>
    </w:p>
    <w:p w14:paraId="2E37712C" w14:textId="77777777" w:rsidR="001B461A" w:rsidRPr="001B461A" w:rsidRDefault="001B461A" w:rsidP="001B461A">
      <w:pPr>
        <w:spacing w:after="0"/>
        <w:rPr>
          <w:sz w:val="16"/>
        </w:rPr>
      </w:pPr>
      <w:r w:rsidRPr="001B461A">
        <w:rPr>
          <w:sz w:val="16"/>
        </w:rPr>
        <w:t xml:space="preserve">pop   = csv.transpose()[2]      </w:t>
      </w:r>
      <w:r w:rsidRPr="00D855B3">
        <w:rPr>
          <w:color w:val="00B050"/>
          <w:sz w:val="16"/>
        </w:rPr>
        <w:t># population in thousands</w:t>
      </w:r>
    </w:p>
    <w:p w14:paraId="1FFD6E31" w14:textId="77777777" w:rsidR="001B461A" w:rsidRPr="001B461A" w:rsidRDefault="001B461A" w:rsidP="001B461A">
      <w:pPr>
        <w:spacing w:after="0"/>
        <w:rPr>
          <w:sz w:val="16"/>
        </w:rPr>
      </w:pPr>
      <w:r w:rsidRPr="001B461A">
        <w:rPr>
          <w:sz w:val="16"/>
        </w:rPr>
        <w:t xml:space="preserve">gdp   = csv.transpose()[3]      </w:t>
      </w:r>
      <w:r w:rsidRPr="00D855B3">
        <w:rPr>
          <w:color w:val="00B050"/>
          <w:sz w:val="16"/>
        </w:rPr>
        <w:t># GDP per capita in 2016 dollars (PPP)</w:t>
      </w:r>
    </w:p>
    <w:p w14:paraId="69456D27" w14:textId="77777777" w:rsidR="001B461A" w:rsidRDefault="001B461A" w:rsidP="001B461A">
      <w:pPr>
        <w:spacing w:after="0"/>
        <w:rPr>
          <w:sz w:val="16"/>
        </w:rPr>
      </w:pPr>
    </w:p>
    <w:p w14:paraId="7E983D0B" w14:textId="316ACCF4" w:rsidR="001B461A" w:rsidRPr="001B461A" w:rsidRDefault="001B461A" w:rsidP="001B461A">
      <w:pPr>
        <w:spacing w:after="0"/>
        <w:rPr>
          <w:color w:val="00B050"/>
          <w:sz w:val="16"/>
        </w:rPr>
      </w:pPr>
      <w:r w:rsidRPr="001B461A">
        <w:rPr>
          <w:color w:val="00B050"/>
          <w:sz w:val="16"/>
        </w:rPr>
        <w:lastRenderedPageBreak/>
        <w:t># choice for sigma based on population (services all) or based on GDP/cap (all 4 sub-categories)</w:t>
      </w:r>
    </w:p>
    <w:p w14:paraId="0D655971" w14:textId="3BD0E4EF" w:rsidR="00C01E68" w:rsidRDefault="001B461A" w:rsidP="001B461A">
      <w:pPr>
        <w:spacing w:after="0"/>
        <w:rPr>
          <w:sz w:val="16"/>
        </w:rPr>
      </w:pPr>
      <w:r w:rsidRPr="001B461A">
        <w:rPr>
          <w:sz w:val="16"/>
        </w:rPr>
        <w:t xml:space="preserve">sigma_choice = pop if name == 'services' else gdp   </w:t>
      </w:r>
    </w:p>
    <w:p w14:paraId="57EB76CB" w14:textId="77777777" w:rsidR="001B461A" w:rsidRPr="00C01E68" w:rsidRDefault="001B461A" w:rsidP="001B461A">
      <w:pPr>
        <w:spacing w:after="0"/>
        <w:rPr>
          <w:sz w:val="16"/>
        </w:rPr>
      </w:pPr>
    </w:p>
    <w:p w14:paraId="0424ED31" w14:textId="77777777" w:rsidR="00C01E68" w:rsidRPr="00C01E68" w:rsidRDefault="00C01E68" w:rsidP="00C01E68">
      <w:pPr>
        <w:spacing w:after="0"/>
        <w:rPr>
          <w:color w:val="00B050"/>
          <w:sz w:val="16"/>
        </w:rPr>
      </w:pPr>
      <w:r w:rsidRPr="00C01E68">
        <w:rPr>
          <w:color w:val="00B050"/>
          <w:sz w:val="16"/>
        </w:rPr>
        <w:t># all ones for non-weighted Chi-squared calculation</w:t>
      </w:r>
    </w:p>
    <w:p w14:paraId="17AC1991" w14:textId="77777777" w:rsidR="00C01E68" w:rsidRPr="00C01E68" w:rsidRDefault="00C01E68" w:rsidP="00C01E68">
      <w:pPr>
        <w:spacing w:after="0"/>
        <w:rPr>
          <w:sz w:val="16"/>
        </w:rPr>
      </w:pPr>
      <w:r w:rsidRPr="00C01E68">
        <w:rPr>
          <w:sz w:val="16"/>
        </w:rPr>
        <w:t>non_weighted = np.ones(len(xdata))</w:t>
      </w:r>
    </w:p>
    <w:p w14:paraId="405D7BF5" w14:textId="77777777" w:rsidR="00C01E68" w:rsidRPr="00C01E68" w:rsidRDefault="00C01E68" w:rsidP="00C01E68">
      <w:pPr>
        <w:spacing w:after="0"/>
        <w:rPr>
          <w:sz w:val="16"/>
        </w:rPr>
      </w:pPr>
    </w:p>
    <w:p w14:paraId="5D694D41" w14:textId="77777777" w:rsidR="00C01E68" w:rsidRPr="00C01E68" w:rsidRDefault="00C01E68" w:rsidP="00C01E68">
      <w:pPr>
        <w:spacing w:after="0"/>
        <w:rPr>
          <w:color w:val="00B050"/>
          <w:sz w:val="16"/>
        </w:rPr>
      </w:pPr>
      <w:r w:rsidRPr="00C01E68">
        <w:rPr>
          <w:color w:val="00B050"/>
          <w:sz w:val="16"/>
        </w:rPr>
        <w:t># calculate mean y value (plain or population weighted)</w:t>
      </w:r>
    </w:p>
    <w:p w14:paraId="70804F1D" w14:textId="0A6FC9EB" w:rsidR="00C01E68" w:rsidRDefault="00D855B3" w:rsidP="00C01E68">
      <w:pPr>
        <w:spacing w:after="0"/>
        <w:rPr>
          <w:sz w:val="16"/>
        </w:rPr>
      </w:pPr>
      <w:r w:rsidRPr="00D855B3">
        <w:rPr>
          <w:sz w:val="16"/>
        </w:rPr>
        <w:t>y_mean_weighted = sum(sigma_choice * ydata) / sum(sigma_choice)</w:t>
      </w:r>
    </w:p>
    <w:p w14:paraId="7DA1E68D" w14:textId="77777777" w:rsidR="00D855B3" w:rsidRPr="00C01E68" w:rsidRDefault="00D855B3" w:rsidP="00C01E68">
      <w:pPr>
        <w:spacing w:after="0"/>
        <w:rPr>
          <w:sz w:val="16"/>
        </w:rPr>
      </w:pPr>
    </w:p>
    <w:p w14:paraId="0567ED18" w14:textId="58005F58" w:rsidR="00C01E68" w:rsidRPr="00C01E68" w:rsidRDefault="00C01E68" w:rsidP="00C01E68">
      <w:pPr>
        <w:spacing w:after="0"/>
        <w:rPr>
          <w:color w:val="00B050"/>
          <w:sz w:val="16"/>
        </w:rPr>
      </w:pPr>
      <w:r w:rsidRPr="00C01E68">
        <w:rPr>
          <w:color w:val="00B050"/>
          <w:sz w:val="16"/>
        </w:rPr>
        <w:t># Construct sigma manually based on population</w:t>
      </w:r>
    </w:p>
    <w:p w14:paraId="7EFF7839" w14:textId="77777777" w:rsidR="00C01E68" w:rsidRPr="00C01E68" w:rsidRDefault="00C01E68" w:rsidP="00C01E68">
      <w:pPr>
        <w:spacing w:after="0"/>
        <w:rPr>
          <w:sz w:val="16"/>
        </w:rPr>
      </w:pPr>
      <w:r w:rsidRPr="00C01E68">
        <w:rPr>
          <w:sz w:val="16"/>
        </w:rPr>
        <w:t>sig_max = 0.3</w:t>
      </w:r>
    </w:p>
    <w:p w14:paraId="29B41FFD" w14:textId="77777777" w:rsidR="00C01E68" w:rsidRPr="00C01E68" w:rsidRDefault="00C01E68" w:rsidP="00C01E68">
      <w:pPr>
        <w:spacing w:after="0"/>
        <w:rPr>
          <w:sz w:val="16"/>
        </w:rPr>
      </w:pPr>
      <w:r w:rsidRPr="00C01E68">
        <w:rPr>
          <w:sz w:val="16"/>
        </w:rPr>
        <w:t>sig_min = 0.015</w:t>
      </w:r>
    </w:p>
    <w:p w14:paraId="42FF9F36" w14:textId="77777777" w:rsidR="001B461A" w:rsidRDefault="001B461A" w:rsidP="00C01E68">
      <w:pPr>
        <w:spacing w:after="0"/>
        <w:rPr>
          <w:sz w:val="16"/>
        </w:rPr>
      </w:pPr>
      <w:r w:rsidRPr="001B461A">
        <w:rPr>
          <w:sz w:val="16"/>
        </w:rPr>
        <w:t xml:space="preserve">sig_max_value = 200000 if name == 'services' else 40000 </w:t>
      </w:r>
    </w:p>
    <w:p w14:paraId="1C5631EA" w14:textId="77777777" w:rsidR="001B461A" w:rsidRPr="001B461A" w:rsidRDefault="001B461A" w:rsidP="001B461A">
      <w:pPr>
        <w:spacing w:after="0"/>
        <w:rPr>
          <w:sz w:val="16"/>
        </w:rPr>
      </w:pPr>
      <w:r w:rsidRPr="001B461A">
        <w:rPr>
          <w:sz w:val="16"/>
        </w:rPr>
        <w:t>sig_perc = [max(sig_min, sig_max-((sig_max-sig_min)/sig_max_value)*sigma_choice[idx]) for idx in range(len(sigma_choice))]</w:t>
      </w:r>
    </w:p>
    <w:p w14:paraId="4D8FBE87" w14:textId="05E1AB5C" w:rsidR="00C01E68" w:rsidRDefault="001B461A" w:rsidP="001B461A">
      <w:pPr>
        <w:spacing w:after="0"/>
        <w:rPr>
          <w:sz w:val="16"/>
        </w:rPr>
      </w:pPr>
      <w:r w:rsidRPr="001B461A">
        <w:rPr>
          <w:sz w:val="16"/>
        </w:rPr>
        <w:t>sig_manual = y_mean_weighted * np.array(sig_perc)</w:t>
      </w:r>
    </w:p>
    <w:p w14:paraId="3D77ACFB" w14:textId="77777777" w:rsidR="001B461A" w:rsidRPr="00C01E68" w:rsidRDefault="001B461A" w:rsidP="001B461A">
      <w:pPr>
        <w:spacing w:after="0"/>
        <w:rPr>
          <w:sz w:val="16"/>
        </w:rPr>
      </w:pPr>
    </w:p>
    <w:p w14:paraId="1E8D315D" w14:textId="77777777" w:rsidR="00C01E68" w:rsidRPr="00C01E68" w:rsidRDefault="00C01E68" w:rsidP="00C01E68">
      <w:pPr>
        <w:spacing w:after="0"/>
        <w:rPr>
          <w:color w:val="00B050"/>
          <w:sz w:val="16"/>
        </w:rPr>
      </w:pPr>
      <w:r w:rsidRPr="00C01E68">
        <w:rPr>
          <w:color w:val="00B050"/>
          <w:sz w:val="16"/>
        </w:rPr>
        <w:t># FIND FITS Using SLSQP routine (alternative routines: L-BFGS-B, Powell)</w:t>
      </w:r>
    </w:p>
    <w:p w14:paraId="29AB7AFA" w14:textId="77777777" w:rsidR="00C01E68" w:rsidRPr="00C01E68" w:rsidRDefault="00C01E68" w:rsidP="00C01E68">
      <w:pPr>
        <w:spacing w:after="0"/>
        <w:rPr>
          <w:color w:val="00B050"/>
          <w:sz w:val="16"/>
        </w:rPr>
      </w:pPr>
      <w:r w:rsidRPr="00C01E68">
        <w:rPr>
          <w:color w:val="00B050"/>
          <w:sz w:val="16"/>
        </w:rPr>
        <w:t># Unweighted optimisation</w:t>
      </w:r>
    </w:p>
    <w:p w14:paraId="32999985" w14:textId="7A756005" w:rsidR="00C01E68" w:rsidRPr="00C01E68" w:rsidRDefault="00C01E68" w:rsidP="00C01E68">
      <w:pPr>
        <w:spacing w:after="0"/>
        <w:rPr>
          <w:sz w:val="16"/>
        </w:rPr>
      </w:pPr>
      <w:r w:rsidRPr="00C01E68">
        <w:rPr>
          <w:sz w:val="16"/>
        </w:rPr>
        <w:t xml:space="preserve">ans1 = optimize.minimize(err_func, x0=guess, args=(xdata, ydata), method='SLSQP', bounds=[(0, max(ydata)),(0.00, 20.00),(0.01,1.00)], </w:t>
      </w:r>
      <w:r w:rsidR="00D855B3">
        <w:rPr>
          <w:sz w:val="16"/>
        </w:rPr>
        <w:t xml:space="preserve">   </w:t>
      </w:r>
      <w:r w:rsidRPr="00C01E68">
        <w:rPr>
          <w:sz w:val="16"/>
        </w:rPr>
        <w:t>options={'maxiter': 10000, 'ftol': 1e-05, 'disp': False, 'eps': 1e-08})</w:t>
      </w:r>
    </w:p>
    <w:p w14:paraId="49A34ED8" w14:textId="77777777" w:rsidR="00C01E68" w:rsidRPr="00CF4DAF" w:rsidRDefault="00C01E68" w:rsidP="00C01E68">
      <w:pPr>
        <w:spacing w:after="0"/>
        <w:rPr>
          <w:sz w:val="16"/>
          <w:lang w:val="fr-FR"/>
        </w:rPr>
      </w:pPr>
      <w:r w:rsidRPr="00CF4DAF">
        <w:rPr>
          <w:sz w:val="16"/>
          <w:lang w:val="fr-FR"/>
        </w:rPr>
        <w:t>[alpha, beta, gamma] = ans1.x[0], ans1.x[1], ans1.x[2]</w:t>
      </w:r>
    </w:p>
    <w:p w14:paraId="191491E8" w14:textId="77777777" w:rsidR="00C01E68" w:rsidRPr="00CF4DAF" w:rsidRDefault="00C01E68" w:rsidP="00C01E68">
      <w:pPr>
        <w:spacing w:after="0"/>
        <w:rPr>
          <w:sz w:val="16"/>
          <w:lang w:val="fr-FR"/>
        </w:rPr>
      </w:pPr>
    </w:p>
    <w:p w14:paraId="452E382A" w14:textId="3912DF02" w:rsidR="00C01E68" w:rsidRPr="00C01E68" w:rsidRDefault="00C01E68" w:rsidP="00C01E68">
      <w:pPr>
        <w:spacing w:after="0"/>
        <w:rPr>
          <w:color w:val="00B050"/>
          <w:sz w:val="16"/>
        </w:rPr>
      </w:pPr>
      <w:r w:rsidRPr="00C01E68">
        <w:rPr>
          <w:color w:val="00B050"/>
          <w:sz w:val="16"/>
        </w:rPr>
        <w:t xml:space="preserve"># Weighted optimisation </w:t>
      </w:r>
      <w:r w:rsidR="00D855B3">
        <w:rPr>
          <w:color w:val="00B050"/>
          <w:sz w:val="16"/>
        </w:rPr>
        <w:t>(either population, or gdp)</w:t>
      </w:r>
    </w:p>
    <w:p w14:paraId="192D76A8" w14:textId="77777777" w:rsidR="00C01E68" w:rsidRPr="00C01E68" w:rsidRDefault="00C01E68" w:rsidP="00C01E68">
      <w:pPr>
        <w:spacing w:after="0"/>
        <w:rPr>
          <w:sz w:val="16"/>
        </w:rPr>
      </w:pPr>
      <w:r w:rsidRPr="00C01E68">
        <w:rPr>
          <w:sz w:val="16"/>
        </w:rPr>
        <w:t>ans2 = optimize.minimize(get_chi_squared, x0=guess, args=(xdata, ydata, sig_manual), method='SLSQP', bounds=[(0.00, max(ydata)),(0.00,20.00),(0.01,1.00)], options={'maxiter': 10000, 'ftol': 1e-05, 'disp': False, 'eps': 1e-08})</w:t>
      </w:r>
    </w:p>
    <w:p w14:paraId="002DC4E1" w14:textId="77777777" w:rsidR="00C01E68" w:rsidRPr="00C01E68" w:rsidRDefault="00C01E68" w:rsidP="00C01E68">
      <w:pPr>
        <w:spacing w:after="0"/>
        <w:rPr>
          <w:sz w:val="16"/>
        </w:rPr>
      </w:pPr>
      <w:r w:rsidRPr="00C01E68">
        <w:rPr>
          <w:sz w:val="16"/>
        </w:rPr>
        <w:t>[alpha_sig, beta_sig, gamma_sig] = ans2.x[0], ans2.x[1], ans2.x[2]</w:t>
      </w:r>
    </w:p>
    <w:p w14:paraId="76E6A7E7" w14:textId="77777777" w:rsidR="00C01E68" w:rsidRPr="00C01E68" w:rsidRDefault="00C01E68" w:rsidP="00C01E68">
      <w:pPr>
        <w:spacing w:after="0"/>
        <w:rPr>
          <w:sz w:val="16"/>
        </w:rPr>
      </w:pPr>
    </w:p>
    <w:p w14:paraId="09C443A8" w14:textId="77777777" w:rsidR="00C01E68" w:rsidRPr="00C01E68" w:rsidRDefault="00C01E68" w:rsidP="00C01E68">
      <w:pPr>
        <w:spacing w:after="0"/>
        <w:rPr>
          <w:color w:val="00B050"/>
          <w:sz w:val="16"/>
        </w:rPr>
      </w:pPr>
      <w:r w:rsidRPr="00C01E68">
        <w:rPr>
          <w:color w:val="00B050"/>
          <w:sz w:val="16"/>
        </w:rPr>
        <w:t>#Find R-squared or Goodness of fit parameters</w:t>
      </w:r>
    </w:p>
    <w:p w14:paraId="496433C3" w14:textId="77777777" w:rsidR="00C01E68" w:rsidRPr="00C01E68" w:rsidRDefault="00C01E68" w:rsidP="00C01E68">
      <w:pPr>
        <w:spacing w:after="0"/>
        <w:rPr>
          <w:sz w:val="16"/>
        </w:rPr>
      </w:pPr>
      <w:r w:rsidRPr="00C01E68">
        <w:rPr>
          <w:sz w:val="16"/>
        </w:rPr>
        <w:t xml:space="preserve">rsquared = R2_coef_of_determination(xdata, ydata,[alpha, beta, gamma]) </w:t>
      </w:r>
    </w:p>
    <w:p w14:paraId="24228E5E" w14:textId="77777777" w:rsidR="00C01E68" w:rsidRPr="00C01E68" w:rsidRDefault="00C01E68" w:rsidP="00C01E68">
      <w:pPr>
        <w:spacing w:after="0"/>
        <w:rPr>
          <w:sz w:val="16"/>
        </w:rPr>
      </w:pPr>
      <w:r w:rsidRPr="00C01E68">
        <w:rPr>
          <w:sz w:val="16"/>
        </w:rPr>
        <w:t xml:space="preserve">rsquared_sig = R2_coef_of_determination(xdata, ydata,[alpha_sig, beta_sig, gamma_sig]) </w:t>
      </w:r>
    </w:p>
    <w:p w14:paraId="5CBC6D69" w14:textId="77777777" w:rsidR="00C01E68" w:rsidRPr="00C01E68" w:rsidRDefault="00C01E68" w:rsidP="00C01E68">
      <w:pPr>
        <w:spacing w:after="0"/>
        <w:rPr>
          <w:sz w:val="16"/>
        </w:rPr>
      </w:pPr>
    </w:p>
    <w:p w14:paraId="43BE3700" w14:textId="77777777" w:rsidR="00C01E68" w:rsidRPr="00C01E68" w:rsidRDefault="00C01E68" w:rsidP="00C01E68">
      <w:pPr>
        <w:spacing w:after="0"/>
        <w:rPr>
          <w:sz w:val="16"/>
        </w:rPr>
      </w:pPr>
      <w:r w:rsidRPr="00C01E68">
        <w:rPr>
          <w:color w:val="00B050"/>
          <w:sz w:val="16"/>
        </w:rPr>
        <w:t>#Goodness-of-fit parameter (Chi-squared)</w:t>
      </w:r>
    </w:p>
    <w:p w14:paraId="7350DD61" w14:textId="41DC44E9" w:rsidR="00C01E68" w:rsidRPr="00C01E68" w:rsidRDefault="00C01E68" w:rsidP="00C01E68">
      <w:pPr>
        <w:spacing w:after="0"/>
        <w:rPr>
          <w:sz w:val="16"/>
        </w:rPr>
      </w:pPr>
      <w:r w:rsidRPr="00C01E68">
        <w:rPr>
          <w:sz w:val="16"/>
        </w:rPr>
        <w:t>chi_squared = get_chi_squared(xdata, ydata,[alpha_sig, beta_sig, gamma_sig], non_we</w:t>
      </w:r>
      <w:r>
        <w:rPr>
          <w:sz w:val="16"/>
        </w:rPr>
        <w:t xml:space="preserve">ighted)         </w:t>
      </w:r>
      <w:r w:rsidRPr="00C01E68">
        <w:rPr>
          <w:color w:val="00B050"/>
          <w:sz w:val="16"/>
        </w:rPr>
        <w:t xml:space="preserve"># non-Weighted Chi-squared </w:t>
      </w:r>
    </w:p>
    <w:p w14:paraId="0049BF0A" w14:textId="3E7A1161" w:rsidR="00C01E68" w:rsidRPr="00C01E68" w:rsidRDefault="00C01E68" w:rsidP="00C01E68">
      <w:pPr>
        <w:spacing w:after="0"/>
        <w:rPr>
          <w:sz w:val="16"/>
        </w:rPr>
      </w:pPr>
      <w:r w:rsidRPr="00C01E68">
        <w:rPr>
          <w:sz w:val="16"/>
        </w:rPr>
        <w:t>chi_squared_sig   = get_chi_squared(xdata, ydata,[alpha_sig, beta_sig, gamma_sig], sig_manu</w:t>
      </w:r>
      <w:r>
        <w:rPr>
          <w:sz w:val="16"/>
        </w:rPr>
        <w:t xml:space="preserve">al)     </w:t>
      </w:r>
      <w:r w:rsidRPr="00C01E68">
        <w:rPr>
          <w:color w:val="00B050"/>
          <w:sz w:val="16"/>
        </w:rPr>
        <w:t xml:space="preserve"># Weighted Chi-squared </w:t>
      </w:r>
    </w:p>
    <w:p w14:paraId="28328C38" w14:textId="77777777" w:rsidR="00C01E68" w:rsidRPr="00C01E68" w:rsidRDefault="00C01E68" w:rsidP="00C01E68">
      <w:pPr>
        <w:spacing w:after="0"/>
        <w:rPr>
          <w:sz w:val="16"/>
        </w:rPr>
      </w:pPr>
    </w:p>
    <w:p w14:paraId="363A12EB" w14:textId="77777777" w:rsidR="00C01E68" w:rsidRPr="00C01E68" w:rsidRDefault="00C01E68" w:rsidP="00C01E68">
      <w:pPr>
        <w:spacing w:after="0"/>
        <w:rPr>
          <w:color w:val="00B050"/>
          <w:sz w:val="16"/>
        </w:rPr>
      </w:pPr>
      <w:r w:rsidRPr="00C01E68">
        <w:rPr>
          <w:color w:val="00B050"/>
          <w:sz w:val="16"/>
        </w:rPr>
        <w:t xml:space="preserve"># find the total global square meters according to the data in 2017 </w:t>
      </w:r>
    </w:p>
    <w:p w14:paraId="6CF489AD" w14:textId="77777777" w:rsidR="00C01E68" w:rsidRPr="00C01E68" w:rsidRDefault="00C01E68" w:rsidP="00C01E68">
      <w:pPr>
        <w:spacing w:after="0"/>
        <w:rPr>
          <w:sz w:val="16"/>
        </w:rPr>
      </w:pPr>
      <w:r w:rsidRPr="00C01E68">
        <w:rPr>
          <w:sz w:val="16"/>
        </w:rPr>
        <w:t>data_sqr_meters = ydata * pop</w:t>
      </w:r>
    </w:p>
    <w:p w14:paraId="7C52968C" w14:textId="77777777" w:rsidR="00C01E68" w:rsidRPr="00C01E68" w:rsidRDefault="00C01E68" w:rsidP="00C01E68">
      <w:pPr>
        <w:spacing w:after="0"/>
        <w:rPr>
          <w:sz w:val="16"/>
        </w:rPr>
      </w:pPr>
      <w:r w:rsidRPr="00C01E68">
        <w:rPr>
          <w:sz w:val="16"/>
        </w:rPr>
        <w:t>sqr_meters_total_data = sum(data_sqr_meters)</w:t>
      </w:r>
    </w:p>
    <w:p w14:paraId="07667DDC" w14:textId="77777777" w:rsidR="00C01E68" w:rsidRPr="00C01E68" w:rsidRDefault="00C01E68" w:rsidP="00C01E68">
      <w:pPr>
        <w:spacing w:after="0"/>
        <w:rPr>
          <w:sz w:val="16"/>
        </w:rPr>
      </w:pPr>
    </w:p>
    <w:p w14:paraId="01F72449" w14:textId="77777777" w:rsidR="00C01E68" w:rsidRPr="00C01E68" w:rsidRDefault="00C01E68" w:rsidP="00C01E68">
      <w:pPr>
        <w:spacing w:after="0"/>
        <w:rPr>
          <w:color w:val="00B050"/>
          <w:sz w:val="16"/>
        </w:rPr>
      </w:pPr>
      <w:r w:rsidRPr="00C01E68">
        <w:rPr>
          <w:color w:val="00B050"/>
          <w:sz w:val="16"/>
        </w:rPr>
        <w:t># Find the resulting total global square meters according to the fitted function</w:t>
      </w:r>
    </w:p>
    <w:p w14:paraId="0137C350" w14:textId="77777777" w:rsidR="00C01E68" w:rsidRPr="00C01E68" w:rsidRDefault="00C01E68" w:rsidP="00C01E68">
      <w:pPr>
        <w:spacing w:after="0"/>
        <w:rPr>
          <w:color w:val="00B050"/>
          <w:sz w:val="16"/>
        </w:rPr>
      </w:pPr>
      <w:r w:rsidRPr="00C01E68">
        <w:rPr>
          <w:color w:val="00B050"/>
          <w:sz w:val="16"/>
        </w:rPr>
        <w:t xml:space="preserve"># Wherever the function yields negative numbers (e.g. in case of a logarithmic model), we assume 0 </w:t>
      </w:r>
    </w:p>
    <w:p w14:paraId="534C8FC8" w14:textId="77777777" w:rsidR="00C01E68" w:rsidRPr="00CF4DAF" w:rsidRDefault="00C01E68" w:rsidP="00C01E68">
      <w:pPr>
        <w:spacing w:after="0"/>
        <w:rPr>
          <w:sz w:val="16"/>
          <w:lang w:val="fr-FR"/>
        </w:rPr>
      </w:pPr>
      <w:r w:rsidRPr="00CF4DAF">
        <w:rPr>
          <w:sz w:val="16"/>
          <w:lang w:val="fr-FR"/>
        </w:rPr>
        <w:t>def current_fit(xs, pop, par):  # par = [alpha, beta]</w:t>
      </w:r>
    </w:p>
    <w:p w14:paraId="3B34D394" w14:textId="77777777" w:rsidR="00C01E68" w:rsidRPr="00C01E68" w:rsidRDefault="00C01E68" w:rsidP="00C01E68">
      <w:pPr>
        <w:spacing w:after="0"/>
        <w:rPr>
          <w:sz w:val="16"/>
        </w:rPr>
      </w:pPr>
      <w:r w:rsidRPr="00CF4DAF">
        <w:rPr>
          <w:sz w:val="16"/>
          <w:lang w:val="fr-FR"/>
        </w:rPr>
        <w:t xml:space="preserve">    </w:t>
      </w:r>
      <w:r w:rsidRPr="00C01E68">
        <w:rPr>
          <w:sz w:val="16"/>
        </w:rPr>
        <w:t>optim_sqr_meters = []</w:t>
      </w:r>
    </w:p>
    <w:p w14:paraId="74A59906" w14:textId="77777777" w:rsidR="00C01E68" w:rsidRPr="00C01E68" w:rsidRDefault="00C01E68" w:rsidP="00C01E68">
      <w:pPr>
        <w:spacing w:after="0"/>
        <w:rPr>
          <w:sz w:val="16"/>
        </w:rPr>
      </w:pPr>
      <w:r w:rsidRPr="00C01E68">
        <w:rPr>
          <w:sz w:val="16"/>
        </w:rPr>
        <w:t xml:space="preserve">    for point in range(0,len(xs)):</w:t>
      </w:r>
    </w:p>
    <w:p w14:paraId="0FEC673B" w14:textId="77777777" w:rsidR="00C01E68" w:rsidRPr="00C01E68" w:rsidRDefault="00C01E68" w:rsidP="00C01E68">
      <w:pPr>
        <w:spacing w:after="0"/>
        <w:rPr>
          <w:sz w:val="16"/>
        </w:rPr>
      </w:pPr>
      <w:r w:rsidRPr="00C01E68">
        <w:rPr>
          <w:sz w:val="16"/>
        </w:rPr>
        <w:t xml:space="preserve">        if (fit_func(par, [xs[point]])[0] &gt; 0): </w:t>
      </w:r>
    </w:p>
    <w:p w14:paraId="7B40F30F" w14:textId="77777777" w:rsidR="00C01E68" w:rsidRPr="00C01E68" w:rsidRDefault="00C01E68" w:rsidP="00C01E68">
      <w:pPr>
        <w:spacing w:after="0"/>
        <w:rPr>
          <w:sz w:val="16"/>
        </w:rPr>
      </w:pPr>
      <w:r w:rsidRPr="00C01E68">
        <w:rPr>
          <w:sz w:val="16"/>
        </w:rPr>
        <w:t xml:space="preserve">            optim_sqr_meters.append(fit_func(par, [xs[point]])[0] * pop[point])</w:t>
      </w:r>
    </w:p>
    <w:p w14:paraId="05B9823C" w14:textId="77777777" w:rsidR="00C01E68" w:rsidRPr="00C01E68" w:rsidRDefault="00C01E68" w:rsidP="00C01E68">
      <w:pPr>
        <w:spacing w:after="0"/>
        <w:rPr>
          <w:sz w:val="16"/>
        </w:rPr>
      </w:pPr>
      <w:r w:rsidRPr="00C01E68">
        <w:rPr>
          <w:sz w:val="16"/>
        </w:rPr>
        <w:t xml:space="preserve">        else: </w:t>
      </w:r>
    </w:p>
    <w:p w14:paraId="38C5EDF9" w14:textId="77777777" w:rsidR="00C01E68" w:rsidRPr="00C01E68" w:rsidRDefault="00C01E68" w:rsidP="00C01E68">
      <w:pPr>
        <w:spacing w:after="0"/>
        <w:rPr>
          <w:sz w:val="16"/>
        </w:rPr>
      </w:pPr>
      <w:r w:rsidRPr="00C01E68">
        <w:rPr>
          <w:sz w:val="16"/>
        </w:rPr>
        <w:t xml:space="preserve">            optim_sqr_meters.append(0)</w:t>
      </w:r>
    </w:p>
    <w:p w14:paraId="1C472973" w14:textId="77777777" w:rsidR="00C01E68" w:rsidRPr="00C01E68" w:rsidRDefault="00C01E68" w:rsidP="00C01E68">
      <w:pPr>
        <w:spacing w:after="0"/>
        <w:rPr>
          <w:sz w:val="16"/>
        </w:rPr>
      </w:pPr>
      <w:r w:rsidRPr="00C01E68">
        <w:rPr>
          <w:sz w:val="16"/>
        </w:rPr>
        <w:t xml:space="preserve">    return sum(optim_sqr_meters)</w:t>
      </w:r>
    </w:p>
    <w:p w14:paraId="710DD8E5" w14:textId="77777777" w:rsidR="00C01E68" w:rsidRPr="00C01E68" w:rsidRDefault="00C01E68" w:rsidP="00C01E68">
      <w:pPr>
        <w:spacing w:after="0"/>
        <w:rPr>
          <w:sz w:val="16"/>
        </w:rPr>
      </w:pPr>
    </w:p>
    <w:p w14:paraId="3B46CB44" w14:textId="77777777" w:rsidR="00C01E68" w:rsidRPr="00C01E68" w:rsidRDefault="00C01E68" w:rsidP="00C01E68">
      <w:pPr>
        <w:spacing w:after="0"/>
        <w:rPr>
          <w:sz w:val="16"/>
        </w:rPr>
      </w:pPr>
      <w:r w:rsidRPr="00C01E68">
        <w:rPr>
          <w:sz w:val="16"/>
        </w:rPr>
        <w:t>optim_sqr_meters_non = current_fit(xdata, pop, [alpha, beta, gamma])</w:t>
      </w:r>
    </w:p>
    <w:p w14:paraId="25F0D622" w14:textId="77777777" w:rsidR="00C01E68" w:rsidRPr="00C01E68" w:rsidRDefault="00C01E68" w:rsidP="00C01E68">
      <w:pPr>
        <w:spacing w:after="0"/>
        <w:rPr>
          <w:sz w:val="16"/>
        </w:rPr>
      </w:pPr>
      <w:r w:rsidRPr="00C01E68">
        <w:rPr>
          <w:sz w:val="16"/>
        </w:rPr>
        <w:t>optim_sqr_meters_sig = current_fit(xdata, pop, [alpha_sig, beta_sig, gamma_sig])</w:t>
      </w:r>
    </w:p>
    <w:p w14:paraId="23539571" w14:textId="77777777" w:rsidR="00C01E68" w:rsidRPr="00C01E68" w:rsidRDefault="00C01E68" w:rsidP="00C01E68">
      <w:pPr>
        <w:spacing w:after="0"/>
        <w:rPr>
          <w:sz w:val="16"/>
        </w:rPr>
      </w:pPr>
    </w:p>
    <w:p w14:paraId="5898E7A4" w14:textId="77777777" w:rsidR="00C01E68" w:rsidRPr="00C01E68" w:rsidRDefault="00C01E68" w:rsidP="00C01E68">
      <w:pPr>
        <w:spacing w:after="0"/>
        <w:rPr>
          <w:sz w:val="16"/>
        </w:rPr>
      </w:pPr>
      <w:r w:rsidRPr="00C01E68">
        <w:rPr>
          <w:sz w:val="16"/>
        </w:rPr>
        <w:t>current_fit_non = optim_sqr_meters_non/sqr_meters_total_data</w:t>
      </w:r>
      <w:r w:rsidRPr="00C01E68">
        <w:rPr>
          <w:sz w:val="16"/>
        </w:rPr>
        <w:tab/>
      </w:r>
      <w:r w:rsidRPr="00C01E68">
        <w:rPr>
          <w:sz w:val="16"/>
        </w:rPr>
        <w:tab/>
      </w:r>
      <w:r w:rsidRPr="00C01E68">
        <w:rPr>
          <w:color w:val="00B050"/>
          <w:sz w:val="16"/>
        </w:rPr>
        <w:t># fit (phi) of the non-weighted parameterisation</w:t>
      </w:r>
    </w:p>
    <w:p w14:paraId="1AE23267" w14:textId="7CFB6560" w:rsidR="00A669FA" w:rsidRPr="00C01E68" w:rsidRDefault="00C01E68" w:rsidP="00C01E68">
      <w:pPr>
        <w:spacing w:after="0"/>
        <w:rPr>
          <w:sz w:val="16"/>
        </w:rPr>
      </w:pPr>
      <w:r w:rsidRPr="00C01E68">
        <w:rPr>
          <w:sz w:val="16"/>
        </w:rPr>
        <w:t>current_fit_sig = optim_sqr_meters_sig/sqr_meters_total_data</w:t>
      </w:r>
      <w:r w:rsidRPr="00C01E68">
        <w:rPr>
          <w:sz w:val="16"/>
        </w:rPr>
        <w:tab/>
      </w:r>
      <w:r w:rsidRPr="00C01E68">
        <w:rPr>
          <w:sz w:val="16"/>
        </w:rPr>
        <w:tab/>
      </w:r>
      <w:r w:rsidRPr="00C01E68">
        <w:rPr>
          <w:color w:val="00B050"/>
          <w:sz w:val="16"/>
        </w:rPr>
        <w:t># fit (phi) of the weighted parameterisation</w:t>
      </w:r>
    </w:p>
    <w:p w14:paraId="315FB5B3" w14:textId="77777777" w:rsidR="00EE4F1A" w:rsidRPr="00EE4F1A" w:rsidRDefault="00EE4F1A" w:rsidP="00EE4F1A"/>
    <w:p w14:paraId="4C2BD982" w14:textId="77777777" w:rsidR="00C01E68" w:rsidRDefault="00C01E68">
      <w:pPr>
        <w:rPr>
          <w:rFonts w:asciiTheme="majorHAnsi" w:eastAsiaTheme="majorEastAsia" w:hAnsiTheme="majorHAnsi" w:cstheme="majorBidi"/>
          <w:color w:val="1F4D78" w:themeColor="accent1" w:themeShade="7F"/>
          <w:sz w:val="24"/>
          <w:szCs w:val="24"/>
        </w:rPr>
      </w:pPr>
      <w:r>
        <w:br w:type="page"/>
      </w:r>
    </w:p>
    <w:p w14:paraId="25CF1C39" w14:textId="0D0E76FB" w:rsidR="00EE4F1A" w:rsidRPr="00EE4F1A" w:rsidRDefault="0028074D" w:rsidP="00EE4F1A">
      <w:pPr>
        <w:pStyle w:val="Heading3"/>
      </w:pPr>
      <w:bookmarkStart w:id="19" w:name="_Toc10807401"/>
      <w:r>
        <w:lastRenderedPageBreak/>
        <w:t>7</w:t>
      </w:r>
      <w:r w:rsidR="00EE4F1A" w:rsidRPr="00EE4F1A">
        <w:t>.2. Code of the main model</w:t>
      </w:r>
      <w:bookmarkEnd w:id="19"/>
    </w:p>
    <w:p w14:paraId="0E29C468" w14:textId="00BFF3BC" w:rsidR="00B12458" w:rsidRPr="00B12458" w:rsidRDefault="00B12458" w:rsidP="00DA0542">
      <w:pPr>
        <w:spacing w:after="0"/>
      </w:pPr>
      <w:r>
        <w:rPr>
          <w:sz w:val="32"/>
          <w:szCs w:val="32"/>
        </w:rPr>
        <w:br/>
      </w:r>
      <w:r w:rsidRPr="00B12458">
        <w:t xml:space="preserve">The code of the main model is available from Github at </w:t>
      </w:r>
    </w:p>
    <w:p w14:paraId="5EF6207A" w14:textId="7DEF45EC" w:rsidR="00B12458" w:rsidRPr="00B12458" w:rsidRDefault="0074540E" w:rsidP="00DA0542">
      <w:pPr>
        <w:spacing w:after="0"/>
      </w:pPr>
      <w:hyperlink r:id="rId41" w:history="1">
        <w:r w:rsidR="00B12458" w:rsidRPr="00B12458">
          <w:rPr>
            <w:rStyle w:val="Hyperlink"/>
          </w:rPr>
          <w:t>https://github.com/SPDeetman/BUMA</w:t>
        </w:r>
      </w:hyperlink>
    </w:p>
    <w:p w14:paraId="63593D31" w14:textId="77777777" w:rsidR="00B12458" w:rsidRDefault="00B12458" w:rsidP="00DA0542">
      <w:pPr>
        <w:spacing w:after="0"/>
        <w:rPr>
          <w:sz w:val="32"/>
          <w:szCs w:val="32"/>
        </w:rPr>
      </w:pPr>
    </w:p>
    <w:p w14:paraId="1A5092A2" w14:textId="77777777" w:rsidR="00B12458" w:rsidRPr="00DA0542" w:rsidRDefault="00B12458" w:rsidP="00DA0542">
      <w:pPr>
        <w:spacing w:after="0"/>
        <w:rPr>
          <w:sz w:val="14"/>
          <w:szCs w:val="14"/>
        </w:rPr>
      </w:pPr>
    </w:p>
    <w:p w14:paraId="6BAB766F" w14:textId="77777777" w:rsidR="00DA0542" w:rsidRPr="00DA0542" w:rsidRDefault="00DA0542" w:rsidP="00A669FA">
      <w:pPr>
        <w:rPr>
          <w:sz w:val="14"/>
          <w:szCs w:val="14"/>
        </w:rPr>
      </w:pPr>
    </w:p>
    <w:p w14:paraId="0720411F" w14:textId="77777777" w:rsidR="008564E8" w:rsidRPr="00F456A7" w:rsidRDefault="008564E8" w:rsidP="00A669FA"/>
    <w:p w14:paraId="3BDEEC5F" w14:textId="58426EA4" w:rsidR="003C3987" w:rsidRDefault="003C3987" w:rsidP="00EA3464"/>
    <w:p w14:paraId="079B5BA1" w14:textId="6E16DEFE" w:rsidR="00EA3464" w:rsidRDefault="00EA3464">
      <w:r>
        <w:br w:type="page"/>
      </w:r>
    </w:p>
    <w:p w14:paraId="7E759641" w14:textId="7DC926E9" w:rsidR="00EA3464" w:rsidRDefault="00EA3464" w:rsidP="00EA3464">
      <w:pPr>
        <w:pStyle w:val="Heading2"/>
        <w:numPr>
          <w:ilvl w:val="0"/>
          <w:numId w:val="2"/>
        </w:numPr>
      </w:pPr>
      <w:bookmarkStart w:id="20" w:name="_Toc10807402"/>
      <w:r>
        <w:lastRenderedPageBreak/>
        <w:t>References (as used in the SI)</w:t>
      </w:r>
      <w:bookmarkEnd w:id="20"/>
    </w:p>
    <w:p w14:paraId="745F6949" w14:textId="1E97C93E" w:rsidR="003C3987" w:rsidRDefault="003C3987" w:rsidP="003C3987">
      <w:pPr>
        <w:ind w:left="360"/>
      </w:pPr>
    </w:p>
    <w:p w14:paraId="3E146B0C" w14:textId="203D3561" w:rsidR="00B12458" w:rsidRPr="00B12458" w:rsidRDefault="00EA3464" w:rsidP="00B12458">
      <w:pPr>
        <w:widowControl w:val="0"/>
        <w:autoSpaceDE w:val="0"/>
        <w:autoSpaceDN w:val="0"/>
        <w:adjustRightInd w:val="0"/>
        <w:spacing w:line="240" w:lineRule="auto"/>
        <w:ind w:left="640" w:hanging="640"/>
        <w:rPr>
          <w:rFonts w:ascii="Calibri" w:hAnsi="Calibri" w:cs="Calibri"/>
          <w:noProof/>
          <w:sz w:val="20"/>
          <w:szCs w:val="24"/>
        </w:rPr>
      </w:pPr>
      <w:r w:rsidRPr="00EA3464">
        <w:rPr>
          <w:sz w:val="21"/>
          <w:szCs w:val="21"/>
        </w:rPr>
        <w:fldChar w:fldCharType="begin" w:fldLock="1"/>
      </w:r>
      <w:r w:rsidRPr="00EA3464">
        <w:rPr>
          <w:sz w:val="21"/>
          <w:szCs w:val="21"/>
        </w:rPr>
        <w:instrText xml:space="preserve">ADDIN Mendeley Bibliography CSL_BIBLIOGRAPHY </w:instrText>
      </w:r>
      <w:r w:rsidRPr="00EA3464">
        <w:rPr>
          <w:sz w:val="21"/>
          <w:szCs w:val="21"/>
        </w:rPr>
        <w:fldChar w:fldCharType="separate"/>
      </w:r>
      <w:r w:rsidR="00B12458" w:rsidRPr="00B12458">
        <w:rPr>
          <w:rFonts w:ascii="Calibri" w:hAnsi="Calibri" w:cs="Calibri"/>
          <w:noProof/>
          <w:sz w:val="20"/>
          <w:szCs w:val="24"/>
        </w:rPr>
        <w:t>1.</w:t>
      </w:r>
      <w:r w:rsidR="00B12458" w:rsidRPr="00B12458">
        <w:rPr>
          <w:rFonts w:ascii="Calibri" w:hAnsi="Calibri" w:cs="Calibri"/>
          <w:noProof/>
          <w:sz w:val="20"/>
          <w:szCs w:val="24"/>
        </w:rPr>
        <w:tab/>
        <w:t xml:space="preserve">Stehfest, E., van Vuuren, D., Bouwman, L. &amp; Kram, T. </w:t>
      </w:r>
      <w:r w:rsidR="00B12458" w:rsidRPr="00B12458">
        <w:rPr>
          <w:rFonts w:ascii="Calibri" w:hAnsi="Calibri" w:cs="Calibri"/>
          <w:i/>
          <w:iCs/>
          <w:noProof/>
          <w:sz w:val="20"/>
          <w:szCs w:val="24"/>
        </w:rPr>
        <w:t>Integrated assessment of global environmental change with IMAGE 3.0: Model description and policy applications</w:t>
      </w:r>
      <w:r w:rsidR="00B12458" w:rsidRPr="00B12458">
        <w:rPr>
          <w:rFonts w:ascii="Calibri" w:hAnsi="Calibri" w:cs="Calibri"/>
          <w:noProof/>
          <w:sz w:val="20"/>
          <w:szCs w:val="24"/>
        </w:rPr>
        <w:t>. (Netherlands Environmental Assessment Agency (PBL), 2014).</w:t>
      </w:r>
    </w:p>
    <w:p w14:paraId="305B6DE6"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w:t>
      </w:r>
      <w:r w:rsidRPr="00B12458">
        <w:rPr>
          <w:rFonts w:ascii="Calibri" w:hAnsi="Calibri" w:cs="Calibri"/>
          <w:noProof/>
          <w:sz w:val="20"/>
          <w:szCs w:val="24"/>
        </w:rPr>
        <w:tab/>
        <w:t xml:space="preserve">Machinchick, T. &amp; Freas, B. </w:t>
      </w:r>
      <w:r w:rsidRPr="00B12458">
        <w:rPr>
          <w:rFonts w:ascii="Calibri" w:hAnsi="Calibri" w:cs="Calibri"/>
          <w:i/>
          <w:iCs/>
          <w:noProof/>
          <w:sz w:val="20"/>
          <w:szCs w:val="24"/>
        </w:rPr>
        <w:t>Global Building Stock Database, Commercial and Residential Building Floor Space by Country and Building Type: 2017-2026</w:t>
      </w:r>
      <w:r w:rsidRPr="00B12458">
        <w:rPr>
          <w:rFonts w:ascii="Calibri" w:hAnsi="Calibri" w:cs="Calibri"/>
          <w:noProof/>
          <w:sz w:val="20"/>
          <w:szCs w:val="24"/>
        </w:rPr>
        <w:t>. (2018).</w:t>
      </w:r>
    </w:p>
    <w:p w14:paraId="3E93CF6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w:t>
      </w:r>
      <w:r w:rsidRPr="00B12458">
        <w:rPr>
          <w:rFonts w:ascii="Calibri" w:hAnsi="Calibri" w:cs="Calibri"/>
          <w:noProof/>
          <w:sz w:val="20"/>
          <w:szCs w:val="24"/>
        </w:rPr>
        <w:tab/>
        <w:t xml:space="preserve">UNData. Per capita GDP at current prices. </w:t>
      </w:r>
      <w:r w:rsidRPr="00B12458">
        <w:rPr>
          <w:rFonts w:ascii="Calibri" w:hAnsi="Calibri" w:cs="Calibri"/>
          <w:i/>
          <w:iCs/>
          <w:noProof/>
          <w:sz w:val="20"/>
          <w:szCs w:val="24"/>
        </w:rPr>
        <w:t>National Accounts Estimates of Main Aggregates, United Nations Statistics Division</w:t>
      </w:r>
      <w:r w:rsidRPr="00B12458">
        <w:rPr>
          <w:rFonts w:ascii="Calibri" w:hAnsi="Calibri" w:cs="Calibri"/>
          <w:noProof/>
          <w:sz w:val="20"/>
          <w:szCs w:val="24"/>
        </w:rPr>
        <w:t xml:space="preserve"> (2018). Available at: http://data.un.org/Data.aspx?q=GDP&amp;d=SNAAMA&amp;f=grID%3A101%3BcurrID%3AUSD%3BpcFlag%3A1#SNAAMA. </w:t>
      </w:r>
    </w:p>
    <w:p w14:paraId="478924E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w:t>
      </w:r>
      <w:r w:rsidRPr="00B12458">
        <w:rPr>
          <w:rFonts w:ascii="Calibri" w:hAnsi="Calibri" w:cs="Calibri"/>
          <w:noProof/>
          <w:sz w:val="20"/>
          <w:szCs w:val="24"/>
        </w:rPr>
        <w:tab/>
        <w:t xml:space="preserve">UNData. GVA by kind of economic activity. </w:t>
      </w:r>
      <w:r w:rsidRPr="00B12458">
        <w:rPr>
          <w:rFonts w:ascii="Calibri" w:hAnsi="Calibri" w:cs="Calibri"/>
          <w:i/>
          <w:iCs/>
          <w:noProof/>
          <w:sz w:val="20"/>
          <w:szCs w:val="24"/>
        </w:rPr>
        <w:t>National Accounts; United Nations Statistics Division</w:t>
      </w:r>
      <w:r w:rsidRPr="00B12458">
        <w:rPr>
          <w:rFonts w:ascii="Calibri" w:hAnsi="Calibri" w:cs="Calibri"/>
          <w:noProof/>
          <w:sz w:val="20"/>
          <w:szCs w:val="24"/>
        </w:rPr>
        <w:t xml:space="preserve"> (2018). Available at: http://data.un.org/. (Accessed: 19th November 2018)</w:t>
      </w:r>
    </w:p>
    <w:p w14:paraId="735A3E88"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5.</w:t>
      </w:r>
      <w:r w:rsidRPr="00B12458">
        <w:rPr>
          <w:rFonts w:ascii="Calibri" w:hAnsi="Calibri" w:cs="Calibri"/>
          <w:noProof/>
          <w:sz w:val="20"/>
          <w:szCs w:val="24"/>
        </w:rPr>
        <w:tab/>
        <w:t>Kraft. A software package for sequential quadratic programming. (1988).</w:t>
      </w:r>
    </w:p>
    <w:p w14:paraId="681DEE93"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6.</w:t>
      </w:r>
      <w:r w:rsidRPr="00B12458">
        <w:rPr>
          <w:rFonts w:ascii="Calibri" w:hAnsi="Calibri" w:cs="Calibri"/>
          <w:noProof/>
          <w:sz w:val="20"/>
          <w:szCs w:val="24"/>
        </w:rPr>
        <w:tab/>
        <w:t xml:space="preserve">Perez, R. E., Jansen, P. W. &amp; Martins, J. R. R. A. pyOpt: a Python-based object-oriented framework for nonlinear constrained optimization. </w:t>
      </w:r>
      <w:r w:rsidRPr="00B12458">
        <w:rPr>
          <w:rFonts w:ascii="Calibri" w:hAnsi="Calibri" w:cs="Calibri"/>
          <w:i/>
          <w:iCs/>
          <w:noProof/>
          <w:sz w:val="20"/>
          <w:szCs w:val="24"/>
        </w:rPr>
        <w:t>Struct. Multidiscip. Optim.</w:t>
      </w:r>
      <w:r w:rsidRPr="00B12458">
        <w:rPr>
          <w:rFonts w:ascii="Calibri" w:hAnsi="Calibri" w:cs="Calibri"/>
          <w:noProof/>
          <w:sz w:val="20"/>
          <w:szCs w:val="24"/>
        </w:rPr>
        <w:t xml:space="preserve"> </w:t>
      </w:r>
      <w:r w:rsidRPr="00B12458">
        <w:rPr>
          <w:rFonts w:ascii="Calibri" w:hAnsi="Calibri" w:cs="Calibri"/>
          <w:b/>
          <w:bCs/>
          <w:noProof/>
          <w:sz w:val="20"/>
          <w:szCs w:val="24"/>
        </w:rPr>
        <w:t>45</w:t>
      </w:r>
      <w:r w:rsidRPr="00B12458">
        <w:rPr>
          <w:rFonts w:ascii="Calibri" w:hAnsi="Calibri" w:cs="Calibri"/>
          <w:noProof/>
          <w:sz w:val="20"/>
          <w:szCs w:val="24"/>
        </w:rPr>
        <w:t>, 101–118 (2012).</w:t>
      </w:r>
    </w:p>
    <w:p w14:paraId="5F567151"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7.</w:t>
      </w:r>
      <w:r w:rsidRPr="00B12458">
        <w:rPr>
          <w:rFonts w:ascii="Calibri" w:hAnsi="Calibri" w:cs="Calibri"/>
          <w:noProof/>
          <w:sz w:val="20"/>
          <w:szCs w:val="24"/>
        </w:rPr>
        <w:tab/>
        <w:t>US Bureau of Labor Statistics. CPI Inflation Calculator. (2019). Available at: https://www.bls.gov/data/inflation_calculator.htm. (Accessed: 23rd January 2019)</w:t>
      </w:r>
    </w:p>
    <w:p w14:paraId="12460A31"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8.</w:t>
      </w:r>
      <w:r w:rsidRPr="00B12458">
        <w:rPr>
          <w:rFonts w:ascii="Calibri" w:hAnsi="Calibri" w:cs="Calibri"/>
          <w:noProof/>
          <w:sz w:val="20"/>
          <w:szCs w:val="24"/>
        </w:rPr>
        <w:tab/>
        <w:t xml:space="preserve">Bevington, P. R. &amp; Robinson, D. K. </w:t>
      </w:r>
      <w:r w:rsidRPr="00B12458">
        <w:rPr>
          <w:rFonts w:ascii="Calibri" w:hAnsi="Calibri" w:cs="Calibri"/>
          <w:i/>
          <w:iCs/>
          <w:noProof/>
          <w:sz w:val="20"/>
          <w:szCs w:val="24"/>
        </w:rPr>
        <w:t>Data Reduction and Error Analysis for the Physical Sciences</w:t>
      </w:r>
      <w:r w:rsidRPr="00B12458">
        <w:rPr>
          <w:rFonts w:ascii="Calibri" w:hAnsi="Calibri" w:cs="Calibri"/>
          <w:noProof/>
          <w:sz w:val="20"/>
          <w:szCs w:val="24"/>
        </w:rPr>
        <w:t xml:space="preserve">. </w:t>
      </w:r>
      <w:r w:rsidRPr="00B12458">
        <w:rPr>
          <w:rFonts w:ascii="Calibri" w:hAnsi="Calibri" w:cs="Calibri"/>
          <w:i/>
          <w:iCs/>
          <w:noProof/>
          <w:sz w:val="20"/>
          <w:szCs w:val="24"/>
        </w:rPr>
        <w:t>McGraw-Hill</w:t>
      </w:r>
      <w:r w:rsidRPr="00B12458">
        <w:rPr>
          <w:rFonts w:ascii="Calibri" w:hAnsi="Calibri" w:cs="Calibri"/>
          <w:noProof/>
          <w:sz w:val="20"/>
          <w:szCs w:val="24"/>
        </w:rPr>
        <w:t xml:space="preserve"> (2003). doi:10.1063/1.4823194</w:t>
      </w:r>
    </w:p>
    <w:p w14:paraId="2401C482"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9.</w:t>
      </w:r>
      <w:r w:rsidRPr="00B12458">
        <w:rPr>
          <w:rFonts w:ascii="Calibri" w:hAnsi="Calibri" w:cs="Calibri"/>
          <w:noProof/>
          <w:sz w:val="20"/>
          <w:szCs w:val="24"/>
        </w:rPr>
        <w:tab/>
        <w:t xml:space="preserve">Jensen, P. Network-based predictions of retail store commercial categories and optimal locations. </w:t>
      </w:r>
      <w:r w:rsidRPr="00B12458">
        <w:rPr>
          <w:rFonts w:ascii="Calibri" w:hAnsi="Calibri" w:cs="Calibri"/>
          <w:i/>
          <w:iCs/>
          <w:noProof/>
          <w:sz w:val="20"/>
          <w:szCs w:val="24"/>
        </w:rPr>
        <w:t>Phys. Rev. E</w:t>
      </w:r>
      <w:r w:rsidRPr="00B12458">
        <w:rPr>
          <w:rFonts w:ascii="Calibri" w:hAnsi="Calibri" w:cs="Calibri"/>
          <w:noProof/>
          <w:sz w:val="20"/>
          <w:szCs w:val="24"/>
        </w:rPr>
        <w:t xml:space="preserve"> </w:t>
      </w:r>
      <w:r w:rsidRPr="00B12458">
        <w:rPr>
          <w:rFonts w:ascii="Calibri" w:hAnsi="Calibri" w:cs="Calibri"/>
          <w:b/>
          <w:bCs/>
          <w:noProof/>
          <w:sz w:val="20"/>
          <w:szCs w:val="24"/>
        </w:rPr>
        <w:t>74</w:t>
      </w:r>
      <w:r w:rsidRPr="00B12458">
        <w:rPr>
          <w:rFonts w:ascii="Calibri" w:hAnsi="Calibri" w:cs="Calibri"/>
          <w:noProof/>
          <w:sz w:val="20"/>
          <w:szCs w:val="24"/>
        </w:rPr>
        <w:t>, 035101 (2006).</w:t>
      </w:r>
    </w:p>
    <w:p w14:paraId="72DC665F"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10.</w:t>
      </w:r>
      <w:r w:rsidRPr="00B12458">
        <w:rPr>
          <w:rFonts w:ascii="Calibri" w:hAnsi="Calibri" w:cs="Calibri"/>
          <w:noProof/>
          <w:sz w:val="20"/>
          <w:szCs w:val="24"/>
        </w:rPr>
        <w:tab/>
        <w:t xml:space="preserve">Riahi, K. </w:t>
      </w:r>
      <w:r w:rsidRPr="00B12458">
        <w:rPr>
          <w:rFonts w:ascii="Calibri" w:hAnsi="Calibri" w:cs="Calibri"/>
          <w:i/>
          <w:iCs/>
          <w:noProof/>
          <w:sz w:val="20"/>
          <w:szCs w:val="24"/>
        </w:rPr>
        <w:t>et al.</w:t>
      </w:r>
      <w:r w:rsidRPr="00B12458">
        <w:rPr>
          <w:rFonts w:ascii="Calibri" w:hAnsi="Calibri" w:cs="Calibri"/>
          <w:noProof/>
          <w:sz w:val="20"/>
          <w:szCs w:val="24"/>
        </w:rPr>
        <w:t xml:space="preserve"> The Shared Socioeconomic Pathways and their energy, land use, and greenhouse gas emissions implications: An overview. </w:t>
      </w:r>
      <w:r w:rsidRPr="00B12458">
        <w:rPr>
          <w:rFonts w:ascii="Calibri" w:hAnsi="Calibri" w:cs="Calibri"/>
          <w:i/>
          <w:iCs/>
          <w:noProof/>
          <w:sz w:val="20"/>
          <w:szCs w:val="24"/>
        </w:rPr>
        <w:t>Glob. Environ. Chang.</w:t>
      </w:r>
      <w:r w:rsidRPr="00B12458">
        <w:rPr>
          <w:rFonts w:ascii="Calibri" w:hAnsi="Calibri" w:cs="Calibri"/>
          <w:noProof/>
          <w:sz w:val="20"/>
          <w:szCs w:val="24"/>
        </w:rPr>
        <w:t xml:space="preserve"> </w:t>
      </w:r>
      <w:r w:rsidRPr="00B12458">
        <w:rPr>
          <w:rFonts w:ascii="Calibri" w:hAnsi="Calibri" w:cs="Calibri"/>
          <w:b/>
          <w:bCs/>
          <w:noProof/>
          <w:sz w:val="20"/>
          <w:szCs w:val="24"/>
        </w:rPr>
        <w:t>42</w:t>
      </w:r>
      <w:r w:rsidRPr="00B12458">
        <w:rPr>
          <w:rFonts w:ascii="Calibri" w:hAnsi="Calibri" w:cs="Calibri"/>
          <w:noProof/>
          <w:sz w:val="20"/>
          <w:szCs w:val="24"/>
        </w:rPr>
        <w:t>, 153–168 (2017).</w:t>
      </w:r>
    </w:p>
    <w:p w14:paraId="0C503EBB"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11.</w:t>
      </w:r>
      <w:r w:rsidRPr="00B12458">
        <w:rPr>
          <w:rFonts w:ascii="Calibri" w:hAnsi="Calibri" w:cs="Calibri"/>
          <w:noProof/>
          <w:sz w:val="20"/>
          <w:szCs w:val="24"/>
        </w:rPr>
        <w:tab/>
        <w:t>Pauliuk, S. &amp; Heeren, N. Open Dynamic Material Systems Model. (2018).</w:t>
      </w:r>
    </w:p>
    <w:p w14:paraId="7D8334EA"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12.</w:t>
      </w:r>
      <w:r w:rsidRPr="00B12458">
        <w:rPr>
          <w:rFonts w:ascii="Calibri" w:hAnsi="Calibri" w:cs="Calibri"/>
          <w:noProof/>
          <w:sz w:val="20"/>
          <w:szCs w:val="24"/>
        </w:rPr>
        <w:tab/>
        <w:t xml:space="preserve">Daigo, I., Iwata, K., Oguchi, M. &amp; Goto, Y. Lifetime Distribution of Buildings Decided by Economic Situation at Demolition: D-based Lifetime Distribution. </w:t>
      </w:r>
      <w:r w:rsidRPr="00B12458">
        <w:rPr>
          <w:rFonts w:ascii="Calibri" w:hAnsi="Calibri" w:cs="Calibri"/>
          <w:i/>
          <w:iCs/>
          <w:noProof/>
          <w:sz w:val="20"/>
          <w:szCs w:val="24"/>
        </w:rPr>
        <w:t>Procedia CIRP</w:t>
      </w:r>
      <w:r w:rsidRPr="00B12458">
        <w:rPr>
          <w:rFonts w:ascii="Calibri" w:hAnsi="Calibri" w:cs="Calibri"/>
          <w:noProof/>
          <w:sz w:val="20"/>
          <w:szCs w:val="24"/>
        </w:rPr>
        <w:t xml:space="preserve"> </w:t>
      </w:r>
      <w:r w:rsidRPr="00B12458">
        <w:rPr>
          <w:rFonts w:ascii="Calibri" w:hAnsi="Calibri" w:cs="Calibri"/>
          <w:b/>
          <w:bCs/>
          <w:noProof/>
          <w:sz w:val="20"/>
          <w:szCs w:val="24"/>
        </w:rPr>
        <w:t>61</w:t>
      </w:r>
      <w:r w:rsidRPr="00B12458">
        <w:rPr>
          <w:rFonts w:ascii="Calibri" w:hAnsi="Calibri" w:cs="Calibri"/>
          <w:noProof/>
          <w:sz w:val="20"/>
          <w:szCs w:val="24"/>
        </w:rPr>
        <w:t>, 146–151 (2017).</w:t>
      </w:r>
    </w:p>
    <w:p w14:paraId="2D9202E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13.</w:t>
      </w:r>
      <w:r w:rsidRPr="00B12458">
        <w:rPr>
          <w:rFonts w:ascii="Calibri" w:hAnsi="Calibri" w:cs="Calibri"/>
          <w:noProof/>
          <w:sz w:val="20"/>
          <w:szCs w:val="24"/>
        </w:rPr>
        <w:tab/>
        <w:t xml:space="preserve">Nomura, K. &amp; Suga, Y. </w:t>
      </w:r>
      <w:r w:rsidRPr="00B12458">
        <w:rPr>
          <w:rFonts w:ascii="Calibri" w:hAnsi="Calibri" w:cs="Calibri"/>
          <w:i/>
          <w:iCs/>
          <w:noProof/>
          <w:sz w:val="20"/>
          <w:szCs w:val="24"/>
        </w:rPr>
        <w:t>Asset Service Lives and Depreciation Rates bas ed on Disposal Data in Japan</w:t>
      </w:r>
      <w:r w:rsidRPr="00B12458">
        <w:rPr>
          <w:rFonts w:ascii="Calibri" w:hAnsi="Calibri" w:cs="Calibri"/>
          <w:noProof/>
          <w:sz w:val="20"/>
          <w:szCs w:val="24"/>
        </w:rPr>
        <w:t>. (2013).</w:t>
      </w:r>
    </w:p>
    <w:p w14:paraId="5586F2C5"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14.</w:t>
      </w:r>
      <w:r w:rsidRPr="00B12458">
        <w:rPr>
          <w:rFonts w:ascii="Calibri" w:hAnsi="Calibri" w:cs="Calibri"/>
          <w:noProof/>
          <w:sz w:val="20"/>
          <w:szCs w:val="24"/>
        </w:rPr>
        <w:tab/>
        <w:t xml:space="preserve">Wang, T., Tian, X., Hashimoto, S. &amp; Tanikawa, H. Concrete transformation of buildings in China and implications for the steel cycle. </w:t>
      </w:r>
      <w:r w:rsidRPr="00B12458">
        <w:rPr>
          <w:rFonts w:ascii="Calibri" w:hAnsi="Calibri" w:cs="Calibri"/>
          <w:i/>
          <w:iCs/>
          <w:noProof/>
          <w:sz w:val="20"/>
          <w:szCs w:val="24"/>
        </w:rPr>
        <w:t>Resour. Conserv. Recycl.</w:t>
      </w:r>
      <w:r w:rsidRPr="00B12458">
        <w:rPr>
          <w:rFonts w:ascii="Calibri" w:hAnsi="Calibri" w:cs="Calibri"/>
          <w:noProof/>
          <w:sz w:val="20"/>
          <w:szCs w:val="24"/>
        </w:rPr>
        <w:t xml:space="preserve"> </w:t>
      </w:r>
      <w:r w:rsidRPr="00B12458">
        <w:rPr>
          <w:rFonts w:ascii="Calibri" w:hAnsi="Calibri" w:cs="Calibri"/>
          <w:b/>
          <w:bCs/>
          <w:noProof/>
          <w:sz w:val="20"/>
          <w:szCs w:val="24"/>
        </w:rPr>
        <w:t>103</w:t>
      </w:r>
      <w:r w:rsidRPr="00B12458">
        <w:rPr>
          <w:rFonts w:ascii="Calibri" w:hAnsi="Calibri" w:cs="Calibri"/>
          <w:noProof/>
          <w:sz w:val="20"/>
          <w:szCs w:val="24"/>
        </w:rPr>
        <w:t>, 205–215 (2015).</w:t>
      </w:r>
    </w:p>
    <w:p w14:paraId="351C6402"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15.</w:t>
      </w:r>
      <w:r w:rsidRPr="00B12458">
        <w:rPr>
          <w:rFonts w:ascii="Calibri" w:hAnsi="Calibri" w:cs="Calibri"/>
          <w:noProof/>
          <w:sz w:val="20"/>
          <w:szCs w:val="24"/>
        </w:rPr>
        <w:tab/>
        <w:t xml:space="preserve">Novikova, A., Csoknyai, T. &amp; Szalay, Z. Low carbon scenarios for higher thermal comfort in the residential building sector of South Eastern Europe. </w:t>
      </w:r>
      <w:r w:rsidRPr="00B12458">
        <w:rPr>
          <w:rFonts w:ascii="Calibri" w:hAnsi="Calibri" w:cs="Calibri"/>
          <w:i/>
          <w:iCs/>
          <w:noProof/>
          <w:sz w:val="20"/>
          <w:szCs w:val="24"/>
        </w:rPr>
        <w:t>Energy Effic.</w:t>
      </w:r>
      <w:r w:rsidRPr="00B12458">
        <w:rPr>
          <w:rFonts w:ascii="Calibri" w:hAnsi="Calibri" w:cs="Calibri"/>
          <w:noProof/>
          <w:sz w:val="20"/>
          <w:szCs w:val="24"/>
        </w:rPr>
        <w:t xml:space="preserve"> </w:t>
      </w:r>
      <w:r w:rsidRPr="00B12458">
        <w:rPr>
          <w:rFonts w:ascii="Calibri" w:hAnsi="Calibri" w:cs="Calibri"/>
          <w:b/>
          <w:bCs/>
          <w:noProof/>
          <w:sz w:val="20"/>
          <w:szCs w:val="24"/>
        </w:rPr>
        <w:t>11</w:t>
      </w:r>
      <w:r w:rsidRPr="00B12458">
        <w:rPr>
          <w:rFonts w:ascii="Calibri" w:hAnsi="Calibri" w:cs="Calibri"/>
          <w:noProof/>
          <w:sz w:val="20"/>
          <w:szCs w:val="24"/>
        </w:rPr>
        <w:t>, 845–875 (2018).</w:t>
      </w:r>
    </w:p>
    <w:p w14:paraId="1D355E8B"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16.</w:t>
      </w:r>
      <w:r w:rsidRPr="00B12458">
        <w:rPr>
          <w:rFonts w:ascii="Calibri" w:hAnsi="Calibri" w:cs="Calibri"/>
          <w:noProof/>
          <w:sz w:val="20"/>
          <w:szCs w:val="24"/>
        </w:rPr>
        <w:tab/>
        <w:t xml:space="preserve">Novikova, A. </w:t>
      </w:r>
      <w:r w:rsidRPr="00B12458">
        <w:rPr>
          <w:rFonts w:ascii="Calibri" w:hAnsi="Calibri" w:cs="Calibri"/>
          <w:i/>
          <w:iCs/>
          <w:noProof/>
          <w:sz w:val="20"/>
          <w:szCs w:val="24"/>
        </w:rPr>
        <w:t>et al.</w:t>
      </w:r>
      <w:r w:rsidRPr="00B12458">
        <w:rPr>
          <w:rFonts w:ascii="Calibri" w:hAnsi="Calibri" w:cs="Calibri"/>
          <w:noProof/>
          <w:sz w:val="20"/>
          <w:szCs w:val="24"/>
        </w:rPr>
        <w:t xml:space="preserve"> </w:t>
      </w:r>
      <w:r w:rsidRPr="00B12458">
        <w:rPr>
          <w:rFonts w:ascii="Calibri" w:hAnsi="Calibri" w:cs="Calibri"/>
          <w:i/>
          <w:iCs/>
          <w:noProof/>
          <w:sz w:val="20"/>
          <w:szCs w:val="24"/>
        </w:rPr>
        <w:t>The typology of the residential building stock in Albania and the modelling of its low-carbon transformation</w:t>
      </w:r>
      <w:r w:rsidRPr="00B12458">
        <w:rPr>
          <w:rFonts w:ascii="Calibri" w:hAnsi="Calibri" w:cs="Calibri"/>
          <w:noProof/>
          <w:sz w:val="20"/>
          <w:szCs w:val="24"/>
        </w:rPr>
        <w:t>. (2015).</w:t>
      </w:r>
    </w:p>
    <w:p w14:paraId="2378CEB8"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17.</w:t>
      </w:r>
      <w:r w:rsidRPr="00B12458">
        <w:rPr>
          <w:rFonts w:ascii="Calibri" w:hAnsi="Calibri" w:cs="Calibri"/>
          <w:noProof/>
          <w:sz w:val="20"/>
          <w:szCs w:val="24"/>
        </w:rPr>
        <w:tab/>
        <w:t xml:space="preserve">Olson, B. D. </w:t>
      </w:r>
      <w:r w:rsidRPr="00B12458">
        <w:rPr>
          <w:rFonts w:ascii="Calibri" w:hAnsi="Calibri" w:cs="Calibri"/>
          <w:i/>
          <w:iCs/>
          <w:noProof/>
          <w:sz w:val="20"/>
          <w:szCs w:val="24"/>
        </w:rPr>
        <w:t>Residential Building Material Reuse in Sustainable Construction</w:t>
      </w:r>
      <w:r w:rsidRPr="00B12458">
        <w:rPr>
          <w:rFonts w:ascii="Calibri" w:hAnsi="Calibri" w:cs="Calibri"/>
          <w:noProof/>
          <w:sz w:val="20"/>
          <w:szCs w:val="24"/>
        </w:rPr>
        <w:t>. (Washington State University, 2011).</w:t>
      </w:r>
    </w:p>
    <w:p w14:paraId="6C9F229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18.</w:t>
      </w:r>
      <w:r w:rsidRPr="00B12458">
        <w:rPr>
          <w:rFonts w:ascii="Calibri" w:hAnsi="Calibri" w:cs="Calibri"/>
          <w:noProof/>
          <w:sz w:val="20"/>
          <w:szCs w:val="24"/>
        </w:rPr>
        <w:tab/>
        <w:t xml:space="preserve">Kapur, A., Keoleian, G., Kendall, A. &amp; Kesler, S. E. Dynamic Modeling of In-Use Cement Stocks in the United States. </w:t>
      </w:r>
      <w:r w:rsidRPr="00B12458">
        <w:rPr>
          <w:rFonts w:ascii="Calibri" w:hAnsi="Calibri" w:cs="Calibri"/>
          <w:i/>
          <w:iCs/>
          <w:noProof/>
          <w:sz w:val="20"/>
          <w:szCs w:val="24"/>
        </w:rPr>
        <w:t>J. Ind. Ecol.</w:t>
      </w:r>
      <w:r w:rsidRPr="00B12458">
        <w:rPr>
          <w:rFonts w:ascii="Calibri" w:hAnsi="Calibri" w:cs="Calibri"/>
          <w:noProof/>
          <w:sz w:val="20"/>
          <w:szCs w:val="24"/>
        </w:rPr>
        <w:t xml:space="preserve"> </w:t>
      </w:r>
      <w:r w:rsidRPr="00B12458">
        <w:rPr>
          <w:rFonts w:ascii="Calibri" w:hAnsi="Calibri" w:cs="Calibri"/>
          <w:b/>
          <w:bCs/>
          <w:noProof/>
          <w:sz w:val="20"/>
          <w:szCs w:val="24"/>
        </w:rPr>
        <w:t>12</w:t>
      </w:r>
      <w:r w:rsidRPr="00B12458">
        <w:rPr>
          <w:rFonts w:ascii="Calibri" w:hAnsi="Calibri" w:cs="Calibri"/>
          <w:noProof/>
          <w:sz w:val="20"/>
          <w:szCs w:val="24"/>
        </w:rPr>
        <w:t>, 539–556 (2008).</w:t>
      </w:r>
    </w:p>
    <w:p w14:paraId="2FFFBC99"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19.</w:t>
      </w:r>
      <w:r w:rsidRPr="00B12458">
        <w:rPr>
          <w:rFonts w:ascii="Calibri" w:hAnsi="Calibri" w:cs="Calibri"/>
          <w:noProof/>
          <w:sz w:val="20"/>
          <w:szCs w:val="24"/>
        </w:rPr>
        <w:tab/>
        <w:t xml:space="preserve">Hatayama, H., Daigo, I., Matsuno, Y. &amp; Adachi, Y. Assessment of the Recycling Potential of Aluminum in Japan, the United States, Europe and China. </w:t>
      </w:r>
      <w:r w:rsidRPr="00B12458">
        <w:rPr>
          <w:rFonts w:ascii="Calibri" w:hAnsi="Calibri" w:cs="Calibri"/>
          <w:i/>
          <w:iCs/>
          <w:noProof/>
          <w:sz w:val="20"/>
          <w:szCs w:val="24"/>
        </w:rPr>
        <w:t>Mater. Trans.</w:t>
      </w:r>
      <w:r w:rsidRPr="00B12458">
        <w:rPr>
          <w:rFonts w:ascii="Calibri" w:hAnsi="Calibri" w:cs="Calibri"/>
          <w:noProof/>
          <w:sz w:val="20"/>
          <w:szCs w:val="24"/>
        </w:rPr>
        <w:t xml:space="preserve"> </w:t>
      </w:r>
      <w:r w:rsidRPr="00B12458">
        <w:rPr>
          <w:rFonts w:ascii="Calibri" w:hAnsi="Calibri" w:cs="Calibri"/>
          <w:b/>
          <w:bCs/>
          <w:noProof/>
          <w:sz w:val="20"/>
          <w:szCs w:val="24"/>
        </w:rPr>
        <w:t>50</w:t>
      </w:r>
      <w:r w:rsidRPr="00B12458">
        <w:rPr>
          <w:rFonts w:ascii="Calibri" w:hAnsi="Calibri" w:cs="Calibri"/>
          <w:noProof/>
          <w:sz w:val="20"/>
          <w:szCs w:val="24"/>
        </w:rPr>
        <w:t>, 650–656 (2009).</w:t>
      </w:r>
    </w:p>
    <w:p w14:paraId="00F3123A"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lastRenderedPageBreak/>
        <w:t>20.</w:t>
      </w:r>
      <w:r w:rsidRPr="00B12458">
        <w:rPr>
          <w:rFonts w:ascii="Calibri" w:hAnsi="Calibri" w:cs="Calibri"/>
          <w:noProof/>
          <w:sz w:val="20"/>
          <w:szCs w:val="24"/>
        </w:rPr>
        <w:tab/>
        <w:t xml:space="preserve">Heeren, N. </w:t>
      </w:r>
      <w:r w:rsidRPr="00B12458">
        <w:rPr>
          <w:rFonts w:ascii="Calibri" w:hAnsi="Calibri" w:cs="Calibri"/>
          <w:i/>
          <w:iCs/>
          <w:noProof/>
          <w:sz w:val="20"/>
          <w:szCs w:val="24"/>
        </w:rPr>
        <w:t>et al.</w:t>
      </w:r>
      <w:r w:rsidRPr="00B12458">
        <w:rPr>
          <w:rFonts w:ascii="Calibri" w:hAnsi="Calibri" w:cs="Calibri"/>
          <w:noProof/>
          <w:sz w:val="20"/>
          <w:szCs w:val="24"/>
        </w:rPr>
        <w:t xml:space="preserve"> Environmental Impact of Buildings—What Matters? </w:t>
      </w:r>
      <w:r w:rsidRPr="00B12458">
        <w:rPr>
          <w:rFonts w:ascii="Calibri" w:hAnsi="Calibri" w:cs="Calibri"/>
          <w:i/>
          <w:iCs/>
          <w:noProof/>
          <w:sz w:val="20"/>
          <w:szCs w:val="24"/>
        </w:rPr>
        <w:t>Environ. Sci. Technol.</w:t>
      </w:r>
      <w:r w:rsidRPr="00B12458">
        <w:rPr>
          <w:rFonts w:ascii="Calibri" w:hAnsi="Calibri" w:cs="Calibri"/>
          <w:noProof/>
          <w:sz w:val="20"/>
          <w:szCs w:val="24"/>
        </w:rPr>
        <w:t xml:space="preserve"> </w:t>
      </w:r>
      <w:r w:rsidRPr="00B12458">
        <w:rPr>
          <w:rFonts w:ascii="Calibri" w:hAnsi="Calibri" w:cs="Calibri"/>
          <w:b/>
          <w:bCs/>
          <w:noProof/>
          <w:sz w:val="20"/>
          <w:szCs w:val="24"/>
        </w:rPr>
        <w:t>49</w:t>
      </w:r>
      <w:r w:rsidRPr="00B12458">
        <w:rPr>
          <w:rFonts w:ascii="Calibri" w:hAnsi="Calibri" w:cs="Calibri"/>
          <w:noProof/>
          <w:sz w:val="20"/>
          <w:szCs w:val="24"/>
        </w:rPr>
        <w:t>, 9832–9841 (2015).</w:t>
      </w:r>
    </w:p>
    <w:p w14:paraId="080EE9FB"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21.</w:t>
      </w:r>
      <w:r w:rsidRPr="00B12458">
        <w:rPr>
          <w:rFonts w:ascii="Calibri" w:hAnsi="Calibri" w:cs="Calibri"/>
          <w:noProof/>
          <w:sz w:val="20"/>
          <w:szCs w:val="24"/>
        </w:rPr>
        <w:tab/>
        <w:t xml:space="preserve">Davis, J. </w:t>
      </w:r>
      <w:r w:rsidRPr="00B12458">
        <w:rPr>
          <w:rFonts w:ascii="Calibri" w:hAnsi="Calibri" w:cs="Calibri"/>
          <w:i/>
          <w:iCs/>
          <w:noProof/>
          <w:sz w:val="20"/>
          <w:szCs w:val="24"/>
        </w:rPr>
        <w:t>et al.</w:t>
      </w:r>
      <w:r w:rsidRPr="00B12458">
        <w:rPr>
          <w:rFonts w:ascii="Calibri" w:hAnsi="Calibri" w:cs="Calibri"/>
          <w:noProof/>
          <w:sz w:val="20"/>
          <w:szCs w:val="24"/>
        </w:rPr>
        <w:t xml:space="preserve"> Time-dependent material flow analysis of iron and steel in the UK: Part 2. Scrap generation and recycling. </w:t>
      </w:r>
      <w:r w:rsidRPr="00B12458">
        <w:rPr>
          <w:rFonts w:ascii="Calibri" w:hAnsi="Calibri" w:cs="Calibri"/>
          <w:i/>
          <w:iCs/>
          <w:noProof/>
          <w:sz w:val="20"/>
          <w:szCs w:val="24"/>
        </w:rPr>
        <w:t>Resour. Conserv. Recycl.</w:t>
      </w:r>
      <w:r w:rsidRPr="00B12458">
        <w:rPr>
          <w:rFonts w:ascii="Calibri" w:hAnsi="Calibri" w:cs="Calibri"/>
          <w:noProof/>
          <w:sz w:val="20"/>
          <w:szCs w:val="24"/>
        </w:rPr>
        <w:t xml:space="preserve"> </w:t>
      </w:r>
      <w:r w:rsidRPr="00B12458">
        <w:rPr>
          <w:rFonts w:ascii="Calibri" w:hAnsi="Calibri" w:cs="Calibri"/>
          <w:b/>
          <w:bCs/>
          <w:noProof/>
          <w:sz w:val="20"/>
          <w:szCs w:val="24"/>
        </w:rPr>
        <w:t>51</w:t>
      </w:r>
      <w:r w:rsidRPr="00B12458">
        <w:rPr>
          <w:rFonts w:ascii="Calibri" w:hAnsi="Calibri" w:cs="Calibri"/>
          <w:noProof/>
          <w:sz w:val="20"/>
          <w:szCs w:val="24"/>
        </w:rPr>
        <w:t>, 118–140 (2007).</w:t>
      </w:r>
    </w:p>
    <w:p w14:paraId="3F32EA6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22.</w:t>
      </w:r>
      <w:r w:rsidRPr="00B12458">
        <w:rPr>
          <w:rFonts w:ascii="Calibri" w:hAnsi="Calibri" w:cs="Calibri"/>
          <w:noProof/>
          <w:sz w:val="20"/>
          <w:szCs w:val="24"/>
        </w:rPr>
        <w:tab/>
        <w:t xml:space="preserve">Buyle, M., Braet, J. &amp; Audenaert, A. Life cycle assessment in the construction sector: A review. </w:t>
      </w:r>
      <w:r w:rsidRPr="00B12458">
        <w:rPr>
          <w:rFonts w:ascii="Calibri" w:hAnsi="Calibri" w:cs="Calibri"/>
          <w:i/>
          <w:iCs/>
          <w:noProof/>
          <w:sz w:val="20"/>
          <w:szCs w:val="24"/>
        </w:rPr>
        <w:t>Renew. Sustain. Energy Rev.</w:t>
      </w:r>
      <w:r w:rsidRPr="00B12458">
        <w:rPr>
          <w:rFonts w:ascii="Calibri" w:hAnsi="Calibri" w:cs="Calibri"/>
          <w:noProof/>
          <w:sz w:val="20"/>
          <w:szCs w:val="24"/>
        </w:rPr>
        <w:t xml:space="preserve"> </w:t>
      </w:r>
      <w:r w:rsidRPr="00B12458">
        <w:rPr>
          <w:rFonts w:ascii="Calibri" w:hAnsi="Calibri" w:cs="Calibri"/>
          <w:b/>
          <w:bCs/>
          <w:noProof/>
          <w:sz w:val="20"/>
          <w:szCs w:val="24"/>
        </w:rPr>
        <w:t>26</w:t>
      </w:r>
      <w:r w:rsidRPr="00B12458">
        <w:rPr>
          <w:rFonts w:ascii="Calibri" w:hAnsi="Calibri" w:cs="Calibri"/>
          <w:noProof/>
          <w:sz w:val="20"/>
          <w:szCs w:val="24"/>
        </w:rPr>
        <w:t>, 379–388 (2013).</w:t>
      </w:r>
    </w:p>
    <w:p w14:paraId="1F5804F8"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23.</w:t>
      </w:r>
      <w:r w:rsidRPr="00B12458">
        <w:rPr>
          <w:rFonts w:ascii="Calibri" w:hAnsi="Calibri" w:cs="Calibri"/>
          <w:noProof/>
          <w:sz w:val="20"/>
          <w:szCs w:val="24"/>
        </w:rPr>
        <w:tab/>
        <w:t xml:space="preserve">Murakami, S., Oguchi, M., Tasaki, T., Daigo, I. &amp; Hashimoto, S. Lifespan of Commodities, Part I. </w:t>
      </w:r>
      <w:r w:rsidRPr="00B12458">
        <w:rPr>
          <w:rFonts w:ascii="Calibri" w:hAnsi="Calibri" w:cs="Calibri"/>
          <w:i/>
          <w:iCs/>
          <w:noProof/>
          <w:sz w:val="20"/>
          <w:szCs w:val="24"/>
        </w:rPr>
        <w:t>J. Ind. Ecol.</w:t>
      </w:r>
      <w:r w:rsidRPr="00B12458">
        <w:rPr>
          <w:rFonts w:ascii="Calibri" w:hAnsi="Calibri" w:cs="Calibri"/>
          <w:noProof/>
          <w:sz w:val="20"/>
          <w:szCs w:val="24"/>
        </w:rPr>
        <w:t xml:space="preserve"> </w:t>
      </w:r>
      <w:r w:rsidRPr="00B12458">
        <w:rPr>
          <w:rFonts w:ascii="Calibri" w:hAnsi="Calibri" w:cs="Calibri"/>
          <w:b/>
          <w:bCs/>
          <w:noProof/>
          <w:sz w:val="20"/>
          <w:szCs w:val="24"/>
        </w:rPr>
        <w:t>14</w:t>
      </w:r>
      <w:r w:rsidRPr="00B12458">
        <w:rPr>
          <w:rFonts w:ascii="Calibri" w:hAnsi="Calibri" w:cs="Calibri"/>
          <w:noProof/>
          <w:sz w:val="20"/>
          <w:szCs w:val="24"/>
        </w:rPr>
        <w:t>, 598–612 (2010).</w:t>
      </w:r>
    </w:p>
    <w:p w14:paraId="0EC36415"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24.</w:t>
      </w:r>
      <w:r w:rsidRPr="00B12458">
        <w:rPr>
          <w:rFonts w:ascii="Calibri" w:hAnsi="Calibri" w:cs="Calibri"/>
          <w:noProof/>
          <w:sz w:val="20"/>
          <w:szCs w:val="24"/>
        </w:rPr>
        <w:tab/>
        <w:t xml:space="preserve">OECD &amp; Eurostat. </w:t>
      </w:r>
      <w:r w:rsidRPr="00B12458">
        <w:rPr>
          <w:rFonts w:ascii="Calibri" w:hAnsi="Calibri" w:cs="Calibri"/>
          <w:i/>
          <w:iCs/>
          <w:noProof/>
          <w:sz w:val="20"/>
          <w:szCs w:val="24"/>
        </w:rPr>
        <w:t>Eurostat-OECD Survey of National Practices in Estimating Net Stocks of Structures</w:t>
      </w:r>
      <w:r w:rsidRPr="00B12458">
        <w:rPr>
          <w:rFonts w:ascii="Calibri" w:hAnsi="Calibri" w:cs="Calibri"/>
          <w:noProof/>
          <w:sz w:val="20"/>
          <w:szCs w:val="24"/>
        </w:rPr>
        <w:t xml:space="preserve">. </w:t>
      </w:r>
      <w:r w:rsidRPr="00B12458">
        <w:rPr>
          <w:rFonts w:ascii="Calibri" w:hAnsi="Calibri" w:cs="Calibri"/>
          <w:i/>
          <w:iCs/>
          <w:noProof/>
          <w:sz w:val="20"/>
          <w:szCs w:val="24"/>
        </w:rPr>
        <w:t>OECD</w:t>
      </w:r>
      <w:r w:rsidRPr="00B12458">
        <w:rPr>
          <w:rFonts w:ascii="Calibri" w:hAnsi="Calibri" w:cs="Calibri"/>
          <w:noProof/>
          <w:sz w:val="20"/>
          <w:szCs w:val="24"/>
        </w:rPr>
        <w:t xml:space="preserve"> (2015).</w:t>
      </w:r>
    </w:p>
    <w:p w14:paraId="78E31FC4"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25.</w:t>
      </w:r>
      <w:r w:rsidRPr="00B12458">
        <w:rPr>
          <w:rFonts w:ascii="Calibri" w:hAnsi="Calibri" w:cs="Calibri"/>
          <w:noProof/>
          <w:sz w:val="20"/>
          <w:szCs w:val="24"/>
        </w:rPr>
        <w:tab/>
        <w:t xml:space="preserve">Condeixa, K., Haddad, A. &amp; Boer, D. Material flow analysis of the residential building stock at the city of Rio de Janeiro. </w:t>
      </w:r>
      <w:r w:rsidRPr="00B12458">
        <w:rPr>
          <w:rFonts w:ascii="Calibri" w:hAnsi="Calibri" w:cs="Calibri"/>
          <w:i/>
          <w:iCs/>
          <w:noProof/>
          <w:sz w:val="20"/>
          <w:szCs w:val="24"/>
        </w:rPr>
        <w:t>J. Clean. Prod.</w:t>
      </w:r>
      <w:r w:rsidRPr="00B12458">
        <w:rPr>
          <w:rFonts w:ascii="Calibri" w:hAnsi="Calibri" w:cs="Calibri"/>
          <w:noProof/>
          <w:sz w:val="20"/>
          <w:szCs w:val="24"/>
        </w:rPr>
        <w:t xml:space="preserve"> </w:t>
      </w:r>
      <w:r w:rsidRPr="00B12458">
        <w:rPr>
          <w:rFonts w:ascii="Calibri" w:hAnsi="Calibri" w:cs="Calibri"/>
          <w:b/>
          <w:bCs/>
          <w:noProof/>
          <w:sz w:val="20"/>
          <w:szCs w:val="24"/>
        </w:rPr>
        <w:t>149</w:t>
      </w:r>
      <w:r w:rsidRPr="00B12458">
        <w:rPr>
          <w:rFonts w:ascii="Calibri" w:hAnsi="Calibri" w:cs="Calibri"/>
          <w:noProof/>
          <w:sz w:val="20"/>
          <w:szCs w:val="24"/>
        </w:rPr>
        <w:t>, 1249–1267 (2017).</w:t>
      </w:r>
    </w:p>
    <w:p w14:paraId="3C468D80"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26.</w:t>
      </w:r>
      <w:r w:rsidRPr="00B12458">
        <w:rPr>
          <w:rFonts w:ascii="Calibri" w:hAnsi="Calibri" w:cs="Calibri"/>
          <w:noProof/>
          <w:sz w:val="20"/>
          <w:szCs w:val="24"/>
        </w:rPr>
        <w:tab/>
        <w:t xml:space="preserve">Olaya, Y., Vásquez, F. &amp; Müller, D. B. Dwelling stock dynamics for addressing housing deficit. </w:t>
      </w:r>
      <w:r w:rsidRPr="00B12458">
        <w:rPr>
          <w:rFonts w:ascii="Calibri" w:hAnsi="Calibri" w:cs="Calibri"/>
          <w:i/>
          <w:iCs/>
          <w:noProof/>
          <w:sz w:val="20"/>
          <w:szCs w:val="24"/>
        </w:rPr>
        <w:t>Resour. Conserv. Recycl.</w:t>
      </w:r>
      <w:r w:rsidRPr="00B12458">
        <w:rPr>
          <w:rFonts w:ascii="Calibri" w:hAnsi="Calibri" w:cs="Calibri"/>
          <w:noProof/>
          <w:sz w:val="20"/>
          <w:szCs w:val="24"/>
        </w:rPr>
        <w:t xml:space="preserve"> </w:t>
      </w:r>
      <w:r w:rsidRPr="00B12458">
        <w:rPr>
          <w:rFonts w:ascii="Calibri" w:hAnsi="Calibri" w:cs="Calibri"/>
          <w:b/>
          <w:bCs/>
          <w:noProof/>
          <w:sz w:val="20"/>
          <w:szCs w:val="24"/>
        </w:rPr>
        <w:t>123</w:t>
      </w:r>
      <w:r w:rsidRPr="00B12458">
        <w:rPr>
          <w:rFonts w:ascii="Calibri" w:hAnsi="Calibri" w:cs="Calibri"/>
          <w:noProof/>
          <w:sz w:val="20"/>
          <w:szCs w:val="24"/>
        </w:rPr>
        <w:t>, 187–199 (2017).</w:t>
      </w:r>
    </w:p>
    <w:p w14:paraId="79AF4588" w14:textId="77777777" w:rsidR="00B12458" w:rsidRPr="00CF4DAF" w:rsidRDefault="00B12458" w:rsidP="00B12458">
      <w:pPr>
        <w:widowControl w:val="0"/>
        <w:autoSpaceDE w:val="0"/>
        <w:autoSpaceDN w:val="0"/>
        <w:adjustRightInd w:val="0"/>
        <w:spacing w:line="240" w:lineRule="auto"/>
        <w:ind w:left="640" w:hanging="640"/>
        <w:rPr>
          <w:rFonts w:ascii="Calibri" w:hAnsi="Calibri" w:cs="Calibri"/>
          <w:noProof/>
          <w:sz w:val="20"/>
          <w:szCs w:val="24"/>
          <w:lang w:val="nl-NL"/>
        </w:rPr>
      </w:pPr>
      <w:r w:rsidRPr="00B12458">
        <w:rPr>
          <w:rFonts w:ascii="Calibri" w:hAnsi="Calibri" w:cs="Calibri"/>
          <w:noProof/>
          <w:sz w:val="20"/>
          <w:szCs w:val="24"/>
        </w:rPr>
        <w:t>27.</w:t>
      </w:r>
      <w:r w:rsidRPr="00B12458">
        <w:rPr>
          <w:rFonts w:ascii="Calibri" w:hAnsi="Calibri" w:cs="Calibri"/>
          <w:noProof/>
          <w:sz w:val="20"/>
          <w:szCs w:val="24"/>
        </w:rPr>
        <w:tab/>
        <w:t xml:space="preserve">Stephan, A. &amp; Athanassiadis, A. Quantifying and mapping embodied environmental requirements of urban building stocks. </w:t>
      </w:r>
      <w:r w:rsidRPr="00CF4DAF">
        <w:rPr>
          <w:rFonts w:ascii="Calibri" w:hAnsi="Calibri" w:cs="Calibri"/>
          <w:i/>
          <w:iCs/>
          <w:noProof/>
          <w:sz w:val="20"/>
          <w:szCs w:val="24"/>
          <w:lang w:val="nl-NL"/>
        </w:rPr>
        <w:t>Build. Environ.</w:t>
      </w:r>
      <w:r w:rsidRPr="00CF4DAF">
        <w:rPr>
          <w:rFonts w:ascii="Calibri" w:hAnsi="Calibri" w:cs="Calibri"/>
          <w:noProof/>
          <w:sz w:val="20"/>
          <w:szCs w:val="24"/>
          <w:lang w:val="nl-NL"/>
        </w:rPr>
        <w:t xml:space="preserve"> </w:t>
      </w:r>
      <w:r w:rsidRPr="00CF4DAF">
        <w:rPr>
          <w:rFonts w:ascii="Calibri" w:hAnsi="Calibri" w:cs="Calibri"/>
          <w:b/>
          <w:bCs/>
          <w:noProof/>
          <w:sz w:val="20"/>
          <w:szCs w:val="24"/>
          <w:lang w:val="nl-NL"/>
        </w:rPr>
        <w:t>114</w:t>
      </w:r>
      <w:r w:rsidRPr="00CF4DAF">
        <w:rPr>
          <w:rFonts w:ascii="Calibri" w:hAnsi="Calibri" w:cs="Calibri"/>
          <w:noProof/>
          <w:sz w:val="20"/>
          <w:szCs w:val="24"/>
          <w:lang w:val="nl-NL"/>
        </w:rPr>
        <w:t>, 187–202 (2017).</w:t>
      </w:r>
    </w:p>
    <w:p w14:paraId="540B7109"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CF4DAF">
        <w:rPr>
          <w:rFonts w:ascii="Calibri" w:hAnsi="Calibri" w:cs="Calibri"/>
          <w:noProof/>
          <w:sz w:val="20"/>
          <w:szCs w:val="24"/>
          <w:lang w:val="nl-NL"/>
        </w:rPr>
        <w:t>28.</w:t>
      </w:r>
      <w:r w:rsidRPr="00CF4DAF">
        <w:rPr>
          <w:rFonts w:ascii="Calibri" w:hAnsi="Calibri" w:cs="Calibri"/>
          <w:noProof/>
          <w:sz w:val="20"/>
          <w:szCs w:val="24"/>
          <w:lang w:val="nl-NL"/>
        </w:rPr>
        <w:tab/>
        <w:t xml:space="preserve">Bolt, J., Inklaar, R., Jong, H. de &amp; van Zanden, J. L. Maddison Project Database, version 2018. </w:t>
      </w:r>
      <w:r w:rsidRPr="00B12458">
        <w:rPr>
          <w:rFonts w:ascii="Calibri" w:hAnsi="Calibri" w:cs="Calibri"/>
          <w:noProof/>
          <w:sz w:val="20"/>
          <w:szCs w:val="24"/>
        </w:rPr>
        <w:t>(2018). Available at: www.ggdc.net/maddison. (Accessed: 26th November 2018)</w:t>
      </w:r>
    </w:p>
    <w:p w14:paraId="55FC3F35"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29.</w:t>
      </w:r>
      <w:r w:rsidRPr="00B12458">
        <w:rPr>
          <w:rFonts w:ascii="Calibri" w:hAnsi="Calibri" w:cs="Calibri"/>
          <w:noProof/>
          <w:sz w:val="20"/>
          <w:szCs w:val="24"/>
        </w:rPr>
        <w:tab/>
        <w:t>Kadaster. Basisadministratie Adressen en Gebouwen. (2018). Available at: https://zakelijk.kadaster.nl/basisregistratie-adressen-en-gebouwen. (Accessed: 23rd January 2019)</w:t>
      </w:r>
    </w:p>
    <w:p w14:paraId="4911C565"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30.</w:t>
      </w:r>
      <w:r w:rsidRPr="00B12458">
        <w:rPr>
          <w:rFonts w:ascii="Calibri" w:hAnsi="Calibri" w:cs="Calibri"/>
          <w:noProof/>
          <w:sz w:val="20"/>
          <w:szCs w:val="24"/>
        </w:rPr>
        <w:tab/>
        <w:t xml:space="preserve">Dol, K. &amp; Haffner, M. </w:t>
      </w:r>
      <w:r w:rsidRPr="00B12458">
        <w:rPr>
          <w:rFonts w:ascii="Calibri" w:hAnsi="Calibri" w:cs="Calibri"/>
          <w:i/>
          <w:iCs/>
          <w:noProof/>
          <w:sz w:val="20"/>
          <w:szCs w:val="24"/>
        </w:rPr>
        <w:t>Housing Statistics in the European Union 2010</w:t>
      </w:r>
      <w:r w:rsidRPr="00B12458">
        <w:rPr>
          <w:rFonts w:ascii="Calibri" w:hAnsi="Calibri" w:cs="Calibri"/>
          <w:noProof/>
          <w:sz w:val="20"/>
          <w:szCs w:val="24"/>
        </w:rPr>
        <w:t xml:space="preserve">. </w:t>
      </w:r>
      <w:r w:rsidRPr="00B12458">
        <w:rPr>
          <w:rFonts w:ascii="Calibri" w:hAnsi="Calibri" w:cs="Calibri"/>
          <w:i/>
          <w:iCs/>
          <w:noProof/>
          <w:sz w:val="20"/>
          <w:szCs w:val="24"/>
        </w:rPr>
        <w:t>Delft University of Technology</w:t>
      </w:r>
      <w:r w:rsidRPr="00B12458">
        <w:rPr>
          <w:rFonts w:ascii="Calibri" w:hAnsi="Calibri" w:cs="Calibri"/>
          <w:noProof/>
          <w:sz w:val="20"/>
          <w:szCs w:val="24"/>
        </w:rPr>
        <w:t xml:space="preserve"> (2010). doi:10.1002/hep.21180</w:t>
      </w:r>
    </w:p>
    <w:p w14:paraId="49CE982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31.</w:t>
      </w:r>
      <w:r w:rsidRPr="00B12458">
        <w:rPr>
          <w:rFonts w:ascii="Calibri" w:hAnsi="Calibri" w:cs="Calibri"/>
          <w:noProof/>
          <w:sz w:val="20"/>
          <w:szCs w:val="24"/>
        </w:rPr>
        <w:tab/>
        <w:t xml:space="preserve">Sandberg, N. H., Sartori, I. &amp; Brattebø, H. Sensitivity analysis in long-term dynamic building stock modeling—Exploring the importance of uncertainty of input parameters in Norwegian segmented dwelling stock model. </w:t>
      </w:r>
      <w:r w:rsidRPr="00B12458">
        <w:rPr>
          <w:rFonts w:ascii="Calibri" w:hAnsi="Calibri" w:cs="Calibri"/>
          <w:i/>
          <w:iCs/>
          <w:noProof/>
          <w:sz w:val="20"/>
          <w:szCs w:val="24"/>
        </w:rPr>
        <w:t>Energy Build.</w:t>
      </w:r>
      <w:r w:rsidRPr="00B12458">
        <w:rPr>
          <w:rFonts w:ascii="Calibri" w:hAnsi="Calibri" w:cs="Calibri"/>
          <w:noProof/>
          <w:sz w:val="20"/>
          <w:szCs w:val="24"/>
        </w:rPr>
        <w:t xml:space="preserve"> </w:t>
      </w:r>
      <w:r w:rsidRPr="00B12458">
        <w:rPr>
          <w:rFonts w:ascii="Calibri" w:hAnsi="Calibri" w:cs="Calibri"/>
          <w:b/>
          <w:bCs/>
          <w:noProof/>
          <w:sz w:val="20"/>
          <w:szCs w:val="24"/>
        </w:rPr>
        <w:t>85</w:t>
      </w:r>
      <w:r w:rsidRPr="00B12458">
        <w:rPr>
          <w:rFonts w:ascii="Calibri" w:hAnsi="Calibri" w:cs="Calibri"/>
          <w:noProof/>
          <w:sz w:val="20"/>
          <w:szCs w:val="24"/>
        </w:rPr>
        <w:t>, 136–144 (2014).</w:t>
      </w:r>
    </w:p>
    <w:p w14:paraId="15B099B7"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32.</w:t>
      </w:r>
      <w:r w:rsidRPr="00B12458">
        <w:rPr>
          <w:rFonts w:ascii="Calibri" w:hAnsi="Calibri" w:cs="Calibri"/>
          <w:noProof/>
          <w:sz w:val="20"/>
          <w:szCs w:val="24"/>
        </w:rPr>
        <w:tab/>
        <w:t xml:space="preserve">Lodi, C., Magli, S., Contini, F. M., Muscio, A. &amp; Tartarini, P. Improvement of thermal comfort and energy efficiency in historical and monumental buildings by means of localized heating based on non-invasive electric radiant panels. </w:t>
      </w:r>
      <w:r w:rsidRPr="00B12458">
        <w:rPr>
          <w:rFonts w:ascii="Calibri" w:hAnsi="Calibri" w:cs="Calibri"/>
          <w:i/>
          <w:iCs/>
          <w:noProof/>
          <w:sz w:val="20"/>
          <w:szCs w:val="24"/>
        </w:rPr>
        <w:t>Appl. Therm. Eng.</w:t>
      </w:r>
      <w:r w:rsidRPr="00B12458">
        <w:rPr>
          <w:rFonts w:ascii="Calibri" w:hAnsi="Calibri" w:cs="Calibri"/>
          <w:noProof/>
          <w:sz w:val="20"/>
          <w:szCs w:val="24"/>
        </w:rPr>
        <w:t xml:space="preserve"> </w:t>
      </w:r>
      <w:r w:rsidRPr="00B12458">
        <w:rPr>
          <w:rFonts w:ascii="Calibri" w:hAnsi="Calibri" w:cs="Calibri"/>
          <w:b/>
          <w:bCs/>
          <w:noProof/>
          <w:sz w:val="20"/>
          <w:szCs w:val="24"/>
        </w:rPr>
        <w:t>126</w:t>
      </w:r>
      <w:r w:rsidRPr="00B12458">
        <w:rPr>
          <w:rFonts w:ascii="Calibri" w:hAnsi="Calibri" w:cs="Calibri"/>
          <w:noProof/>
          <w:sz w:val="20"/>
          <w:szCs w:val="24"/>
        </w:rPr>
        <w:t>, 276–289 (2017).</w:t>
      </w:r>
    </w:p>
    <w:p w14:paraId="3305D121"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33.</w:t>
      </w:r>
      <w:r w:rsidRPr="00B12458">
        <w:rPr>
          <w:rFonts w:ascii="Calibri" w:hAnsi="Calibri" w:cs="Calibri"/>
          <w:noProof/>
          <w:sz w:val="20"/>
          <w:szCs w:val="24"/>
        </w:rPr>
        <w:tab/>
        <w:t xml:space="preserve">Marinova, S., Deetman, S. &amp; Van der Voet, E. Construction materials database and stock analysis of the global residential built environment: 1970-2050. </w:t>
      </w:r>
      <w:r w:rsidRPr="00B12458">
        <w:rPr>
          <w:rFonts w:ascii="Calibri" w:hAnsi="Calibri" w:cs="Calibri"/>
          <w:i/>
          <w:iCs/>
          <w:noProof/>
          <w:sz w:val="20"/>
          <w:szCs w:val="24"/>
        </w:rPr>
        <w:t>J. Clean. Prod.</w:t>
      </w:r>
      <w:r w:rsidRPr="00B12458">
        <w:rPr>
          <w:rFonts w:ascii="Calibri" w:hAnsi="Calibri" w:cs="Calibri"/>
          <w:noProof/>
          <w:sz w:val="20"/>
          <w:szCs w:val="24"/>
        </w:rPr>
        <w:t xml:space="preserve"> </w:t>
      </w:r>
      <w:r w:rsidRPr="00B12458">
        <w:rPr>
          <w:rFonts w:ascii="Calibri" w:hAnsi="Calibri" w:cs="Calibri"/>
          <w:b/>
          <w:bCs/>
          <w:noProof/>
          <w:sz w:val="20"/>
          <w:szCs w:val="24"/>
        </w:rPr>
        <w:t>in review</w:t>
      </w:r>
      <w:r w:rsidRPr="00B12458">
        <w:rPr>
          <w:rFonts w:ascii="Calibri" w:hAnsi="Calibri" w:cs="Calibri"/>
          <w:noProof/>
          <w:sz w:val="20"/>
          <w:szCs w:val="24"/>
        </w:rPr>
        <w:t>, (2019).</w:t>
      </w:r>
    </w:p>
    <w:p w14:paraId="0134BC0E"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34.</w:t>
      </w:r>
      <w:r w:rsidRPr="00B12458">
        <w:rPr>
          <w:rFonts w:ascii="Calibri" w:hAnsi="Calibri" w:cs="Calibri"/>
          <w:noProof/>
          <w:sz w:val="20"/>
          <w:szCs w:val="24"/>
        </w:rPr>
        <w:tab/>
        <w:t xml:space="preserve">Kellenberger, D. </w:t>
      </w:r>
      <w:r w:rsidRPr="00B12458">
        <w:rPr>
          <w:rFonts w:ascii="Calibri" w:hAnsi="Calibri" w:cs="Calibri"/>
          <w:i/>
          <w:iCs/>
          <w:noProof/>
          <w:sz w:val="20"/>
          <w:szCs w:val="24"/>
        </w:rPr>
        <w:t>et al.</w:t>
      </w:r>
      <w:r w:rsidRPr="00B12458">
        <w:rPr>
          <w:rFonts w:ascii="Calibri" w:hAnsi="Calibri" w:cs="Calibri"/>
          <w:noProof/>
          <w:sz w:val="20"/>
          <w:szCs w:val="24"/>
        </w:rPr>
        <w:t xml:space="preserve"> Life Cycle Inventories of Building Products. </w:t>
      </w:r>
      <w:r w:rsidRPr="00B12458">
        <w:rPr>
          <w:rFonts w:ascii="Calibri" w:hAnsi="Calibri" w:cs="Calibri"/>
          <w:i/>
          <w:iCs/>
          <w:noProof/>
          <w:sz w:val="20"/>
          <w:szCs w:val="24"/>
        </w:rPr>
        <w:t>ecoinvent report No. 7</w:t>
      </w:r>
      <w:r w:rsidRPr="00B12458">
        <w:rPr>
          <w:rFonts w:ascii="Calibri" w:hAnsi="Calibri" w:cs="Calibri"/>
          <w:noProof/>
          <w:sz w:val="20"/>
          <w:szCs w:val="24"/>
        </w:rPr>
        <w:t xml:space="preserve"> (2007). doi:10.1109/SECON.2017.7925283</w:t>
      </w:r>
    </w:p>
    <w:p w14:paraId="5F1F0920"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35.</w:t>
      </w:r>
      <w:r w:rsidRPr="00B12458">
        <w:rPr>
          <w:rFonts w:ascii="Calibri" w:hAnsi="Calibri" w:cs="Calibri"/>
          <w:noProof/>
          <w:sz w:val="20"/>
          <w:szCs w:val="24"/>
        </w:rPr>
        <w:tab/>
        <w:t xml:space="preserve">Kashkooli, A. M. S., Vargas, G. A. &amp; Altan, H. A semi-quantitative framework of building lifecycle analysis: Demonstrated through a case study of a typical office building block in Mexico in warm and humid climate. </w:t>
      </w:r>
      <w:r w:rsidRPr="00B12458">
        <w:rPr>
          <w:rFonts w:ascii="Calibri" w:hAnsi="Calibri" w:cs="Calibri"/>
          <w:i/>
          <w:iCs/>
          <w:noProof/>
          <w:sz w:val="20"/>
          <w:szCs w:val="24"/>
        </w:rPr>
        <w:t>Sustain. Cities Soc.</w:t>
      </w:r>
      <w:r w:rsidRPr="00B12458">
        <w:rPr>
          <w:rFonts w:ascii="Calibri" w:hAnsi="Calibri" w:cs="Calibri"/>
          <w:noProof/>
          <w:sz w:val="20"/>
          <w:szCs w:val="24"/>
        </w:rPr>
        <w:t xml:space="preserve"> </w:t>
      </w:r>
      <w:r w:rsidRPr="00B12458">
        <w:rPr>
          <w:rFonts w:ascii="Calibri" w:hAnsi="Calibri" w:cs="Calibri"/>
          <w:b/>
          <w:bCs/>
          <w:noProof/>
          <w:sz w:val="20"/>
          <w:szCs w:val="24"/>
        </w:rPr>
        <w:t>12</w:t>
      </w:r>
      <w:r w:rsidRPr="00B12458">
        <w:rPr>
          <w:rFonts w:ascii="Calibri" w:hAnsi="Calibri" w:cs="Calibri"/>
          <w:noProof/>
          <w:sz w:val="20"/>
          <w:szCs w:val="24"/>
        </w:rPr>
        <w:t>, 16–24 (2014).</w:t>
      </w:r>
    </w:p>
    <w:p w14:paraId="44ADF8A0"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36.</w:t>
      </w:r>
      <w:r w:rsidRPr="00B12458">
        <w:rPr>
          <w:rFonts w:ascii="Calibri" w:hAnsi="Calibri" w:cs="Calibri"/>
          <w:noProof/>
          <w:sz w:val="20"/>
          <w:szCs w:val="24"/>
        </w:rPr>
        <w:tab/>
        <w:t xml:space="preserve">Kofoworola, O. F. &amp; Gheewala, S. H. Life cycle energy assessment of a typical office building in Thailand. </w:t>
      </w:r>
      <w:r w:rsidRPr="00B12458">
        <w:rPr>
          <w:rFonts w:ascii="Calibri" w:hAnsi="Calibri" w:cs="Calibri"/>
          <w:i/>
          <w:iCs/>
          <w:noProof/>
          <w:sz w:val="20"/>
          <w:szCs w:val="24"/>
        </w:rPr>
        <w:t>Energy Build.</w:t>
      </w:r>
      <w:r w:rsidRPr="00B12458">
        <w:rPr>
          <w:rFonts w:ascii="Calibri" w:hAnsi="Calibri" w:cs="Calibri"/>
          <w:noProof/>
          <w:sz w:val="20"/>
          <w:szCs w:val="24"/>
        </w:rPr>
        <w:t xml:space="preserve"> </w:t>
      </w:r>
      <w:r w:rsidRPr="00B12458">
        <w:rPr>
          <w:rFonts w:ascii="Calibri" w:hAnsi="Calibri" w:cs="Calibri"/>
          <w:b/>
          <w:bCs/>
          <w:noProof/>
          <w:sz w:val="20"/>
          <w:szCs w:val="24"/>
        </w:rPr>
        <w:t>41</w:t>
      </w:r>
      <w:r w:rsidRPr="00B12458">
        <w:rPr>
          <w:rFonts w:ascii="Calibri" w:hAnsi="Calibri" w:cs="Calibri"/>
          <w:noProof/>
          <w:sz w:val="20"/>
          <w:szCs w:val="24"/>
        </w:rPr>
        <w:t>, 1076–1083 (2009).</w:t>
      </w:r>
    </w:p>
    <w:p w14:paraId="6127FBEC"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37.</w:t>
      </w:r>
      <w:r w:rsidRPr="00B12458">
        <w:rPr>
          <w:rFonts w:ascii="Calibri" w:hAnsi="Calibri" w:cs="Calibri"/>
          <w:noProof/>
          <w:sz w:val="20"/>
          <w:szCs w:val="24"/>
        </w:rPr>
        <w:tab/>
        <w:t xml:space="preserve">Oka, T., Suzuki, M. &amp; Konnya, T. The estimation of energy consumption and amount of pollutants due to the construction of buildings. </w:t>
      </w:r>
      <w:r w:rsidRPr="00B12458">
        <w:rPr>
          <w:rFonts w:ascii="Calibri" w:hAnsi="Calibri" w:cs="Calibri"/>
          <w:i/>
          <w:iCs/>
          <w:noProof/>
          <w:sz w:val="20"/>
          <w:szCs w:val="24"/>
        </w:rPr>
        <w:t>Energy Build.</w:t>
      </w:r>
      <w:r w:rsidRPr="00B12458">
        <w:rPr>
          <w:rFonts w:ascii="Calibri" w:hAnsi="Calibri" w:cs="Calibri"/>
          <w:noProof/>
          <w:sz w:val="20"/>
          <w:szCs w:val="24"/>
        </w:rPr>
        <w:t xml:space="preserve"> </w:t>
      </w:r>
      <w:r w:rsidRPr="00B12458">
        <w:rPr>
          <w:rFonts w:ascii="Calibri" w:hAnsi="Calibri" w:cs="Calibri"/>
          <w:b/>
          <w:bCs/>
          <w:noProof/>
          <w:sz w:val="20"/>
          <w:szCs w:val="24"/>
        </w:rPr>
        <w:t>19</w:t>
      </w:r>
      <w:r w:rsidRPr="00B12458">
        <w:rPr>
          <w:rFonts w:ascii="Calibri" w:hAnsi="Calibri" w:cs="Calibri"/>
          <w:noProof/>
          <w:sz w:val="20"/>
          <w:szCs w:val="24"/>
        </w:rPr>
        <w:t>, 303–311 (1993).</w:t>
      </w:r>
    </w:p>
    <w:p w14:paraId="55F878DB"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38.</w:t>
      </w:r>
      <w:r w:rsidRPr="00B12458">
        <w:rPr>
          <w:rFonts w:ascii="Calibri" w:hAnsi="Calibri" w:cs="Calibri"/>
          <w:noProof/>
          <w:sz w:val="20"/>
          <w:szCs w:val="24"/>
        </w:rPr>
        <w:tab/>
        <w:t xml:space="preserve">Reyna, J. L. &amp; Chester, M. V. The Growth of Urban Building Stock: Unintended Lock-in and Embedded Environmental Effects. </w:t>
      </w:r>
      <w:r w:rsidRPr="00B12458">
        <w:rPr>
          <w:rFonts w:ascii="Calibri" w:hAnsi="Calibri" w:cs="Calibri"/>
          <w:i/>
          <w:iCs/>
          <w:noProof/>
          <w:sz w:val="20"/>
          <w:szCs w:val="24"/>
        </w:rPr>
        <w:t>J. Ind. Ecol.</w:t>
      </w:r>
      <w:r w:rsidRPr="00B12458">
        <w:rPr>
          <w:rFonts w:ascii="Calibri" w:hAnsi="Calibri" w:cs="Calibri"/>
          <w:noProof/>
          <w:sz w:val="20"/>
          <w:szCs w:val="24"/>
        </w:rPr>
        <w:t xml:space="preserve"> </w:t>
      </w:r>
      <w:r w:rsidRPr="00B12458">
        <w:rPr>
          <w:rFonts w:ascii="Calibri" w:hAnsi="Calibri" w:cs="Calibri"/>
          <w:b/>
          <w:bCs/>
          <w:noProof/>
          <w:sz w:val="20"/>
          <w:szCs w:val="24"/>
        </w:rPr>
        <w:t>19</w:t>
      </w:r>
      <w:r w:rsidRPr="00B12458">
        <w:rPr>
          <w:rFonts w:ascii="Calibri" w:hAnsi="Calibri" w:cs="Calibri"/>
          <w:noProof/>
          <w:sz w:val="20"/>
          <w:szCs w:val="24"/>
        </w:rPr>
        <w:t>, 524–537 (2015).</w:t>
      </w:r>
    </w:p>
    <w:p w14:paraId="38414785" w14:textId="77777777" w:rsidR="00B12458" w:rsidRPr="00CF4DAF" w:rsidRDefault="00B12458" w:rsidP="00B12458">
      <w:pPr>
        <w:widowControl w:val="0"/>
        <w:autoSpaceDE w:val="0"/>
        <w:autoSpaceDN w:val="0"/>
        <w:adjustRightInd w:val="0"/>
        <w:spacing w:line="240" w:lineRule="auto"/>
        <w:ind w:left="640" w:hanging="640"/>
        <w:rPr>
          <w:rFonts w:ascii="Calibri" w:hAnsi="Calibri" w:cs="Calibri"/>
          <w:noProof/>
          <w:sz w:val="20"/>
          <w:szCs w:val="24"/>
          <w:lang w:val="de-DE"/>
        </w:rPr>
      </w:pPr>
      <w:r w:rsidRPr="00B12458">
        <w:rPr>
          <w:rFonts w:ascii="Calibri" w:hAnsi="Calibri" w:cs="Calibri"/>
          <w:noProof/>
          <w:sz w:val="20"/>
          <w:szCs w:val="24"/>
        </w:rPr>
        <w:lastRenderedPageBreak/>
        <w:t>39.</w:t>
      </w:r>
      <w:r w:rsidRPr="00B12458">
        <w:rPr>
          <w:rFonts w:ascii="Calibri" w:hAnsi="Calibri" w:cs="Calibri"/>
          <w:noProof/>
          <w:sz w:val="20"/>
          <w:szCs w:val="24"/>
        </w:rPr>
        <w:tab/>
        <w:t xml:space="preserve">Schebek, L. </w:t>
      </w:r>
      <w:r w:rsidRPr="00B12458">
        <w:rPr>
          <w:rFonts w:ascii="Calibri" w:hAnsi="Calibri" w:cs="Calibri"/>
          <w:i/>
          <w:iCs/>
          <w:noProof/>
          <w:sz w:val="20"/>
          <w:szCs w:val="24"/>
        </w:rPr>
        <w:t>et al.</w:t>
      </w:r>
      <w:r w:rsidRPr="00B12458">
        <w:rPr>
          <w:rFonts w:ascii="Calibri" w:hAnsi="Calibri" w:cs="Calibri"/>
          <w:noProof/>
          <w:sz w:val="20"/>
          <w:szCs w:val="24"/>
        </w:rPr>
        <w:t xml:space="preserve"> Material stocks of the non-residential building sector: the case of the Rhine-Main area. </w:t>
      </w:r>
      <w:r w:rsidRPr="00CF4DAF">
        <w:rPr>
          <w:rFonts w:ascii="Calibri" w:hAnsi="Calibri" w:cs="Calibri"/>
          <w:i/>
          <w:iCs/>
          <w:noProof/>
          <w:sz w:val="20"/>
          <w:szCs w:val="24"/>
          <w:lang w:val="de-DE"/>
        </w:rPr>
        <w:t>Resour. Conserv. Recycl.</w:t>
      </w:r>
      <w:r w:rsidRPr="00CF4DAF">
        <w:rPr>
          <w:rFonts w:ascii="Calibri" w:hAnsi="Calibri" w:cs="Calibri"/>
          <w:noProof/>
          <w:sz w:val="20"/>
          <w:szCs w:val="24"/>
          <w:lang w:val="de-DE"/>
        </w:rPr>
        <w:t xml:space="preserve"> </w:t>
      </w:r>
      <w:r w:rsidRPr="00CF4DAF">
        <w:rPr>
          <w:rFonts w:ascii="Calibri" w:hAnsi="Calibri" w:cs="Calibri"/>
          <w:b/>
          <w:bCs/>
          <w:noProof/>
          <w:sz w:val="20"/>
          <w:szCs w:val="24"/>
          <w:lang w:val="de-DE"/>
        </w:rPr>
        <w:t>123</w:t>
      </w:r>
      <w:r w:rsidRPr="00CF4DAF">
        <w:rPr>
          <w:rFonts w:ascii="Calibri" w:hAnsi="Calibri" w:cs="Calibri"/>
          <w:noProof/>
          <w:sz w:val="20"/>
          <w:szCs w:val="24"/>
          <w:lang w:val="de-DE"/>
        </w:rPr>
        <w:t>, 24–36 (2017).</w:t>
      </w:r>
    </w:p>
    <w:p w14:paraId="3B618A9D" w14:textId="77777777" w:rsidR="00B12458" w:rsidRPr="00CF4DAF" w:rsidRDefault="00B12458" w:rsidP="00B12458">
      <w:pPr>
        <w:widowControl w:val="0"/>
        <w:autoSpaceDE w:val="0"/>
        <w:autoSpaceDN w:val="0"/>
        <w:adjustRightInd w:val="0"/>
        <w:spacing w:line="240" w:lineRule="auto"/>
        <w:ind w:left="640" w:hanging="640"/>
        <w:rPr>
          <w:rFonts w:ascii="Calibri" w:hAnsi="Calibri" w:cs="Calibri"/>
          <w:noProof/>
          <w:sz w:val="20"/>
          <w:szCs w:val="24"/>
          <w:lang w:val="de-DE"/>
        </w:rPr>
      </w:pPr>
      <w:r w:rsidRPr="00CF4DAF">
        <w:rPr>
          <w:rFonts w:ascii="Calibri" w:hAnsi="Calibri" w:cs="Calibri"/>
          <w:noProof/>
          <w:sz w:val="20"/>
          <w:szCs w:val="24"/>
          <w:lang w:val="de-DE"/>
        </w:rPr>
        <w:t>40.</w:t>
      </w:r>
      <w:r w:rsidRPr="00CF4DAF">
        <w:rPr>
          <w:rFonts w:ascii="Calibri" w:hAnsi="Calibri" w:cs="Calibri"/>
          <w:noProof/>
          <w:sz w:val="20"/>
          <w:szCs w:val="24"/>
          <w:lang w:val="de-DE"/>
        </w:rPr>
        <w:tab/>
        <w:t>Gruhler, K. &amp; Deilmannl, C. Materialaufwand von Nichtwohngebäuden – Teil II. in (Fraunhofer IRB Verlag, 2017).</w:t>
      </w:r>
    </w:p>
    <w:p w14:paraId="280F85F3"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41.</w:t>
      </w:r>
      <w:r w:rsidRPr="00B12458">
        <w:rPr>
          <w:rFonts w:ascii="Calibri" w:hAnsi="Calibri" w:cs="Calibri"/>
          <w:noProof/>
          <w:sz w:val="20"/>
          <w:szCs w:val="24"/>
        </w:rPr>
        <w:tab/>
        <w:t xml:space="preserve">Rosselló-Batle, B., Moià, A., Cladera, A. &amp; Martínez, V. Energy use, CO2 emissions and waste throughout the life cycle of a sample of hotels in the Balearic Islands. </w:t>
      </w:r>
      <w:r w:rsidRPr="00B12458">
        <w:rPr>
          <w:rFonts w:ascii="Calibri" w:hAnsi="Calibri" w:cs="Calibri"/>
          <w:i/>
          <w:iCs/>
          <w:noProof/>
          <w:sz w:val="20"/>
          <w:szCs w:val="24"/>
        </w:rPr>
        <w:t>Energy Build.</w:t>
      </w:r>
      <w:r w:rsidRPr="00B12458">
        <w:rPr>
          <w:rFonts w:ascii="Calibri" w:hAnsi="Calibri" w:cs="Calibri"/>
          <w:noProof/>
          <w:sz w:val="20"/>
          <w:szCs w:val="24"/>
        </w:rPr>
        <w:t xml:space="preserve"> </w:t>
      </w:r>
      <w:r w:rsidRPr="00B12458">
        <w:rPr>
          <w:rFonts w:ascii="Calibri" w:hAnsi="Calibri" w:cs="Calibri"/>
          <w:b/>
          <w:bCs/>
          <w:noProof/>
          <w:sz w:val="20"/>
          <w:szCs w:val="24"/>
        </w:rPr>
        <w:t>42</w:t>
      </w:r>
      <w:r w:rsidRPr="00B12458">
        <w:rPr>
          <w:rFonts w:ascii="Calibri" w:hAnsi="Calibri" w:cs="Calibri"/>
          <w:noProof/>
          <w:sz w:val="20"/>
          <w:szCs w:val="24"/>
        </w:rPr>
        <w:t>, 547–558 (2010).</w:t>
      </w:r>
    </w:p>
    <w:p w14:paraId="769277BE"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42.</w:t>
      </w:r>
      <w:r w:rsidRPr="00B12458">
        <w:rPr>
          <w:rFonts w:ascii="Calibri" w:hAnsi="Calibri" w:cs="Calibri"/>
          <w:noProof/>
          <w:sz w:val="20"/>
          <w:szCs w:val="24"/>
        </w:rPr>
        <w:tab/>
        <w:t xml:space="preserve">Kumanayake, R., Luo, H. &amp; Paulusz, N. Assessment of material related embodied carbon of an office building in Sri Lanka. </w:t>
      </w:r>
      <w:r w:rsidRPr="00B12458">
        <w:rPr>
          <w:rFonts w:ascii="Calibri" w:hAnsi="Calibri" w:cs="Calibri"/>
          <w:i/>
          <w:iCs/>
          <w:noProof/>
          <w:sz w:val="20"/>
          <w:szCs w:val="24"/>
        </w:rPr>
        <w:t>Energy Build.</w:t>
      </w:r>
      <w:r w:rsidRPr="00B12458">
        <w:rPr>
          <w:rFonts w:ascii="Calibri" w:hAnsi="Calibri" w:cs="Calibri"/>
          <w:noProof/>
          <w:sz w:val="20"/>
          <w:szCs w:val="24"/>
        </w:rPr>
        <w:t xml:space="preserve"> </w:t>
      </w:r>
      <w:r w:rsidRPr="00B12458">
        <w:rPr>
          <w:rFonts w:ascii="Calibri" w:hAnsi="Calibri" w:cs="Calibri"/>
          <w:b/>
          <w:bCs/>
          <w:noProof/>
          <w:sz w:val="20"/>
          <w:szCs w:val="24"/>
        </w:rPr>
        <w:t>166</w:t>
      </w:r>
      <w:r w:rsidRPr="00B12458">
        <w:rPr>
          <w:rFonts w:ascii="Calibri" w:hAnsi="Calibri" w:cs="Calibri"/>
          <w:noProof/>
          <w:sz w:val="20"/>
          <w:szCs w:val="24"/>
        </w:rPr>
        <w:t>, 250–257 (2018).</w:t>
      </w:r>
    </w:p>
    <w:p w14:paraId="6C08A443"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43.</w:t>
      </w:r>
      <w:r w:rsidRPr="00B12458">
        <w:rPr>
          <w:rFonts w:ascii="Calibri" w:hAnsi="Calibri" w:cs="Calibri"/>
          <w:noProof/>
          <w:sz w:val="20"/>
          <w:szCs w:val="24"/>
        </w:rPr>
        <w:tab/>
        <w:t xml:space="preserve">Marcellus-Zamora, K. A., Gallagher, P. M., Spatari, S. &amp; Tanikawa, H. Estimating Materials Stocked by Land-Use Type in Historic Urban Buildings Using Spatio-Temporal Analytical Tools. </w:t>
      </w:r>
      <w:r w:rsidRPr="00B12458">
        <w:rPr>
          <w:rFonts w:ascii="Calibri" w:hAnsi="Calibri" w:cs="Calibri"/>
          <w:i/>
          <w:iCs/>
          <w:noProof/>
          <w:sz w:val="20"/>
          <w:szCs w:val="24"/>
        </w:rPr>
        <w:t>J. Ind. Ecol.</w:t>
      </w:r>
      <w:r w:rsidRPr="00B12458">
        <w:rPr>
          <w:rFonts w:ascii="Calibri" w:hAnsi="Calibri" w:cs="Calibri"/>
          <w:noProof/>
          <w:sz w:val="20"/>
          <w:szCs w:val="24"/>
        </w:rPr>
        <w:t xml:space="preserve"> </w:t>
      </w:r>
      <w:r w:rsidRPr="00B12458">
        <w:rPr>
          <w:rFonts w:ascii="Calibri" w:hAnsi="Calibri" w:cs="Calibri"/>
          <w:b/>
          <w:bCs/>
          <w:noProof/>
          <w:sz w:val="20"/>
          <w:szCs w:val="24"/>
        </w:rPr>
        <w:t>20</w:t>
      </w:r>
      <w:r w:rsidRPr="00B12458">
        <w:rPr>
          <w:rFonts w:ascii="Calibri" w:hAnsi="Calibri" w:cs="Calibri"/>
          <w:noProof/>
          <w:sz w:val="20"/>
          <w:szCs w:val="24"/>
        </w:rPr>
        <w:t>, 1025–1037 (2016).</w:t>
      </w:r>
    </w:p>
    <w:p w14:paraId="2292A271"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44.</w:t>
      </w:r>
      <w:r w:rsidRPr="00B12458">
        <w:rPr>
          <w:rFonts w:ascii="Calibri" w:hAnsi="Calibri" w:cs="Calibri"/>
          <w:noProof/>
          <w:sz w:val="20"/>
          <w:szCs w:val="24"/>
        </w:rPr>
        <w:tab/>
        <w:t>Leadbitterglass. How To Calculate The Weight Of Glass. (2019). Available at: http://www.leadbitterglass.co.uk/glassroom/calculate-weight-of-glass/. (Accessed: 23rd January 2019)</w:t>
      </w:r>
    </w:p>
    <w:p w14:paraId="6E6E8584"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45.</w:t>
      </w:r>
      <w:r w:rsidRPr="00B12458">
        <w:rPr>
          <w:rFonts w:ascii="Calibri" w:hAnsi="Calibri" w:cs="Calibri"/>
          <w:noProof/>
          <w:sz w:val="20"/>
          <w:szCs w:val="24"/>
        </w:rPr>
        <w:tab/>
        <w:t xml:space="preserve">Porteus, J. &amp; Kermani, A. </w:t>
      </w:r>
      <w:r w:rsidRPr="00B12458">
        <w:rPr>
          <w:rFonts w:ascii="Calibri" w:hAnsi="Calibri" w:cs="Calibri"/>
          <w:i/>
          <w:iCs/>
          <w:noProof/>
          <w:sz w:val="20"/>
          <w:szCs w:val="24"/>
        </w:rPr>
        <w:t>Structural Timber Design to Eurocode 5</w:t>
      </w:r>
      <w:r w:rsidRPr="00B12458">
        <w:rPr>
          <w:rFonts w:ascii="Calibri" w:hAnsi="Calibri" w:cs="Calibri"/>
          <w:noProof/>
          <w:sz w:val="20"/>
          <w:szCs w:val="24"/>
        </w:rPr>
        <w:t>. (John Wiley &amp; Sons, Ltd, 2007). doi:10.1002/9780470697818</w:t>
      </w:r>
    </w:p>
    <w:p w14:paraId="21050933"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46.</w:t>
      </w:r>
      <w:r w:rsidRPr="00B12458">
        <w:rPr>
          <w:rFonts w:ascii="Calibri" w:hAnsi="Calibri" w:cs="Calibri"/>
          <w:noProof/>
          <w:sz w:val="20"/>
          <w:szCs w:val="24"/>
        </w:rPr>
        <w:tab/>
        <w:t>Brown’s. Standard and Lightweight Concrete Block / Architectural Block Cube Sizes and Weights. (2019). Available at: https://www.brownsconcrete.com/images/Resources/Building/Product_Info/Block_Weight_Cube_Size.pdf. (Accessed: 23rd January 2019)</w:t>
      </w:r>
    </w:p>
    <w:p w14:paraId="593EA0E6"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47.</w:t>
      </w:r>
      <w:r w:rsidRPr="00B12458">
        <w:rPr>
          <w:rFonts w:ascii="Calibri" w:hAnsi="Calibri" w:cs="Calibri"/>
          <w:noProof/>
          <w:sz w:val="20"/>
          <w:szCs w:val="24"/>
        </w:rPr>
        <w:tab/>
        <w:t>Ted Pella inc. Standard Gauge for Sheet and Plate Iron and Steel. (2019). Available at: https://www.tedpella.com/company_html/gauge.htm. (Accessed: 23rd January 2019)</w:t>
      </w:r>
    </w:p>
    <w:p w14:paraId="52AF7A4F"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48.</w:t>
      </w:r>
      <w:r w:rsidRPr="00B12458">
        <w:rPr>
          <w:rFonts w:ascii="Calibri" w:hAnsi="Calibri" w:cs="Calibri"/>
          <w:noProof/>
          <w:sz w:val="20"/>
          <w:szCs w:val="24"/>
        </w:rPr>
        <w:tab/>
        <w:t>National Masonry. Masonry Blocks &amp; Bricks. (2019). Available at: https://www.nationalmasonry.com.au/wp-content/uploads/National_Masonry_Design_Guide_Book_2_SQLD.pdf. (Accessed: 23rd January 2019)</w:t>
      </w:r>
    </w:p>
    <w:p w14:paraId="30F411FA"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49.</w:t>
      </w:r>
      <w:r w:rsidRPr="00B12458">
        <w:rPr>
          <w:rFonts w:ascii="Calibri" w:hAnsi="Calibri" w:cs="Calibri"/>
          <w:noProof/>
          <w:sz w:val="20"/>
          <w:szCs w:val="24"/>
        </w:rPr>
        <w:tab/>
        <w:t xml:space="preserve">Daioglou, V., van Ruijven, B. J. &amp; van Vuuren, D. P. Model projections for household energy use in developing countries. </w:t>
      </w:r>
      <w:r w:rsidRPr="00B12458">
        <w:rPr>
          <w:rFonts w:ascii="Calibri" w:hAnsi="Calibri" w:cs="Calibri"/>
          <w:i/>
          <w:iCs/>
          <w:noProof/>
          <w:sz w:val="20"/>
          <w:szCs w:val="24"/>
        </w:rPr>
        <w:t>Energy</w:t>
      </w:r>
      <w:r w:rsidRPr="00B12458">
        <w:rPr>
          <w:rFonts w:ascii="Calibri" w:hAnsi="Calibri" w:cs="Calibri"/>
          <w:noProof/>
          <w:sz w:val="20"/>
          <w:szCs w:val="24"/>
        </w:rPr>
        <w:t xml:space="preserve"> </w:t>
      </w:r>
      <w:r w:rsidRPr="00B12458">
        <w:rPr>
          <w:rFonts w:ascii="Calibri" w:hAnsi="Calibri" w:cs="Calibri"/>
          <w:b/>
          <w:bCs/>
          <w:noProof/>
          <w:sz w:val="20"/>
          <w:szCs w:val="24"/>
        </w:rPr>
        <w:t>37</w:t>
      </w:r>
      <w:r w:rsidRPr="00B12458">
        <w:rPr>
          <w:rFonts w:ascii="Calibri" w:hAnsi="Calibri" w:cs="Calibri"/>
          <w:noProof/>
          <w:sz w:val="20"/>
          <w:szCs w:val="24"/>
        </w:rPr>
        <w:t>, 601–615 (2012).</w:t>
      </w:r>
    </w:p>
    <w:p w14:paraId="1E625F2A"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szCs w:val="24"/>
        </w:rPr>
      </w:pPr>
      <w:r w:rsidRPr="00B12458">
        <w:rPr>
          <w:rFonts w:ascii="Calibri" w:hAnsi="Calibri" w:cs="Calibri"/>
          <w:noProof/>
          <w:sz w:val="20"/>
          <w:szCs w:val="24"/>
        </w:rPr>
        <w:t>50.</w:t>
      </w:r>
      <w:r w:rsidRPr="00B12458">
        <w:rPr>
          <w:rFonts w:ascii="Calibri" w:hAnsi="Calibri" w:cs="Calibri"/>
          <w:noProof/>
          <w:sz w:val="20"/>
          <w:szCs w:val="24"/>
        </w:rPr>
        <w:tab/>
        <w:t xml:space="preserve">Deetman, S. repository for the building materials model. (2019). Available at: https://github.com/SPDeetman/BUMA. </w:t>
      </w:r>
    </w:p>
    <w:p w14:paraId="3EE9A2B4" w14:textId="77777777" w:rsidR="00B12458" w:rsidRPr="00B12458" w:rsidRDefault="00B12458" w:rsidP="00B12458">
      <w:pPr>
        <w:widowControl w:val="0"/>
        <w:autoSpaceDE w:val="0"/>
        <w:autoSpaceDN w:val="0"/>
        <w:adjustRightInd w:val="0"/>
        <w:spacing w:line="240" w:lineRule="auto"/>
        <w:ind w:left="640" w:hanging="640"/>
        <w:rPr>
          <w:rFonts w:ascii="Calibri" w:hAnsi="Calibri" w:cs="Calibri"/>
          <w:noProof/>
          <w:sz w:val="20"/>
        </w:rPr>
      </w:pPr>
      <w:r w:rsidRPr="00B12458">
        <w:rPr>
          <w:rFonts w:ascii="Calibri" w:hAnsi="Calibri" w:cs="Calibri"/>
          <w:noProof/>
          <w:sz w:val="20"/>
          <w:szCs w:val="24"/>
        </w:rPr>
        <w:t>51.</w:t>
      </w:r>
      <w:r w:rsidRPr="00B12458">
        <w:rPr>
          <w:rFonts w:ascii="Calibri" w:hAnsi="Calibri" w:cs="Calibri"/>
          <w:noProof/>
          <w:sz w:val="20"/>
          <w:szCs w:val="24"/>
        </w:rPr>
        <w:tab/>
        <w:t xml:space="preserve">IEA. Commercial Buildings Energy Consumption Survey (CBECS). (2012). Available at: https://www.eia.gov/consumption/commercial/. </w:t>
      </w:r>
    </w:p>
    <w:p w14:paraId="6C27DBFC" w14:textId="71E5D626" w:rsidR="00E70BDB" w:rsidRDefault="00EA3464" w:rsidP="00E00DFD">
      <w:pPr>
        <w:widowControl w:val="0"/>
        <w:autoSpaceDE w:val="0"/>
        <w:autoSpaceDN w:val="0"/>
        <w:adjustRightInd w:val="0"/>
        <w:spacing w:line="240" w:lineRule="auto"/>
        <w:ind w:left="640" w:hanging="640"/>
      </w:pPr>
      <w:r w:rsidRPr="00EA3464">
        <w:rPr>
          <w:sz w:val="21"/>
          <w:szCs w:val="21"/>
        </w:rPr>
        <w:fldChar w:fldCharType="end"/>
      </w:r>
      <w:bookmarkStart w:id="21" w:name="_GoBack"/>
      <w:bookmarkEnd w:id="21"/>
    </w:p>
    <w:sectPr w:rsidR="00E70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Tahoma">
    <w:charset w:val="00"/>
    <w:family w:val="swiss"/>
    <w:pitch w:val="variable"/>
    <w:sig w:usb0="E1002EFF" w:usb1="C000605B" w:usb2="00000029" w:usb3="00000000" w:csb0="000101F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A0E6A"/>
    <w:multiLevelType w:val="multilevel"/>
    <w:tmpl w:val="3306E7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A54B39"/>
    <w:multiLevelType w:val="hybridMultilevel"/>
    <w:tmpl w:val="0EE256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47B23"/>
    <w:multiLevelType w:val="multilevel"/>
    <w:tmpl w:val="7A6048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9B538CB"/>
    <w:multiLevelType w:val="hybridMultilevel"/>
    <w:tmpl w:val="0EE256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5E44CB"/>
    <w:multiLevelType w:val="hybridMultilevel"/>
    <w:tmpl w:val="C834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fr-FR" w:vendorID="64" w:dllVersion="131078" w:nlCheck="1" w:checkStyle="0"/>
  <w:activeWritingStyle w:appName="MSWord" w:lang="en-US" w:vendorID="64" w:dllVersion="131078" w:nlCheck="1" w:checkStyle="1"/>
  <w:revisionView w:markup="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83F"/>
    <w:rsid w:val="00007EE0"/>
    <w:rsid w:val="000253C2"/>
    <w:rsid w:val="000263E8"/>
    <w:rsid w:val="00026669"/>
    <w:rsid w:val="00035931"/>
    <w:rsid w:val="00046C40"/>
    <w:rsid w:val="000554B0"/>
    <w:rsid w:val="00055CA2"/>
    <w:rsid w:val="00066F04"/>
    <w:rsid w:val="000701D3"/>
    <w:rsid w:val="00070E65"/>
    <w:rsid w:val="00081978"/>
    <w:rsid w:val="00095EA3"/>
    <w:rsid w:val="000B22E0"/>
    <w:rsid w:val="000B407C"/>
    <w:rsid w:val="000D2E7B"/>
    <w:rsid w:val="000E25CF"/>
    <w:rsid w:val="000E55AF"/>
    <w:rsid w:val="00104017"/>
    <w:rsid w:val="001077F0"/>
    <w:rsid w:val="0014283F"/>
    <w:rsid w:val="00146EE8"/>
    <w:rsid w:val="001577F9"/>
    <w:rsid w:val="00165AF7"/>
    <w:rsid w:val="001A14FD"/>
    <w:rsid w:val="001A702F"/>
    <w:rsid w:val="001B461A"/>
    <w:rsid w:val="001B51AA"/>
    <w:rsid w:val="001B52A0"/>
    <w:rsid w:val="001C1C7C"/>
    <w:rsid w:val="001C5665"/>
    <w:rsid w:val="001D088C"/>
    <w:rsid w:val="001E4870"/>
    <w:rsid w:val="002072A2"/>
    <w:rsid w:val="00222699"/>
    <w:rsid w:val="002376BF"/>
    <w:rsid w:val="002636F4"/>
    <w:rsid w:val="0026471A"/>
    <w:rsid w:val="0028074D"/>
    <w:rsid w:val="00291412"/>
    <w:rsid w:val="002B4298"/>
    <w:rsid w:val="002E1131"/>
    <w:rsid w:val="002F16BA"/>
    <w:rsid w:val="002F306F"/>
    <w:rsid w:val="00301153"/>
    <w:rsid w:val="00303024"/>
    <w:rsid w:val="0034010C"/>
    <w:rsid w:val="00360DF3"/>
    <w:rsid w:val="00367D0E"/>
    <w:rsid w:val="00376CC8"/>
    <w:rsid w:val="00381039"/>
    <w:rsid w:val="00385D70"/>
    <w:rsid w:val="00394929"/>
    <w:rsid w:val="003C06C8"/>
    <w:rsid w:val="003C3987"/>
    <w:rsid w:val="003D599B"/>
    <w:rsid w:val="003E11E0"/>
    <w:rsid w:val="003F3831"/>
    <w:rsid w:val="003F509E"/>
    <w:rsid w:val="004008BA"/>
    <w:rsid w:val="00407CE6"/>
    <w:rsid w:val="00417E43"/>
    <w:rsid w:val="00422557"/>
    <w:rsid w:val="00441FBC"/>
    <w:rsid w:val="00445553"/>
    <w:rsid w:val="00451629"/>
    <w:rsid w:val="00462826"/>
    <w:rsid w:val="00485E6B"/>
    <w:rsid w:val="00493ADF"/>
    <w:rsid w:val="004B3600"/>
    <w:rsid w:val="004D614A"/>
    <w:rsid w:val="004E2D49"/>
    <w:rsid w:val="004E6EB8"/>
    <w:rsid w:val="004F3BA9"/>
    <w:rsid w:val="004F480E"/>
    <w:rsid w:val="004F4FD7"/>
    <w:rsid w:val="00525D51"/>
    <w:rsid w:val="005418F5"/>
    <w:rsid w:val="00541DD4"/>
    <w:rsid w:val="00563C63"/>
    <w:rsid w:val="005748D5"/>
    <w:rsid w:val="0057579B"/>
    <w:rsid w:val="005770BF"/>
    <w:rsid w:val="005D3317"/>
    <w:rsid w:val="005E66B6"/>
    <w:rsid w:val="00601077"/>
    <w:rsid w:val="006116FF"/>
    <w:rsid w:val="006258AE"/>
    <w:rsid w:val="00634B5A"/>
    <w:rsid w:val="006470B6"/>
    <w:rsid w:val="006A352B"/>
    <w:rsid w:val="006A3FA1"/>
    <w:rsid w:val="006D7AE1"/>
    <w:rsid w:val="006E63A0"/>
    <w:rsid w:val="006F0111"/>
    <w:rsid w:val="007151B4"/>
    <w:rsid w:val="00717FB7"/>
    <w:rsid w:val="007226F5"/>
    <w:rsid w:val="00737549"/>
    <w:rsid w:val="0074540E"/>
    <w:rsid w:val="0075043F"/>
    <w:rsid w:val="00756A11"/>
    <w:rsid w:val="00760562"/>
    <w:rsid w:val="007A417B"/>
    <w:rsid w:val="007A511D"/>
    <w:rsid w:val="007B2156"/>
    <w:rsid w:val="007B5054"/>
    <w:rsid w:val="007B7B37"/>
    <w:rsid w:val="007B7BEB"/>
    <w:rsid w:val="007E0850"/>
    <w:rsid w:val="007E702E"/>
    <w:rsid w:val="008007A2"/>
    <w:rsid w:val="00801FE9"/>
    <w:rsid w:val="0080412E"/>
    <w:rsid w:val="008064CD"/>
    <w:rsid w:val="00816A56"/>
    <w:rsid w:val="00847CF4"/>
    <w:rsid w:val="00850DA4"/>
    <w:rsid w:val="008564E8"/>
    <w:rsid w:val="00874130"/>
    <w:rsid w:val="008845DD"/>
    <w:rsid w:val="00887FFE"/>
    <w:rsid w:val="00890C15"/>
    <w:rsid w:val="008949D3"/>
    <w:rsid w:val="008E19DE"/>
    <w:rsid w:val="008F7043"/>
    <w:rsid w:val="00916072"/>
    <w:rsid w:val="009268DA"/>
    <w:rsid w:val="00945C6B"/>
    <w:rsid w:val="009649B6"/>
    <w:rsid w:val="00970192"/>
    <w:rsid w:val="00970CFB"/>
    <w:rsid w:val="0099209A"/>
    <w:rsid w:val="009921E6"/>
    <w:rsid w:val="009923F3"/>
    <w:rsid w:val="009A1439"/>
    <w:rsid w:val="009B64E3"/>
    <w:rsid w:val="009B7922"/>
    <w:rsid w:val="009C11EF"/>
    <w:rsid w:val="009C3171"/>
    <w:rsid w:val="009C35E2"/>
    <w:rsid w:val="009E3391"/>
    <w:rsid w:val="00A23FAA"/>
    <w:rsid w:val="00A31D8B"/>
    <w:rsid w:val="00A45895"/>
    <w:rsid w:val="00A477CF"/>
    <w:rsid w:val="00A65034"/>
    <w:rsid w:val="00A669FA"/>
    <w:rsid w:val="00AA34EB"/>
    <w:rsid w:val="00AC1265"/>
    <w:rsid w:val="00AE0A21"/>
    <w:rsid w:val="00AF1285"/>
    <w:rsid w:val="00B04AF7"/>
    <w:rsid w:val="00B06E99"/>
    <w:rsid w:val="00B123FE"/>
    <w:rsid w:val="00B12458"/>
    <w:rsid w:val="00B47BD6"/>
    <w:rsid w:val="00B52619"/>
    <w:rsid w:val="00B64802"/>
    <w:rsid w:val="00B755B8"/>
    <w:rsid w:val="00B76B17"/>
    <w:rsid w:val="00B937E6"/>
    <w:rsid w:val="00BA01AD"/>
    <w:rsid w:val="00BA44E1"/>
    <w:rsid w:val="00BD7FF9"/>
    <w:rsid w:val="00C01E68"/>
    <w:rsid w:val="00C024E1"/>
    <w:rsid w:val="00C04248"/>
    <w:rsid w:val="00C06D27"/>
    <w:rsid w:val="00C31CC9"/>
    <w:rsid w:val="00C45CA5"/>
    <w:rsid w:val="00C54645"/>
    <w:rsid w:val="00C56E41"/>
    <w:rsid w:val="00C66190"/>
    <w:rsid w:val="00C73B00"/>
    <w:rsid w:val="00CA4AF1"/>
    <w:rsid w:val="00CC3EC5"/>
    <w:rsid w:val="00CD30A2"/>
    <w:rsid w:val="00CD5407"/>
    <w:rsid w:val="00CE2250"/>
    <w:rsid w:val="00CE255F"/>
    <w:rsid w:val="00CE7356"/>
    <w:rsid w:val="00CF4DAF"/>
    <w:rsid w:val="00D013B4"/>
    <w:rsid w:val="00D11109"/>
    <w:rsid w:val="00D17DF8"/>
    <w:rsid w:val="00D25DB9"/>
    <w:rsid w:val="00D40FB7"/>
    <w:rsid w:val="00D41030"/>
    <w:rsid w:val="00D42953"/>
    <w:rsid w:val="00D617FC"/>
    <w:rsid w:val="00D702A9"/>
    <w:rsid w:val="00D8355D"/>
    <w:rsid w:val="00D83623"/>
    <w:rsid w:val="00D855B3"/>
    <w:rsid w:val="00D9087D"/>
    <w:rsid w:val="00D93E6F"/>
    <w:rsid w:val="00DA0542"/>
    <w:rsid w:val="00DB0EFD"/>
    <w:rsid w:val="00DC7FD6"/>
    <w:rsid w:val="00DD73BA"/>
    <w:rsid w:val="00DF5F8A"/>
    <w:rsid w:val="00E00DFD"/>
    <w:rsid w:val="00E15F06"/>
    <w:rsid w:val="00E221CD"/>
    <w:rsid w:val="00E27DDF"/>
    <w:rsid w:val="00E317AA"/>
    <w:rsid w:val="00E3422F"/>
    <w:rsid w:val="00E369AF"/>
    <w:rsid w:val="00E421FB"/>
    <w:rsid w:val="00E47C7D"/>
    <w:rsid w:val="00E50204"/>
    <w:rsid w:val="00E57C48"/>
    <w:rsid w:val="00E70BDB"/>
    <w:rsid w:val="00E82474"/>
    <w:rsid w:val="00EA1DAE"/>
    <w:rsid w:val="00EA3464"/>
    <w:rsid w:val="00EC2991"/>
    <w:rsid w:val="00EC7E00"/>
    <w:rsid w:val="00EE4F1A"/>
    <w:rsid w:val="00EF5343"/>
    <w:rsid w:val="00F010F9"/>
    <w:rsid w:val="00F0184E"/>
    <w:rsid w:val="00F219D1"/>
    <w:rsid w:val="00F22892"/>
    <w:rsid w:val="00F23553"/>
    <w:rsid w:val="00F30698"/>
    <w:rsid w:val="00F4250F"/>
    <w:rsid w:val="00F456A7"/>
    <w:rsid w:val="00F5565C"/>
    <w:rsid w:val="00F6294F"/>
    <w:rsid w:val="00F70C9E"/>
    <w:rsid w:val="00F760D8"/>
    <w:rsid w:val="00F8052E"/>
    <w:rsid w:val="00F8300F"/>
    <w:rsid w:val="00F945DE"/>
    <w:rsid w:val="00FA2674"/>
    <w:rsid w:val="00FA4960"/>
    <w:rsid w:val="00FA5E61"/>
    <w:rsid w:val="00FB0479"/>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B203"/>
  <w15:docId w15:val="{65E3B20A-2A63-4F7B-8182-37F8CD3BC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C7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nl-NL"/>
    </w:rPr>
  </w:style>
  <w:style w:type="paragraph" w:styleId="Heading2">
    <w:name w:val="heading 2"/>
    <w:basedOn w:val="Normal"/>
    <w:next w:val="Normal"/>
    <w:link w:val="Heading2Char"/>
    <w:uiPriority w:val="9"/>
    <w:unhideWhenUsed/>
    <w:qFormat/>
    <w:rsid w:val="00007E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6A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DB9"/>
    <w:pPr>
      <w:ind w:left="720"/>
      <w:contextualSpacing/>
    </w:pPr>
  </w:style>
  <w:style w:type="table" w:styleId="TableGrid">
    <w:name w:val="Table Grid"/>
    <w:basedOn w:val="TableNormal"/>
    <w:uiPriority w:val="39"/>
    <w:unhideWhenUsed/>
    <w:rsid w:val="008064CD"/>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1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DD4"/>
    <w:rPr>
      <w:rFonts w:ascii="Tahoma" w:hAnsi="Tahoma" w:cs="Tahoma"/>
      <w:sz w:val="16"/>
      <w:szCs w:val="16"/>
    </w:rPr>
  </w:style>
  <w:style w:type="character" w:customStyle="1" w:styleId="Heading1Char">
    <w:name w:val="Heading 1 Char"/>
    <w:basedOn w:val="DefaultParagraphFont"/>
    <w:link w:val="Heading1"/>
    <w:uiPriority w:val="9"/>
    <w:rsid w:val="001C1C7C"/>
    <w:rPr>
      <w:rFonts w:asciiTheme="majorHAnsi" w:eastAsiaTheme="majorEastAsia" w:hAnsiTheme="majorHAnsi" w:cstheme="majorBidi"/>
      <w:color w:val="2E74B5" w:themeColor="accent1" w:themeShade="BF"/>
      <w:sz w:val="32"/>
      <w:szCs w:val="32"/>
      <w:lang w:val="nl-NL"/>
    </w:rPr>
  </w:style>
  <w:style w:type="paragraph" w:customStyle="1" w:styleId="Default">
    <w:name w:val="Default"/>
    <w:rsid w:val="001C1C7C"/>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007EE0"/>
    <w:rPr>
      <w:rFonts w:asciiTheme="majorHAnsi" w:eastAsiaTheme="majorEastAsia" w:hAnsiTheme="majorHAnsi" w:cstheme="majorBidi"/>
      <w:color w:val="2E74B5" w:themeColor="accent1" w:themeShade="BF"/>
      <w:sz w:val="26"/>
      <w:szCs w:val="26"/>
    </w:rPr>
  </w:style>
  <w:style w:type="paragraph" w:styleId="Quote">
    <w:name w:val="Quote"/>
    <w:basedOn w:val="Normal"/>
    <w:next w:val="Normal"/>
    <w:link w:val="QuoteChar"/>
    <w:uiPriority w:val="29"/>
    <w:qFormat/>
    <w:rsid w:val="00CC3EC5"/>
    <w:pPr>
      <w:spacing w:before="200" w:line="276" w:lineRule="auto"/>
      <w:ind w:left="864" w:right="864"/>
      <w:jc w:val="center"/>
    </w:pPr>
    <w:rPr>
      <w:i/>
      <w:iCs/>
      <w:color w:val="404040" w:themeColor="text1" w:themeTint="BF"/>
      <w:lang w:val="nl-NL"/>
    </w:rPr>
  </w:style>
  <w:style w:type="character" w:customStyle="1" w:styleId="QuoteChar">
    <w:name w:val="Quote Char"/>
    <w:basedOn w:val="DefaultParagraphFont"/>
    <w:link w:val="Quote"/>
    <w:uiPriority w:val="29"/>
    <w:rsid w:val="00CC3EC5"/>
    <w:rPr>
      <w:i/>
      <w:iCs/>
      <w:color w:val="404040" w:themeColor="text1" w:themeTint="BF"/>
      <w:lang w:val="nl-NL"/>
    </w:rPr>
  </w:style>
  <w:style w:type="character" w:customStyle="1" w:styleId="Heading3Char">
    <w:name w:val="Heading 3 Char"/>
    <w:basedOn w:val="DefaultParagraphFont"/>
    <w:link w:val="Heading3"/>
    <w:uiPriority w:val="9"/>
    <w:rsid w:val="00756A11"/>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756A11"/>
    <w:rPr>
      <w:color w:val="808080"/>
    </w:rPr>
  </w:style>
  <w:style w:type="character" w:styleId="CommentReference">
    <w:name w:val="annotation reference"/>
    <w:basedOn w:val="DefaultParagraphFont"/>
    <w:uiPriority w:val="99"/>
    <w:semiHidden/>
    <w:unhideWhenUsed/>
    <w:rsid w:val="007E702E"/>
    <w:rPr>
      <w:sz w:val="16"/>
      <w:szCs w:val="16"/>
    </w:rPr>
  </w:style>
  <w:style w:type="paragraph" w:styleId="CommentText">
    <w:name w:val="annotation text"/>
    <w:basedOn w:val="Normal"/>
    <w:link w:val="CommentTextChar"/>
    <w:uiPriority w:val="99"/>
    <w:semiHidden/>
    <w:unhideWhenUsed/>
    <w:rsid w:val="007E702E"/>
    <w:pPr>
      <w:spacing w:line="240" w:lineRule="auto"/>
    </w:pPr>
    <w:rPr>
      <w:sz w:val="20"/>
      <w:szCs w:val="20"/>
    </w:rPr>
  </w:style>
  <w:style w:type="character" w:customStyle="1" w:styleId="CommentTextChar">
    <w:name w:val="Comment Text Char"/>
    <w:basedOn w:val="DefaultParagraphFont"/>
    <w:link w:val="CommentText"/>
    <w:uiPriority w:val="99"/>
    <w:semiHidden/>
    <w:rsid w:val="007E702E"/>
    <w:rPr>
      <w:sz w:val="20"/>
      <w:szCs w:val="20"/>
    </w:rPr>
  </w:style>
  <w:style w:type="paragraph" w:styleId="CommentSubject">
    <w:name w:val="annotation subject"/>
    <w:basedOn w:val="CommentText"/>
    <w:next w:val="CommentText"/>
    <w:link w:val="CommentSubjectChar"/>
    <w:uiPriority w:val="99"/>
    <w:semiHidden/>
    <w:unhideWhenUsed/>
    <w:rsid w:val="007E702E"/>
    <w:rPr>
      <w:b/>
      <w:bCs/>
    </w:rPr>
  </w:style>
  <w:style w:type="character" w:customStyle="1" w:styleId="CommentSubjectChar">
    <w:name w:val="Comment Subject Char"/>
    <w:basedOn w:val="CommentTextChar"/>
    <w:link w:val="CommentSubject"/>
    <w:uiPriority w:val="99"/>
    <w:semiHidden/>
    <w:rsid w:val="007E702E"/>
    <w:rPr>
      <w:b/>
      <w:bCs/>
      <w:sz w:val="20"/>
      <w:szCs w:val="20"/>
    </w:rPr>
  </w:style>
  <w:style w:type="paragraph" w:styleId="TOCHeading">
    <w:name w:val="TOC Heading"/>
    <w:basedOn w:val="Heading1"/>
    <w:next w:val="Normal"/>
    <w:uiPriority w:val="39"/>
    <w:unhideWhenUsed/>
    <w:qFormat/>
    <w:rsid w:val="00E369AF"/>
    <w:pPr>
      <w:spacing w:line="259" w:lineRule="auto"/>
      <w:outlineLvl w:val="9"/>
    </w:pPr>
    <w:rPr>
      <w:lang w:val="en-US"/>
    </w:rPr>
  </w:style>
  <w:style w:type="paragraph" w:styleId="TOC2">
    <w:name w:val="toc 2"/>
    <w:basedOn w:val="Normal"/>
    <w:next w:val="Normal"/>
    <w:autoRedefine/>
    <w:uiPriority w:val="39"/>
    <w:unhideWhenUsed/>
    <w:rsid w:val="00E369AF"/>
    <w:pPr>
      <w:spacing w:after="100"/>
      <w:ind w:left="220"/>
    </w:pPr>
  </w:style>
  <w:style w:type="paragraph" w:styleId="TOC3">
    <w:name w:val="toc 3"/>
    <w:basedOn w:val="Normal"/>
    <w:next w:val="Normal"/>
    <w:autoRedefine/>
    <w:uiPriority w:val="39"/>
    <w:unhideWhenUsed/>
    <w:rsid w:val="00E369AF"/>
    <w:pPr>
      <w:spacing w:after="100"/>
      <w:ind w:left="440"/>
    </w:pPr>
  </w:style>
  <w:style w:type="character" w:styleId="Hyperlink">
    <w:name w:val="Hyperlink"/>
    <w:basedOn w:val="DefaultParagraphFont"/>
    <w:uiPriority w:val="99"/>
    <w:unhideWhenUsed/>
    <w:rsid w:val="00E369AF"/>
    <w:rPr>
      <w:color w:val="0563C1" w:themeColor="hyperlink"/>
      <w:u w:val="single"/>
    </w:rPr>
  </w:style>
  <w:style w:type="character" w:customStyle="1" w:styleId="UnresolvedMention">
    <w:name w:val="Unresolved Mention"/>
    <w:basedOn w:val="DefaultParagraphFont"/>
    <w:uiPriority w:val="99"/>
    <w:semiHidden/>
    <w:unhideWhenUsed/>
    <w:rsid w:val="00B12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046813">
      <w:bodyDiv w:val="1"/>
      <w:marLeft w:val="0"/>
      <w:marRight w:val="0"/>
      <w:marTop w:val="0"/>
      <w:marBottom w:val="0"/>
      <w:divBdr>
        <w:top w:val="none" w:sz="0" w:space="0" w:color="auto"/>
        <w:left w:val="none" w:sz="0" w:space="0" w:color="auto"/>
        <w:bottom w:val="none" w:sz="0" w:space="0" w:color="auto"/>
        <w:right w:val="none" w:sz="0" w:space="0" w:color="auto"/>
      </w:divBdr>
    </w:div>
    <w:div w:id="155804055">
      <w:bodyDiv w:val="1"/>
      <w:marLeft w:val="0"/>
      <w:marRight w:val="0"/>
      <w:marTop w:val="0"/>
      <w:marBottom w:val="0"/>
      <w:divBdr>
        <w:top w:val="none" w:sz="0" w:space="0" w:color="auto"/>
        <w:left w:val="none" w:sz="0" w:space="0" w:color="auto"/>
        <w:bottom w:val="none" w:sz="0" w:space="0" w:color="auto"/>
        <w:right w:val="none" w:sz="0" w:space="0" w:color="auto"/>
      </w:divBdr>
    </w:div>
    <w:div w:id="369766235">
      <w:bodyDiv w:val="1"/>
      <w:marLeft w:val="0"/>
      <w:marRight w:val="0"/>
      <w:marTop w:val="0"/>
      <w:marBottom w:val="0"/>
      <w:divBdr>
        <w:top w:val="none" w:sz="0" w:space="0" w:color="auto"/>
        <w:left w:val="none" w:sz="0" w:space="0" w:color="auto"/>
        <w:bottom w:val="none" w:sz="0" w:space="0" w:color="auto"/>
        <w:right w:val="none" w:sz="0" w:space="0" w:color="auto"/>
      </w:divBdr>
    </w:div>
    <w:div w:id="411584509">
      <w:bodyDiv w:val="1"/>
      <w:marLeft w:val="0"/>
      <w:marRight w:val="0"/>
      <w:marTop w:val="0"/>
      <w:marBottom w:val="0"/>
      <w:divBdr>
        <w:top w:val="none" w:sz="0" w:space="0" w:color="auto"/>
        <w:left w:val="none" w:sz="0" w:space="0" w:color="auto"/>
        <w:bottom w:val="none" w:sz="0" w:space="0" w:color="auto"/>
        <w:right w:val="none" w:sz="0" w:space="0" w:color="auto"/>
      </w:divBdr>
    </w:div>
    <w:div w:id="998532056">
      <w:bodyDiv w:val="1"/>
      <w:marLeft w:val="0"/>
      <w:marRight w:val="0"/>
      <w:marTop w:val="0"/>
      <w:marBottom w:val="0"/>
      <w:divBdr>
        <w:top w:val="none" w:sz="0" w:space="0" w:color="auto"/>
        <w:left w:val="none" w:sz="0" w:space="0" w:color="auto"/>
        <w:bottom w:val="none" w:sz="0" w:space="0" w:color="auto"/>
        <w:right w:val="none" w:sz="0" w:space="0" w:color="auto"/>
      </w:divBdr>
    </w:div>
    <w:div w:id="1068722865">
      <w:bodyDiv w:val="1"/>
      <w:marLeft w:val="0"/>
      <w:marRight w:val="0"/>
      <w:marTop w:val="0"/>
      <w:marBottom w:val="0"/>
      <w:divBdr>
        <w:top w:val="none" w:sz="0" w:space="0" w:color="auto"/>
        <w:left w:val="none" w:sz="0" w:space="0" w:color="auto"/>
        <w:bottom w:val="none" w:sz="0" w:space="0" w:color="auto"/>
        <w:right w:val="none" w:sz="0" w:space="0" w:color="auto"/>
      </w:divBdr>
    </w:div>
    <w:div w:id="1225801731">
      <w:bodyDiv w:val="1"/>
      <w:marLeft w:val="0"/>
      <w:marRight w:val="0"/>
      <w:marTop w:val="0"/>
      <w:marBottom w:val="0"/>
      <w:divBdr>
        <w:top w:val="none" w:sz="0" w:space="0" w:color="auto"/>
        <w:left w:val="none" w:sz="0" w:space="0" w:color="auto"/>
        <w:bottom w:val="none" w:sz="0" w:space="0" w:color="auto"/>
        <w:right w:val="none" w:sz="0" w:space="0" w:color="auto"/>
      </w:divBdr>
    </w:div>
    <w:div w:id="1261064664">
      <w:bodyDiv w:val="1"/>
      <w:marLeft w:val="0"/>
      <w:marRight w:val="0"/>
      <w:marTop w:val="0"/>
      <w:marBottom w:val="0"/>
      <w:divBdr>
        <w:top w:val="none" w:sz="0" w:space="0" w:color="auto"/>
        <w:left w:val="none" w:sz="0" w:space="0" w:color="auto"/>
        <w:bottom w:val="none" w:sz="0" w:space="0" w:color="auto"/>
        <w:right w:val="none" w:sz="0" w:space="0" w:color="auto"/>
      </w:divBdr>
    </w:div>
    <w:div w:id="1266112804">
      <w:bodyDiv w:val="1"/>
      <w:marLeft w:val="0"/>
      <w:marRight w:val="0"/>
      <w:marTop w:val="0"/>
      <w:marBottom w:val="0"/>
      <w:divBdr>
        <w:top w:val="none" w:sz="0" w:space="0" w:color="auto"/>
        <w:left w:val="none" w:sz="0" w:space="0" w:color="auto"/>
        <w:bottom w:val="none" w:sz="0" w:space="0" w:color="auto"/>
        <w:right w:val="none" w:sz="0" w:space="0" w:color="auto"/>
      </w:divBdr>
    </w:div>
    <w:div w:id="1310672664">
      <w:bodyDiv w:val="1"/>
      <w:marLeft w:val="0"/>
      <w:marRight w:val="0"/>
      <w:marTop w:val="0"/>
      <w:marBottom w:val="0"/>
      <w:divBdr>
        <w:top w:val="none" w:sz="0" w:space="0" w:color="auto"/>
        <w:left w:val="none" w:sz="0" w:space="0" w:color="auto"/>
        <w:bottom w:val="none" w:sz="0" w:space="0" w:color="auto"/>
        <w:right w:val="none" w:sz="0" w:space="0" w:color="auto"/>
      </w:divBdr>
    </w:div>
    <w:div w:id="1559508190">
      <w:bodyDiv w:val="1"/>
      <w:marLeft w:val="0"/>
      <w:marRight w:val="0"/>
      <w:marTop w:val="0"/>
      <w:marBottom w:val="0"/>
      <w:divBdr>
        <w:top w:val="none" w:sz="0" w:space="0" w:color="auto"/>
        <w:left w:val="none" w:sz="0" w:space="0" w:color="auto"/>
        <w:bottom w:val="none" w:sz="0" w:space="0" w:color="auto"/>
        <w:right w:val="none" w:sz="0" w:space="0" w:color="auto"/>
      </w:divBdr>
    </w:div>
    <w:div w:id="1751002654">
      <w:bodyDiv w:val="1"/>
      <w:marLeft w:val="0"/>
      <w:marRight w:val="0"/>
      <w:marTop w:val="0"/>
      <w:marBottom w:val="0"/>
      <w:divBdr>
        <w:top w:val="none" w:sz="0" w:space="0" w:color="auto"/>
        <w:left w:val="none" w:sz="0" w:space="0" w:color="auto"/>
        <w:bottom w:val="none" w:sz="0" w:space="0" w:color="auto"/>
        <w:right w:val="none" w:sz="0" w:space="0" w:color="auto"/>
      </w:divBdr>
    </w:div>
    <w:div w:id="1842232828">
      <w:bodyDiv w:val="1"/>
      <w:marLeft w:val="0"/>
      <w:marRight w:val="0"/>
      <w:marTop w:val="0"/>
      <w:marBottom w:val="0"/>
      <w:divBdr>
        <w:top w:val="none" w:sz="0" w:space="0" w:color="auto"/>
        <w:left w:val="none" w:sz="0" w:space="0" w:color="auto"/>
        <w:bottom w:val="none" w:sz="0" w:space="0" w:color="auto"/>
        <w:right w:val="none" w:sz="0" w:space="0" w:color="auto"/>
      </w:divBdr>
    </w:div>
    <w:div w:id="1974676500">
      <w:bodyDiv w:val="1"/>
      <w:marLeft w:val="0"/>
      <w:marRight w:val="0"/>
      <w:marTop w:val="0"/>
      <w:marBottom w:val="0"/>
      <w:divBdr>
        <w:top w:val="none" w:sz="0" w:space="0" w:color="auto"/>
        <w:left w:val="none" w:sz="0" w:space="0" w:color="auto"/>
        <w:bottom w:val="none" w:sz="0" w:space="0" w:color="auto"/>
        <w:right w:val="none" w:sz="0" w:space="0" w:color="auto"/>
      </w:divBdr>
    </w:div>
    <w:div w:id="2019968023">
      <w:bodyDiv w:val="1"/>
      <w:marLeft w:val="0"/>
      <w:marRight w:val="0"/>
      <w:marTop w:val="0"/>
      <w:marBottom w:val="0"/>
      <w:divBdr>
        <w:top w:val="none" w:sz="0" w:space="0" w:color="auto"/>
        <w:left w:val="none" w:sz="0" w:space="0" w:color="auto"/>
        <w:bottom w:val="none" w:sz="0" w:space="0" w:color="auto"/>
        <w:right w:val="none" w:sz="0" w:space="0" w:color="auto"/>
      </w:divBdr>
    </w:div>
    <w:div w:id="202986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SPDeetman/BUM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8E2E2-0048-44B7-8ECB-D16473718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27310</Words>
  <Characters>155673</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sebastiaan deetman</dc:creator>
  <cp:keywords/>
  <dc:description/>
  <cp:lastModifiedBy>Jayapriya K.</cp:lastModifiedBy>
  <cp:revision>33</cp:revision>
  <dcterms:created xsi:type="dcterms:W3CDTF">2019-06-03T13:40:00Z</dcterms:created>
  <dcterms:modified xsi:type="dcterms:W3CDTF">2019-10-01T11:01:00Z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4ab2db43-6f38-3c37-af47-93cd533e02d4</vt:lpwstr>
  </property>
  <property fmtid="{D5CDD505-2E9C-101B-9397-08002B2CF9AE}" pid="24" name="Mendeley Citation Style_1">
    <vt:lpwstr>http://www.zotero.org/styles/nature</vt:lpwstr>
  </property>
</Properties>
</file>