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FRAMS Audit — Unresolved Issues (After Priority 1 Reference Batch)</w:t>
      </w:r>
    </w:p>
    <w:p>
      <w:pPr>
        <w:jc w:val="center"/>
      </w:pPr>
      <w:r>
        <w:t>Financial Risk Assessment and Micro-Lending System (FRAMS)</w:t>
      </w:r>
    </w:p>
    <w:p>
      <w:pPr>
        <w:jc w:val="center"/>
      </w:pPr>
      <w:r>
        <w:t>23 October 2026 — Priority 1 references supplied by the researchers</w:t>
      </w:r>
    </w:p>
    <w:p>
      <w:r>
        <w:rPr>
          <w:rFonts w:ascii="Times New Roman" w:hAnsi="Times New Roman" w:eastAsia="Times New Roman"/>
          <w:b/>
          <w:sz w:val="26"/>
        </w:rPr>
        <w:t>Status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Chapter II machine-learning and digital-lending citations now match six verified publications. The manuscript is still not fully finalized.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Working file: FRAMS_MANUSCRIPT_FINAL_REVIEWED.docx. Audit copy preserved: FRAMS_MANUSCRIPT_AUDIT_CORRECTED.docx.</w:t>
      </w:r>
    </w:p>
    <w:p>
      <w:r>
        <w:rPr>
          <w:rFonts w:ascii="Times New Roman" w:hAnsi="Times New Roman" w:eastAsia="Times New Roman"/>
          <w:b/>
          <w:sz w:val="26"/>
        </w:rPr>
        <w:t>Bibliographic leftovers from this batch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No leftover unmatched in-text names from the previous missing-citation list were found after this pass.</w:t>
      </w:r>
    </w:p>
    <w:p>
      <w:r>
        <w:rPr>
          <w:rFonts w:ascii="Times New Roman" w:hAnsi="Times New Roman" w:eastAsia="Times New Roman"/>
          <w:b/>
          <w:sz w:val="26"/>
        </w:rPr>
        <w:t>Still requires an author decision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ISO/IEC 25010:2011 is listed but not cited in the text. Cite it where the five UAT criteria are introduced, or remove the unused entry.</w:t>
      </w:r>
    </w:p>
    <w:p>
      <w:r>
        <w:rPr>
          <w:rFonts w:ascii="Times New Roman" w:hAnsi="Times New Roman" w:eastAsia="Times New Roman"/>
          <w:b/>
          <w:sz w:val="26"/>
        </w:rPr>
        <w:t>Still requires screenshots, not wording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Figure B32 borrower payment-history image.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Figure B35 Payments Management list (Payment ID 46).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Figure B37 Payments Management summary (October 2026 / ₱10,516.66).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Dedicated Payment Intent polling and staff Check with PayMongo captures, if those cases are to be marked passed.</w:t>
      </w:r>
    </w:p>
    <w:p>
      <w:r>
        <w:rPr>
          <w:rFonts w:ascii="Times New Roman" w:hAnsi="Times New Roman" w:eastAsia="Times New Roman"/>
          <w:b/>
          <w:sz w:val="26"/>
        </w:rPr>
        <w:t>Still requires an institutional decision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Generate Table of Contents, List of Tables, and List of Figures in the college Word template. This DOCX has no TOC fields.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Choose sequential APA figure numbering or keep the current mixed 1–5 / 5.1–5.8 / 4.x / Bx scheme.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Confirm whether appendices C–H are omitted or still required.</w:t>
      </w:r>
    </w:p>
    <w:p>
      <w:r>
        <w:rPr>
          <w:rFonts w:ascii="Times New Roman" w:hAnsi="Times New Roman" w:eastAsia="Times New Roman"/>
          <w:b/>
          <w:sz w:val="26"/>
        </w:rPr>
        <w:t>Do not change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32 UAT respondents; 30 borrowers, 1 administrator, 1 collector; 20 items; 640 ratings; overall mean 4.53; 48 official tests.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Webhook tests remain outside official totals. Polling and Check with PayMongo remain implemented, not separately passed.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