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Audit — Final Verification Table</w:t>
      </w:r>
    </w:p>
    <w:p>
      <w:pPr>
        <w:jc w:val="center"/>
      </w:pPr>
      <w:r>
        <w:t>Financial Risk Assessment and Micro-Lending System (FRAMS)</w:t>
      </w:r>
    </w:p>
    <w:p>
      <w:pPr>
        <w:jc w:val="center"/>
      </w:pPr>
      <w:r>
        <w:t>23 October 2026 — Final consistency audit</w:t>
      </w:r>
    </w:p>
    <w:p>
      <w:r>
        <w:rPr>
          <w:rFonts w:ascii="Times New Roman" w:hAnsi="Times New Roman" w:eastAsia="Times New Roman"/>
          <w:b/>
          <w:sz w:val="26"/>
        </w:rPr>
        <w:t>Checked items and status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 research questions (6) vs specific objectives (6): CONSISTENT.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 objectives vs Chapter V conclusions: CONSISTENT after prior rewrite; PayMongo wording states implemented confirmation, not a passed poll test.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Scope vs implemented roles (administrator, collector, borrower): CONSISTENT with auth_lending.php.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Eligibility described as estimate, not automatic approval: CONSISTENT with assessLoanEligibility().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III sampling 32; 30/1/1: CONSISTENT with workbook.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III 32 × 20 = 640 and Likert ranges 4.21–5.00: CONSISTENT with Chapter IV interpretation.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IV Table 4.4–4.8 IDs and evidence figure numbers: TEXT-CONSISTENT; visual screenshot audit INCOMPLETE.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Table 4.7 official PayMongo 11 cases, PM-11 excluded: CONSISTENT with selected workflow.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Table 4.9 / appendix summary 6+7+12+11+12=48: CONSISTENT.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UAT Table 4.10 and Appendix J frequencies and means: CONSISTENT with independent recalculation.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PayMongo polling and Check with PayMongo: IMPLEMENTED in code; NOT marked passed in official tests: CONSISTENT with evidence rule.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Live PayMongo charge: NOT claimed: CONSISTENT.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Webhook confirmation: NOT in official testing totals: CONSISTENT. Schema names retained: CONSISTENT with “do not delete unused-for-scope structures.”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References completeness: FAILED — missing bibliography entries listed in the audit report.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APA figure/table numbering sequence: FAILED institutional/APA sequential numbering; flagged, not auto-renumbered.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Corrected DOCX reopen: SUCCESSFUL; heading and UT-05 caption checks recorded in the change summary.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