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FRAMS Final Consistency Audit Report</w:t>
      </w:r>
    </w:p>
    <w:p>
      <w:pPr>
        <w:jc w:val="center"/>
      </w:pPr>
      <w:r>
        <w:t>Financial Risk Assessment and Micro-Lending System (FRAMS)</w:t>
      </w:r>
    </w:p>
    <w:p>
      <w:pPr>
        <w:jc w:val="center"/>
      </w:pPr>
      <w:r>
        <w:t>23 October 2026 — Final consistency audit</w:t>
      </w:r>
    </w:p>
    <w:p>
      <w:r>
        <w:rPr>
          <w:rFonts w:ascii="Times New Roman" w:hAnsi="Times New Roman" w:eastAsia="Times New Roman"/>
          <w:b/>
          <w:sz w:val="26"/>
        </w:rPr>
        <w:t>Audit basis</w:t>
      </w:r>
    </w:p>
    <w:p>
      <w:pPr>
        <w:pStyle w:val="ListBullet"/>
      </w:pPr>
      <w:r>
        <w:rPr>
          <w:rFonts w:ascii="Times New Roman" w:hAnsi="Times New Roman" w:eastAsia="Times New Roman"/>
          <w:sz w:val="22"/>
        </w:rPr>
        <w:t>Manuscript audited: FRAMS_REVISED_MANUSCRIPT_FINAL.docx.</w:t>
      </w:r>
    </w:p>
    <w:p>
      <w:pPr>
        <w:pStyle w:val="ListBullet"/>
      </w:pPr>
      <w:r>
        <w:rPr>
          <w:rFonts w:ascii="Times New Roman" w:hAnsi="Times New Roman" w:eastAsia="Times New Roman"/>
          <w:sz w:val="22"/>
        </w:rPr>
        <w:t>UAT source: FRAMS UAT Responses  (1).xlsx, Form Responses 1.</w:t>
      </w:r>
    </w:p>
    <w:p>
      <w:pPr>
        <w:pStyle w:val="ListBullet"/>
      </w:pPr>
      <w:r>
        <w:rPr>
          <w:rFonts w:ascii="Times New Roman" w:hAnsi="Times New Roman" w:eastAsia="Times New Roman"/>
          <w:sz w:val="22"/>
        </w:rPr>
        <w:t>Independent recalculation: 32 respondents (30 Borrower, 1 Administrator, 1 Collector); 20 items; 640 ratings; 341 Strongly Agree, 297 Agree, 2 Neutral; weighted score 2,899; overall mean 4.5296875, rounded 4.53, Strongly Agree (4.21–5.00).</w:t>
      </w:r>
    </w:p>
    <w:p>
      <w:pPr>
        <w:pStyle w:val="ListBullet"/>
      </w:pPr>
      <w:r>
        <w:rPr>
          <w:rFonts w:ascii="Times New Roman" w:hAnsi="Times New Roman" w:eastAsia="Times New Roman"/>
          <w:sz w:val="22"/>
        </w:rPr>
        <w:t>Criterion means confirmed: Functionality 4.5625 (4.56), Usability 4.5391 (4.54), Reliability 4.5625 (4.56), Security 4.4609 (4.46), Performance 4.5234 (4.52).</w:t>
      </w:r>
    </w:p>
    <w:p>
      <w:pPr>
        <w:pStyle w:val="ListBullet"/>
      </w:pPr>
      <w:r>
        <w:rPr>
          <w:rFonts w:ascii="Times New Roman" w:hAnsi="Times New Roman" w:eastAsia="Times New Roman"/>
          <w:sz w:val="22"/>
        </w:rPr>
        <w:t>Source code checked for Payment Intent polling, staff Check with PayMongo, eligibility policy minimum ₱3,000, HTML min=1000, and webhook file retention.</w:t>
      </w:r>
    </w:p>
    <w:p>
      <w:pPr>
        <w:pStyle w:val="ListBullet"/>
      </w:pPr>
      <w:r>
        <w:rPr>
          <w:rFonts w:ascii="Times New Roman" w:hAnsi="Times New Roman" w:eastAsia="Times New Roman"/>
          <w:sz w:val="22"/>
        </w:rPr>
        <w:t>Official functional test count in the manuscript: 6 + 7 + 12 + 11 + 12 = 48. Arithmetic confirmed.</w:t>
      </w:r>
    </w:p>
    <w:p>
      <w:r>
        <w:rPr>
          <w:rFonts w:ascii="Times New Roman" w:hAnsi="Times New Roman" w:eastAsia="Times New Roman"/>
          <w:b/>
          <w:sz w:val="26"/>
        </w:rPr>
        <w:t>CRITICAL findings</w:t>
      </w:r>
    </w:p>
    <w:p>
      <w:pPr>
        <w:pStyle w:val="ListBullet"/>
      </w:pPr>
      <w:r>
        <w:rPr>
          <w:rFonts w:ascii="Times New Roman" w:hAnsi="Times New Roman" w:eastAsia="Times New Roman"/>
          <w:sz w:val="22"/>
        </w:rPr>
        <w:t>C1. Chapter II / References. Issue: In-text citations include Santos (2023), Kou et al. (2022), Chen and Li (2023), Chen et al. (2021), Frost et al. (2024), Ghosh et al. (2023), Juszczak et al. (2022), Lopez and Martinez (2024), Rahman and Hasan (2025), Batista and Montero (2020), LendStack (2025), and BlueOrchard (2025), but the reference list after Chapter V contains only Bazarbash &amp; Beaton, Campos, Davis, DeLone &amp; McLean, Estrellado, ISO, Juventud et al., Khandani et al., Mina, PayMongo, Penaso &amp; Dagang, and Ramirez. Why: APA 7 requires every work cited in the text to appear in the reference list. Correction: Authors must supply complete bibliographic records for the missing works. These entries were not invented. Evidence: Chapter II paragraphs and the reference list at manuscript paragraphs 870–883. Priority: Critical. Status: NOT auto-corrected.</w:t>
      </w:r>
    </w:p>
    <w:p>
      <w:r>
        <w:rPr>
          <w:rFonts w:ascii="Times New Roman" w:hAnsi="Times New Roman" w:eastAsia="Times New Roman"/>
          <w:b/>
          <w:sz w:val="26"/>
        </w:rPr>
        <w:t>MAJOR findings — confirmed and corrected in the audit copy</w:t>
      </w:r>
    </w:p>
    <w:p>
      <w:pPr>
        <w:pStyle w:val="ListBullet"/>
      </w:pPr>
      <w:r>
        <w:rPr>
          <w:rFonts w:ascii="Times New Roman" w:hAnsi="Times New Roman" w:eastAsia="Times New Roman"/>
          <w:sz w:val="22"/>
        </w:rPr>
        <w:t>M1. Appendix B, Figure B5. Issue: Caption said “Invalid Document Upload” while Table 4.4 UT-05 is “Valid JPG, PNG, and PDF selection” with an actual result describing accepted JPG/PNG/PDF files. Why: Caption contradicted the table and the stated actual result. Correction applied: caption aligned to the table. Evidence: Table 4.4 UT-05 actual result. Priority: Major.</w:t>
      </w:r>
    </w:p>
    <w:p>
      <w:pPr>
        <w:pStyle w:val="ListBullet"/>
      </w:pPr>
      <w:r>
        <w:rPr>
          <w:rFonts w:ascii="Times New Roman" w:hAnsi="Times New Roman" w:eastAsia="Times New Roman"/>
          <w:sz w:val="22"/>
        </w:rPr>
        <w:t>M2. Table 4.7 / Appendix PayMongo table, PM-07. Issue: The table said borrower-role restriction was not shown, while Appendix B and Figure B32 (borrower_history) describe a borrower landing on Payment History. Why: Table remarks understated the attached evidence. Correction applied: expected, actual, and remarks now match Figure B32 / Appendix B without claiming polling or live payment. Evidence: Appendix B PM-07 actual result and figure filename. Priority: Major.</w:t>
      </w:r>
    </w:p>
    <w:p>
      <w:pPr>
        <w:pStyle w:val="ListBullet"/>
      </w:pPr>
      <w:r>
        <w:rPr>
          <w:rFonts w:ascii="Times New Roman" w:hAnsi="Times New Roman" w:eastAsia="Times New Roman"/>
          <w:sz w:val="22"/>
        </w:rPr>
        <w:t>M3. Appendix I/J workbook filename. Issue: Some notes used FRAMS UAT Responses (1).xlsx or (1)(2).xlsx. The supplied file is FRAMS UAT Responses  (1).xlsx. Correction applied to matching strings. Evidence: the workbook used for recalculation. Priority: Major.</w:t>
      </w:r>
    </w:p>
    <w:p>
      <w:r>
        <w:rPr>
          <w:rFonts w:ascii="Times New Roman" w:hAnsi="Times New Roman" w:eastAsia="Times New Roman"/>
          <w:b/>
          <w:sz w:val="26"/>
        </w:rPr>
        <w:t>MAJOR findings — reported, not auto-rewritten</w:t>
      </w:r>
    </w:p>
    <w:p>
      <w:pPr>
        <w:pStyle w:val="ListBullet"/>
      </w:pPr>
      <w:r>
        <w:rPr>
          <w:rFonts w:ascii="Times New Roman" w:hAnsi="Times New Roman" w:eastAsia="Times New Roman"/>
          <w:sz w:val="22"/>
        </w:rPr>
        <w:t>M4. Appendix I questionnaire table (document table 21). Issue: Header row is duplicated merged Likert labels (Strongly Agree twice, Neutral three times) rather than a readable 20-item instrument table. Why: Layout is damaged and may print beyond usable columns. Correction: rebuild in Word from Appendix I item text; not auto-rebuilt because merged cells would likely destroy remaining content. Evidence: table 21 row 0. Priority: Major. Status: unresolved pending Word layout work.</w:t>
      </w:r>
    </w:p>
    <w:p>
      <w:pPr>
        <w:pStyle w:val="ListBullet"/>
      </w:pPr>
      <w:r>
        <w:rPr>
          <w:rFonts w:ascii="Times New Roman" w:hAnsi="Times New Roman" w:eastAsia="Times New Roman"/>
          <w:sz w:val="22"/>
        </w:rPr>
        <w:t>M5. Figure numbering. Issue: Design figures are numbered Figure 2, Figure 3, then Figure 5.1–5.8, while Chapter IV uses Table 4.x and Figure 4.10+. Why: Numbering is not a single APA sequence. Correction: regenerate captions in Word. Not auto-renumbered because embedded drawings and in-text references would be easy to desynchronize. Priority: Major.</w:t>
      </w:r>
    </w:p>
    <w:p>
      <w:pPr>
        <w:pStyle w:val="ListBullet"/>
      </w:pPr>
      <w:r>
        <w:rPr>
          <w:rFonts w:ascii="Times New Roman" w:hAnsi="Times New Roman" w:eastAsia="Times New Roman"/>
          <w:sz w:val="22"/>
        </w:rPr>
        <w:t>M6. Appendix numbering. Issue: Appendices jump from B to I, then J, K, L. Why: Missing letters imply missing appendices. Correction: either restore omitted appendices or relabel sequentially per school rules. Not guessed. Priority: Major.</w:t>
      </w:r>
    </w:p>
    <w:p>
      <w:pPr>
        <w:pStyle w:val="ListBullet"/>
      </w:pPr>
      <w:r>
        <w:rPr>
          <w:rFonts w:ascii="Times New Roman" w:hAnsi="Times New Roman" w:eastAsia="Times New Roman"/>
          <w:sz w:val="22"/>
        </w:rPr>
        <w:t>M7. Visual screenshot audit. Issue: Table-to-caption-to-narrative consistency was checked in text. Pixel-level confirmation that every screenshot shows the claimed screen was not completed for all 49 official figures in this pass. Why: Full visual proof of  B1–B49 would require inspecting each image. Status: cannot be declared fully verified. Priority: Major.</w:t>
      </w:r>
    </w:p>
    <w:p>
      <w:pPr>
        <w:pStyle w:val="ListBullet"/>
      </w:pPr>
      <w:r>
        <w:rPr>
          <w:rFonts w:ascii="Times New Roman" w:hAnsi="Times New Roman" w:eastAsia="Times New Roman"/>
          <w:sz w:val="22"/>
        </w:rPr>
        <w:t>M8. PayMongo polling and Check with PayMongo. Issue: Both are implemented and described, but they are not separately passed cases in Table 4.7. Why: No dedicated screenshot series was supplied for the five-second poll or the staff button. The manuscript already states this; it must remain unclaimed as passed. Priority: Major. Status: correctly limited; no change to pass marks.</w:t>
      </w:r>
    </w:p>
    <w:p>
      <w:r>
        <w:rPr>
          <w:rFonts w:ascii="Times New Roman" w:hAnsi="Times New Roman" w:eastAsia="Times New Roman"/>
          <w:b/>
          <w:sz w:val="26"/>
        </w:rPr>
        <w:t>MINOR findings — corrected</w:t>
      </w:r>
    </w:p>
    <w:p>
      <w:pPr>
        <w:pStyle w:val="ListBullet"/>
      </w:pPr>
      <w:r>
        <w:rPr>
          <w:rFonts w:ascii="Times New Roman" w:hAnsi="Times New Roman" w:eastAsia="Times New Roman"/>
          <w:sz w:val="22"/>
        </w:rPr>
        <w:t>N1. Chapter I headings “Background of Study” and “Significance of Study” lack “the.” Corrected in the audit copy.</w:t>
      </w:r>
    </w:p>
    <w:p>
      <w:pPr>
        <w:pStyle w:val="ListBullet"/>
      </w:pPr>
      <w:r>
        <w:rPr>
          <w:rFonts w:ascii="Times New Roman" w:hAnsi="Times New Roman" w:eastAsia="Times New Roman"/>
          <w:sz w:val="22"/>
        </w:rPr>
        <w:t>N2. Table 4.10 mean cells contained stray slashes (e.g., “4.54 / ”). Cleaned.</w:t>
      </w:r>
    </w:p>
    <w:p>
      <w:pPr>
        <w:pStyle w:val="ListBullet"/>
      </w:pPr>
      <w:r>
        <w:rPr>
          <w:rFonts w:ascii="Times New Roman" w:hAnsi="Times New Roman" w:eastAsia="Times New Roman"/>
          <w:sz w:val="22"/>
        </w:rPr>
        <w:t>N3. Appendix F wording “corrected criterion-level weighted means” was editorial. Changed to “criterion-level weighted means.”</w:t>
      </w:r>
    </w:p>
    <w:p>
      <w:r>
        <w:rPr>
          <w:rFonts w:ascii="Times New Roman" w:hAnsi="Times New Roman" w:eastAsia="Times New Roman"/>
          <w:b/>
          <w:sz w:val="26"/>
        </w:rPr>
        <w:t>MINOR findings — reported</w:t>
      </w:r>
    </w:p>
    <w:p>
      <w:pPr>
        <w:pStyle w:val="ListBullet"/>
      </w:pPr>
      <w:r>
        <w:rPr>
          <w:rFonts w:ascii="Times New Roman" w:hAnsi="Times New Roman" w:eastAsia="Times New Roman"/>
          <w:sz w:val="22"/>
        </w:rPr>
        <w:t>N4. Figure B27 reuses the PM-01 rejected-QR image filename. The PM-02 narrative already says it is the same Record Payment screen after failure. Acceptable if the panel is told it is a shared capture; do not invent a second screenshot.</w:t>
      </w:r>
    </w:p>
    <w:p>
      <w:pPr>
        <w:pStyle w:val="ListBullet"/>
      </w:pPr>
      <w:r>
        <w:rPr>
          <w:rFonts w:ascii="Times New Roman" w:hAnsi="Times New Roman" w:eastAsia="Times New Roman"/>
          <w:sz w:val="22"/>
        </w:rPr>
        <w:t>N5. IT-04 cites Figure B22, which is also ST-09. Shared evidence is allowed if both cases describe the same payment/balance screen; keep the dual reference explicit.</w:t>
      </w:r>
    </w:p>
    <w:p>
      <w:pPr>
        <w:pStyle w:val="ListBullet"/>
      </w:pPr>
      <w:r>
        <w:rPr>
          <w:rFonts w:ascii="Times New Roman" w:hAnsi="Times New Roman" w:eastAsia="Times New Roman"/>
          <w:sz w:val="22"/>
        </w:rPr>
        <w:t>N6. Most body text uses Normal style rather than APA Heading 2/3. School manuscripts often do this; do not restyle the entire document without the institutional template.</w:t>
      </w:r>
    </w:p>
    <w:p>
      <w:pPr>
        <w:pStyle w:val="ListBullet"/>
      </w:pPr>
      <w:r>
        <w:rPr>
          <w:rFonts w:ascii="Times New Roman" w:hAnsi="Times New Roman" w:eastAsia="Times New Roman"/>
          <w:sz w:val="22"/>
        </w:rPr>
        <w:t>N7. Title page uses October 23, 2026 after revision. Institution-specific front-matter layout was not overridden.</w:t>
      </w:r>
    </w:p>
    <w:p>
      <w:r>
        <w:rPr>
          <w:rFonts w:ascii="Times New Roman" w:hAnsi="Times New Roman" w:eastAsia="Times New Roman"/>
          <w:b/>
          <w:sz w:val="26"/>
        </w:rPr>
        <w:t>Confirmed as consistent — do not change</w:t>
      </w:r>
    </w:p>
    <w:p>
      <w:pPr>
        <w:pStyle w:val="ListBullet"/>
      </w:pPr>
      <w:r>
        <w:rPr>
          <w:rFonts w:ascii="Times New Roman" w:hAnsi="Times New Roman" w:eastAsia="Times New Roman"/>
          <w:sz w:val="22"/>
        </w:rPr>
        <w:t>UAT respondent count 32; roles 30/1/1; 20 items; 640 ratings; frequencies 341/297/2; overall 4.53 Strongly Agree. Manuscript, Chapter III formula, Chapter IV Table 4.10, Appendix J, and Chapter V match the workbook.</w:t>
      </w:r>
    </w:p>
    <w:p>
      <w:pPr>
        <w:pStyle w:val="ListBullet"/>
      </w:pPr>
      <w:r>
        <w:rPr>
          <w:rFonts w:ascii="Times New Roman" w:hAnsi="Times New Roman" w:eastAsia="Times New Roman"/>
          <w:sz w:val="22"/>
        </w:rPr>
        <w:t>Six research questions align with six specific objectives and six Chapter V conclusions.</w:t>
      </w:r>
    </w:p>
    <w:p>
      <w:pPr>
        <w:pStyle w:val="ListBullet"/>
      </w:pPr>
      <w:r>
        <w:rPr>
          <w:rFonts w:ascii="Times New Roman" w:hAnsi="Times New Roman" w:eastAsia="Times New Roman"/>
          <w:sz w:val="22"/>
        </w:rPr>
        <w:t>Official PayMongo scope is 11 cases (PM-01–PM-10, PM-12). PM-11 is excluded. Totals 48/48. Polling and staff reconciliation are not marked passed.</w:t>
      </w:r>
    </w:p>
    <w:p>
      <w:pPr>
        <w:pStyle w:val="ListBullet"/>
      </w:pPr>
      <w:r>
        <w:rPr>
          <w:rFonts w:ascii="Times New Roman" w:hAnsi="Times New Roman" w:eastAsia="Times New Roman"/>
          <w:sz w:val="22"/>
        </w:rPr>
        <w:t>Policy minimum loan ₱3,000 versus HTML min ₱1,000 is explained as two layers, matching loan_eligibility_helpers.php and the application form.</w:t>
      </w:r>
    </w:p>
    <w:p>
      <w:pPr>
        <w:pStyle w:val="ListBullet"/>
      </w:pPr>
      <w:r>
        <w:rPr>
          <w:rFonts w:ascii="Times New Roman" w:hAnsi="Times New Roman" w:eastAsia="Times New Roman"/>
          <w:sz w:val="22"/>
        </w:rPr>
        <w:t>Webhook table names remain only as schema documentation in the ERD, entity table, and Appendix L.</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